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lineRule="auto" w:line="288" w:before="80" w:after="283"/>
        <w:jc w:val="center"/>
        <w:rPr>
          <w:rFonts w:ascii="Verdana;sans-serif" w:hAnsi="Verdana;sans-serif"/>
          <w:b/>
          <w:color w:val="000000"/>
          <w:sz w:val="22"/>
        </w:rPr>
      </w:pPr>
      <w:r>
        <w:rPr>
          <w:rFonts w:ascii="Verdana;sans-serif" w:hAnsi="Verdana;sans-serif"/>
          <w:b/>
          <w:color w:val="000000"/>
          <w:sz w:val="22"/>
        </w:rPr>
        <w:t>FORM 10-K</w:t>
      </w:r>
    </w:p>
    <w:p>
      <w:pPr>
        <w:pStyle w:val="TextBody"/>
        <w:bidi w:val="0"/>
        <w:spacing w:lineRule="auto" w:line="288" w:before="120" w:after="283"/>
        <w:jc w:val="left"/>
        <w:rPr>
          <w:rFonts w:ascii="Verdana;sans-serif" w:hAnsi="Verdana;sans-serif"/>
          <w:b/>
          <w:color w:val="000000"/>
          <w:sz w:val="16"/>
        </w:rPr>
      </w:pPr>
      <w:r>
        <w:rPr>
          <w:rFonts w:ascii="Verdana;sans-serif" w:hAnsi="Verdana;sans-serif"/>
          <w:b/>
          <w:color w:val="000000"/>
          <w:sz w:val="16"/>
        </w:rPr>
        <w:t>(Mark One)</w:t>
      </w:r>
    </w:p>
    <w:tbl>
      <w:tblPr>
        <w:tblW w:w="9147" w:type="dxa"/>
        <w:jc w:val="left"/>
        <w:tblInd w:w="0" w:type="dxa"/>
        <w:tblLayout w:type="fixed"/>
        <w:tblCellMar>
          <w:top w:w="28" w:type="dxa"/>
          <w:left w:w="28" w:type="dxa"/>
          <w:bottom w:w="28" w:type="dxa"/>
          <w:right w:w="28" w:type="dxa"/>
        </w:tblCellMar>
      </w:tblPr>
      <w:tblGrid>
        <w:gridCol w:w="124"/>
        <w:gridCol w:w="109"/>
        <w:gridCol w:w="109"/>
        <w:gridCol w:w="2578"/>
        <w:gridCol w:w="2578"/>
        <w:gridCol w:w="36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6"/>
              </w:rPr>
            </w:pPr>
            <w:r>
              <w:rPr>
                <w:rFonts w:ascii="Verdana;sans-serif" w:hAnsi="Verdana;sans-serif"/>
                <w:b w:val="false"/>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556" w:type="dxa"/>
        <w:jc w:val="left"/>
        <w:tblInd w:w="0" w:type="dxa"/>
        <w:tblLayout w:type="fixed"/>
        <w:tblCellMar>
          <w:top w:w="28" w:type="dxa"/>
          <w:left w:w="28" w:type="dxa"/>
          <w:bottom w:w="28" w:type="dxa"/>
          <w:right w:w="28" w:type="dxa"/>
        </w:tblCellMar>
      </w:tblPr>
      <w:tblGrid>
        <w:gridCol w:w="125"/>
        <w:gridCol w:w="110"/>
        <w:gridCol w:w="111"/>
        <w:gridCol w:w="2698"/>
        <w:gridCol w:w="2698"/>
        <w:gridCol w:w="38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92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 xml:space="preserve">For the transition period from to </w:t>
      </w:r>
    </w:p>
    <w:p>
      <w:pPr>
        <w:pStyle w:val="TextBody"/>
        <w:bidi w:val="0"/>
        <w:spacing w:lineRule="auto" w:line="288" w:before="8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120" w:after="283"/>
        <w:jc w:val="center"/>
        <w:rPr>
          <w:rFonts w:ascii="Verdana;sans-serif" w:hAnsi="Verdana;sans-serif"/>
          <w:b/>
          <w:color w:val="231F20"/>
          <w:sz w:val="36"/>
        </w:rPr>
      </w:pPr>
      <w:r>
        <w:rPr>
          <w:rFonts w:ascii="Verdana;sans-serif" w:hAnsi="Verdana;sans-serif"/>
          <w:b/>
          <w:color w:val="231F20"/>
          <w:sz w:val="36"/>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8726" w:type="dxa"/>
        <w:jc w:val="center"/>
        <w:tblInd w:w="0" w:type="dxa"/>
        <w:tblLayout w:type="fixed"/>
        <w:tblCellMar>
          <w:top w:w="28" w:type="dxa"/>
          <w:left w:w="28" w:type="dxa"/>
          <w:bottom w:w="28" w:type="dxa"/>
          <w:right w:w="28" w:type="dxa"/>
        </w:tblCellMar>
      </w:tblPr>
      <w:tblGrid>
        <w:gridCol w:w="1885"/>
        <w:gridCol w:w="1663"/>
        <w:gridCol w:w="1671"/>
        <w:gridCol w:w="109"/>
        <w:gridCol w:w="109"/>
        <w:gridCol w:w="109"/>
        <w:gridCol w:w="877"/>
        <w:gridCol w:w="877"/>
        <w:gridCol w:w="142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ind w:left="0" w:right="0" w:firstLine="45"/>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16"/>
              </w:rPr>
            </w:pPr>
            <w:r>
              <w:rPr>
                <w:rFonts w:ascii="Verdana;sans-serif" w:hAnsi="Verdana;sans-serif"/>
                <w:b w:val="false"/>
                <w:color w:val="000000"/>
                <w:sz w:val="16"/>
              </w:rPr>
              <w:t>(I.R.S. Employer Identification No.)</w:t>
            </w:r>
          </w:p>
        </w:tc>
      </w:tr>
      <w:tr>
        <w:trPr/>
        <w:tc>
          <w:tcPr>
            <w:tcW w:w="5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68" w:before="0" w:after="0"/>
              <w:ind w:left="0" w:right="0" w:firstLine="45"/>
              <w:jc w:val="center"/>
              <w:rPr>
                <w:rFonts w:ascii="Verdana;sans-serif" w:hAnsi="Verdana;sans-serif"/>
                <w:b/>
                <w:color w:val="000000"/>
                <w:sz w:val="16"/>
              </w:rPr>
            </w:pPr>
            <w:r>
              <w:rPr>
                <w:rFonts w:ascii="Verdana;sans-serif" w:hAnsi="Verdana;sans-serif"/>
                <w:b/>
                <w:color w:val="000000"/>
                <w:sz w:val="16"/>
              </w:rPr>
              <w:t>Campbell, CA 95008</w:t>
            </w:r>
          </w:p>
          <w:p>
            <w:pPr>
              <w:pStyle w:val="TableContents"/>
              <w:bidi w:val="0"/>
              <w:spacing w:lineRule="auto" w:line="268" w:before="0" w:after="0"/>
              <w:ind w:left="0" w:right="0" w:firstLine="45"/>
              <w:jc w:val="center"/>
              <w:rPr>
                <w:rFonts w:ascii="Verdana;sans-serif" w:hAnsi="Verdana;sans-serif"/>
                <w:b/>
                <w:color w:val="000000"/>
                <w:sz w:val="16"/>
              </w:rPr>
            </w:pPr>
            <w:r>
              <w:rPr>
                <w:rFonts w:ascii="Verdana;sans-serif" w:hAnsi="Verdana;sans-serif"/>
                <w:b/>
                <w:color w:val="000000"/>
                <w:sz w:val="16"/>
              </w:rPr>
              <w:t>(408) 470-7300</w:t>
            </w:r>
          </w:p>
        </w:tc>
      </w:tr>
      <w:tr>
        <w:trPr/>
        <w:tc>
          <w:tcPr>
            <w:tcW w:w="872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(Address, including zip code, and telephone number, including area code, of registrant’s principal executive offices)</w:t>
            </w:r>
          </w:p>
        </w:tc>
      </w:tr>
    </w:tbl>
    <w:p>
      <w:pPr>
        <w:pStyle w:val="TextBody"/>
        <w:bidi w:val="0"/>
        <w:spacing w:lineRule="auto" w:line="288" w:before="120" w:after="283"/>
        <w:jc w:val="left"/>
        <w:rPr>
          <w:rFonts w:ascii="Verdana;sans-serif" w:hAnsi="Verdana;sans-serif"/>
          <w:b/>
          <w:color w:val="000000"/>
          <w:sz w:val="16"/>
        </w:rPr>
      </w:pPr>
      <w:r>
        <w:rPr>
          <w:rFonts w:ascii="Verdana;sans-serif" w:hAnsi="Verdana;sans-serif"/>
          <w:b/>
          <w:color w:val="000000"/>
          <w:sz w:val="16"/>
        </w:rPr>
        <w:t>Securities registered pursuant to Section 12(b) of the Act:</w:t>
      </w:r>
    </w:p>
    <w:tbl>
      <w:tblPr>
        <w:tblW w:w="7302" w:type="dxa"/>
        <w:jc w:val="left"/>
        <w:tblInd w:w="0" w:type="dxa"/>
        <w:tblLayout w:type="fixed"/>
        <w:tblCellMar>
          <w:top w:w="28" w:type="dxa"/>
          <w:left w:w="28" w:type="dxa"/>
          <w:bottom w:w="28" w:type="dxa"/>
          <w:right w:w="28" w:type="dxa"/>
        </w:tblCellMar>
      </w:tblPr>
      <w:tblGrid>
        <w:gridCol w:w="863"/>
        <w:gridCol w:w="758"/>
        <w:gridCol w:w="763"/>
        <w:gridCol w:w="494"/>
        <w:gridCol w:w="494"/>
        <w:gridCol w:w="496"/>
        <w:gridCol w:w="1006"/>
        <w:gridCol w:w="1006"/>
        <w:gridCol w:w="142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120" w:after="283"/>
        <w:jc w:val="left"/>
        <w:rPr>
          <w:rFonts w:ascii="Verdana;sans-serif" w:hAnsi="Verdana;sans-serif"/>
          <w:b/>
          <w:color w:val="000000"/>
          <w:sz w:val="16"/>
        </w:rPr>
      </w:pPr>
      <w:r>
        <w:rPr>
          <w:rFonts w:ascii="Verdana;sans-serif" w:hAnsi="Verdana;sans-serif"/>
          <w:b/>
          <w:color w:val="000000"/>
          <w:sz w:val="16"/>
        </w:rPr>
        <w:t>Securities registered pursuant to section 12(g) of the Act:</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if the registrant is a well-known seasoned issuer, as defined in Rule 405 of the Securities Act. Yes o No x</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if the registrant is not required to file reports pursuant to Section 13 or Section 15(d) of the Act. Yes o No x</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pStyle w:val="TextBody"/>
        <w:bidi w:val="0"/>
        <w:spacing w:lineRule="auto" w:line="288" w:before="120" w:after="283"/>
        <w:jc w:val="both"/>
        <w:rPr>
          <w:rFonts w:ascii="Verdana;sans-serif" w:hAnsi="Verdana;sans-serif"/>
          <w:b w:val="false"/>
          <w:color w:val="000000"/>
          <w:sz w:val="12"/>
        </w:rPr>
      </w:pPr>
      <w:r>
        <w:rPr>
          <w:rFonts w:ascii="Verdana;sans-serif" w:hAnsi="Verdana;sans-serif"/>
          <w:b w:val="false"/>
          <w:color w:val="000000"/>
          <w:sz w:val="12"/>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3983" w:type="dxa"/>
        <w:jc w:val="center"/>
        <w:tblInd w:w="0" w:type="dxa"/>
        <w:tblLayout w:type="fixed"/>
        <w:tblCellMar>
          <w:top w:w="28" w:type="dxa"/>
          <w:left w:w="28" w:type="dxa"/>
          <w:bottom w:w="28" w:type="dxa"/>
          <w:right w:w="28" w:type="dxa"/>
        </w:tblCellMar>
      </w:tblPr>
      <w:tblGrid>
        <w:gridCol w:w="543"/>
        <w:gridCol w:w="476"/>
        <w:gridCol w:w="480"/>
        <w:gridCol w:w="109"/>
        <w:gridCol w:w="109"/>
        <w:gridCol w:w="109"/>
        <w:gridCol w:w="594"/>
        <w:gridCol w:w="594"/>
        <w:gridCol w:w="597"/>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o</w:t>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Verdana;sans-serif" w:hAnsi="Verdana;sans-serif"/>
                <w:b w:val="false"/>
                <w:color w:val="000000"/>
                <w:sz w:val="12"/>
              </w:rPr>
            </w:pPr>
            <w:r>
              <w:rPr>
                <w:rFonts w:ascii="Verdana;sans-serif" w:hAnsi="Verdana;sans-serif"/>
                <w:b w:val="false"/>
                <w:color w:val="000000"/>
                <w:sz w:val="1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2"/>
              </w:rPr>
            </w:pPr>
            <w:r>
              <w:rPr>
                <w:rFonts w:ascii="Verdana;sans-serif" w:hAnsi="Verdana;sans-serif"/>
                <w:b w:val="false"/>
                <w:color w:val="000000"/>
                <w:sz w:val="12"/>
              </w:rPr>
              <w:t>o</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x</w:t>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Verdana;sans-serif" w:hAnsi="Verdana;sans-serif"/>
                <w:b w:val="false"/>
                <w:color w:val="000000"/>
                <w:sz w:val="12"/>
              </w:rPr>
            </w:pPr>
            <w:r>
              <w:rPr>
                <w:rFonts w:ascii="Verdana;sans-serif" w:hAnsi="Verdana;sans-serif"/>
                <w:b w:val="false"/>
                <w:color w:val="000000"/>
                <w:sz w:val="1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2"/>
              </w:rPr>
            </w:pPr>
            <w:r>
              <w:rPr>
                <w:rFonts w:ascii="Verdana;sans-serif" w:hAnsi="Verdana;sans-serif"/>
                <w:b w:val="false"/>
                <w:color w:val="000000"/>
                <w:sz w:val="12"/>
              </w:rPr>
              <w:t>x</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Verdana;sans-serif" w:hAnsi="Verdana;sans-serif"/>
                <w:b w:val="false"/>
                <w:color w:val="000000"/>
                <w:sz w:val="12"/>
              </w:rPr>
            </w:pPr>
            <w:r>
              <w:rPr>
                <w:rFonts w:ascii="Verdana;sans-serif" w:hAnsi="Verdana;sans-serif"/>
                <w:b w:val="false"/>
                <w:color w:val="000000"/>
                <w:sz w:val="12"/>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2"/>
              </w:rPr>
            </w:pPr>
            <w:r>
              <w:rPr>
                <w:rFonts w:ascii="Verdana;sans-serif" w:hAnsi="Verdana;sans-serif"/>
                <w:b w:val="false"/>
                <w:color w:val="000000"/>
                <w:sz w:val="12"/>
              </w:rPr>
              <w:t>x</w:t>
            </w:r>
          </w:p>
        </w:tc>
      </w:tr>
    </w:tbl>
    <w:p>
      <w:pPr>
        <w:pStyle w:val="TextBody"/>
        <w:bidi w:val="0"/>
        <w:spacing w:lineRule="auto" w:line="288" w:before="0" w:after="0"/>
        <w:jc w:val="left"/>
        <w:rPr>
          <w:rFonts w:ascii="Verdana;sans-serif" w:hAnsi="Verdana;sans-serif"/>
          <w:b w:val="false"/>
          <w:color w:val="000000"/>
          <w:sz w:val="12"/>
        </w:rPr>
      </w:pPr>
      <w:r>
        <w:rPr>
          <w:rFonts w:ascii="Verdana;sans-serif" w:hAnsi="Verdana;sans-serif"/>
          <w:b w:val="false"/>
          <w:color w:val="000000"/>
          <w:sz w:val="12"/>
        </w:rPr>
        <w:t>If an emerging growth company, indicate by check mark if the registrant has elected not to use the extended transition period for complying with any new or revised financial accounting standards provided pursuant to Section 13(a) of the Exchange Act.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If securities are registered pursuant to Section 12(b) of the Act, indicate by check mark whether the financial statements of the registrant included in the filing reflect the correction of an error to previously issued financial statements.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Indicate by check mark whether any of those error corrections are restatements that required a recovery analysis of incentive-based compensation received by any of the registrant's executive officers during the relevant recovery period pursuant to Section 240.10D-1(b).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is a shell company (as defined in Rule 12b-2 of the Act). Yes o No x</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As of June 30, 2023, the aggregate market value of shares held by non-affiliates of the registrant (based upon the closing sale prices of such shares on the Nasdaq Global Select Market on June 30, 2023) was approximately $162.8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pStyle w:val="TextBody"/>
        <w:bidi w:val="0"/>
        <w:spacing w:lineRule="auto" w:line="288" w:before="60" w:after="283"/>
        <w:jc w:val="left"/>
        <w:rPr/>
      </w:pPr>
      <w:r>
        <w:rPr>
          <w:rFonts w:ascii="Verdana;sans-serif" w:hAnsi="Verdana;sans-serif"/>
          <w:b w:val="false"/>
          <w:color w:val="000000"/>
          <w:sz w:val="12"/>
        </w:rPr>
        <w:t>As of February 13, 2024, there were</w:t>
      </w:r>
      <w:r>
        <w:rPr>
          <w:color w:val="000000"/>
          <w:shd w:fill="FFFFFF" w:val="clear"/>
        </w:rPr>
        <w:t xml:space="preserve"> </w:t>
      </w:r>
      <w:r>
        <w:rPr>
          <w:rFonts w:ascii="Verdana;sans-serif" w:hAnsi="Verdana;sans-serif"/>
          <w:b w:val="false"/>
          <w:color w:val="000000"/>
          <w:sz w:val="12"/>
          <w:shd w:fill="FFFFFF" w:val="clear"/>
        </w:rPr>
        <w:t>37,849,685 shares</w:t>
      </w:r>
      <w:r>
        <w:rPr>
          <w:color w:val="000000"/>
        </w:rPr>
        <w:t xml:space="preserve"> </w:t>
      </w:r>
      <w:r>
        <w:rPr>
          <w:rFonts w:ascii="Verdana;sans-serif" w:hAnsi="Verdana;sans-serif"/>
          <w:b w:val="false"/>
          <w:color w:val="000000"/>
          <w:sz w:val="12"/>
        </w:rPr>
        <w:t>of the registrant’s common stock outstanding.</w:t>
      </w:r>
    </w:p>
    <w:p>
      <w:pPr>
        <w:pStyle w:val="TextBody"/>
        <w:bidi w:val="0"/>
        <w:spacing w:lineRule="auto" w:line="288" w:before="120" w:after="283"/>
        <w:jc w:val="center"/>
        <w:rPr>
          <w:rFonts w:ascii="Verdana;sans-serif" w:hAnsi="Verdana;sans-serif"/>
          <w:b/>
          <w:color w:val="000000"/>
          <w:sz w:val="12"/>
        </w:rPr>
      </w:pPr>
      <w:r>
        <w:rPr>
          <w:rFonts w:ascii="Verdana;sans-serif" w:hAnsi="Verdana;sans-serif"/>
          <w:b/>
          <w:color w:val="000000"/>
          <w:sz w:val="12"/>
        </w:rPr>
        <w:t>DOCUMENTS INCORPORATED BY REFERENCE</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81"/>
        <w:gridCol w:w="3053"/>
        <w:gridCol w:w="3098"/>
        <w:gridCol w:w="167"/>
        <w:gridCol w:w="167"/>
        <w:gridCol w:w="239"/>
      </w:tblGrid>
      <w:tr>
        <w:trPr/>
        <w:tc>
          <w:tcPr>
            <w:tcW w:w="3481"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3">
              <w:r>
                <w:rPr>
                  <w:rStyle w:val="InternetLink"/>
                  <w:rFonts w:ascii="Times New Roman;sans-serif" w:hAnsi="Times New Roman;sans-serif"/>
                  <w:b/>
                  <w:color w:val="0000FF"/>
                  <w:sz w:val="19"/>
                  <w:u w:val="single"/>
                </w:rPr>
                <w:t>PART I</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6">
              <w:r>
                <w:rPr>
                  <w:rStyle w:val="InternetLink"/>
                  <w:rFonts w:ascii="Times New Roman;sans-serif" w:hAnsi="Times New Roman;sans-serif"/>
                  <w:b w:val="false"/>
                  <w:color w:val="0000FF"/>
                  <w:sz w:val="19"/>
                  <w:u w:val="single"/>
                </w:rPr>
                <w:t>Item 1. 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6">
              <w:r>
                <w:rPr>
                  <w:rStyle w:val="InternetLink"/>
                  <w:rFonts w:ascii="Times New Roman;sans-serif" w:hAnsi="Times New Roman;sans-serif"/>
                  <w:b w:val="false"/>
                  <w:strike w:val="false"/>
                  <w:dstrike w:val="false"/>
                  <w:color w:val="000000"/>
                  <w:sz w:val="19"/>
                  <w:u w:val="none"/>
                  <w:effect w:val="none"/>
                </w:rPr>
                <w:t>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9">
              <w:r>
                <w:rPr>
                  <w:rStyle w:val="InternetLink"/>
                  <w:rFonts w:ascii="Times New Roman;sans-serif" w:hAnsi="Times New Roman;sans-serif"/>
                  <w:b w:val="false"/>
                  <w:color w:val="0000FF"/>
                  <w:sz w:val="19"/>
                  <w:u w:val="single"/>
                </w:rPr>
                <w:t>Item 1A.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9">
              <w:r>
                <w:rPr>
                  <w:rStyle w:val="InternetLink"/>
                  <w:rFonts w:ascii="Times New Roman;sans-serif" w:hAnsi="Times New Roman;sans-serif"/>
                  <w:b w:val="false"/>
                  <w:strike w:val="false"/>
                  <w:dstrike w:val="false"/>
                  <w:color w:val="000000"/>
                  <w:sz w:val="19"/>
                  <w:u w:val="none"/>
                  <w:effect w:val="none"/>
                </w:rPr>
                <w:t>23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2">
              <w:r>
                <w:rPr>
                  <w:rStyle w:val="InternetLink"/>
                  <w:rFonts w:ascii="Times New Roman;sans-serif" w:hAnsi="Times New Roman;sans-serif"/>
                  <w:b w:val="false"/>
                  <w:color w:val="0000FF"/>
                  <w:sz w:val="19"/>
                  <w:u w:val="single"/>
                </w:rPr>
                <w:t>Item 1B. 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2">
              <w:r>
                <w:rPr>
                  <w:rStyle w:val="InternetLink"/>
                  <w:rFonts w:ascii="Times New Roman;sans-serif" w:hAnsi="Times New Roman;sans-serif"/>
                  <w:b w:val="false"/>
                  <w:strike w:val="false"/>
                  <w:dstrike w:val="false"/>
                  <w:color w:val="000000"/>
                  <w:sz w:val="19"/>
                  <w:u w:val="none"/>
                  <w:effect w:val="none"/>
                </w:rPr>
                <w:t>58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549755814712">
              <w:r>
                <w:rPr>
                  <w:rStyle w:val="InternetLink"/>
                  <w:rFonts w:ascii="Times New Roman;sans-serif" w:hAnsi="Times New Roman;sans-serif"/>
                  <w:b w:val="false"/>
                  <w:color w:val="000080"/>
                  <w:sz w:val="19"/>
                  <w:u w:val="single"/>
                </w:rPr>
                <w:t>Item 1</w:t>
              </w:r>
            </w:hyperlink>
            <w:hyperlink w:anchor="i7b0bd05dc44249ada47b6179d11e803f_549755814712">
              <w:r>
                <w:rPr>
                  <w:rStyle w:val="InternetLink"/>
                  <w:rFonts w:ascii="Times New Roman;sans-serif" w:hAnsi="Times New Roman;sans-serif"/>
                  <w:b w:val="false"/>
                  <w:color w:val="000080"/>
                  <w:sz w:val="19"/>
                  <w:u w:val="single"/>
                </w:rPr>
                <w:t>C</w:t>
              </w:r>
            </w:hyperlink>
            <w:hyperlink w:anchor="i7b0bd05dc44249ada47b6179d11e803f_549755814712">
              <w:r>
                <w:rPr>
                  <w:rStyle w:val="InternetLink"/>
                  <w:rFonts w:ascii="Times New Roman;sans-serif" w:hAnsi="Times New Roman;sans-serif"/>
                  <w:b w:val="false"/>
                  <w:color w:val="000080"/>
                  <w:sz w:val="19"/>
                  <w:u w:val="single"/>
                </w:rPr>
                <w:t xml:space="preserve">. </w:t>
              </w:r>
            </w:hyperlink>
            <w:hyperlink w:anchor="i7b0bd05dc44249ada47b6179d11e803f_549755814712">
              <w:r>
                <w:rPr>
                  <w:rStyle w:val="InternetLink"/>
                  <w:rFonts w:ascii="Times New Roman;sans-serif" w:hAnsi="Times New Roman;sans-serif"/>
                  <w:b w:val="false"/>
                  <w:color w:val="000080"/>
                  <w:sz w:val="19"/>
                  <w:u w:val="single"/>
                </w:rPr>
                <w:t>Cybersecurity Risk Management</w:t>
              </w:r>
            </w:hyperlink>
            <w:hyperlink w:anchor="i7b0bd05dc44249ada47b6179d11e803f_549755814712">
              <w:r>
                <w:rPr>
                  <w:rStyle w:val="InternetLink"/>
                  <w:rFonts w:ascii="Times New Roman;sans-serif" w:hAnsi="Times New Roman;sans-serif"/>
                  <w:b w:val="false"/>
                  <w:color w:val="000080"/>
                  <w:sz w:val="19"/>
                  <w:u w:val="single"/>
                </w:rPr>
                <w:t xml:space="preserve"> and Strategy.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549755814712">
              <w:r>
                <w:rPr>
                  <w:rStyle w:val="InternetLink"/>
                  <w:rFonts w:ascii="Times New Roman;sans-serif" w:hAnsi="Times New Roman;sans-serif"/>
                  <w:b w:val="false"/>
                  <w:strike w:val="false"/>
                  <w:dstrike w:val="false"/>
                  <w:color w:val="000000"/>
                  <w:sz w:val="19"/>
                  <w:u w:val="none"/>
                  <w:effect w:val="none"/>
                </w:rPr>
                <w:t>58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5">
              <w:r>
                <w:rPr>
                  <w:rStyle w:val="InternetLink"/>
                  <w:rFonts w:ascii="Times New Roman;sans-serif" w:hAnsi="Times New Roman;sans-serif"/>
                  <w:b w:val="false"/>
                  <w:color w:val="0000FF"/>
                  <w:sz w:val="19"/>
                  <w:u w:val="single"/>
                </w:rPr>
                <w:t>Item 2. 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5">
              <w:r>
                <w:rPr>
                  <w:rStyle w:val="InternetLink"/>
                  <w:rFonts w:ascii="Times New Roman;sans-serif" w:hAnsi="Times New Roman;sans-serif"/>
                  <w:b w:val="false"/>
                  <w:strike w:val="false"/>
                  <w:dstrike w:val="false"/>
                  <w:color w:val="000000"/>
                  <w:sz w:val="19"/>
                  <w:u w:val="none"/>
                  <w:effect w:val="none"/>
                </w:rPr>
                <w:t>59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8">
              <w:r>
                <w:rPr>
                  <w:rStyle w:val="InternetLink"/>
                  <w:rFonts w:ascii="Times New Roman;sans-serif" w:hAnsi="Times New Roman;sans-serif"/>
                  <w:b w:val="false"/>
                  <w:color w:val="0000FF"/>
                  <w:sz w:val="19"/>
                  <w:u w:val="single"/>
                </w:rPr>
                <w:t>Item 3. 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8">
              <w:r>
                <w:rPr>
                  <w:rStyle w:val="InternetLink"/>
                  <w:rFonts w:ascii="Times New Roman;sans-serif" w:hAnsi="Times New Roman;sans-serif"/>
                  <w:b w:val="false"/>
                  <w:strike w:val="false"/>
                  <w:dstrike w:val="false"/>
                  <w:color w:val="000000"/>
                  <w:sz w:val="19"/>
                  <w:u w:val="none"/>
                  <w:effect w:val="none"/>
                </w:rPr>
                <w:t>59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31">
              <w:r>
                <w:rPr>
                  <w:rStyle w:val="InternetLink"/>
                  <w:rFonts w:ascii="Times New Roman;sans-serif" w:hAnsi="Times New Roman;sans-serif"/>
                  <w:b w:val="false"/>
                  <w:color w:val="0000FF"/>
                  <w:sz w:val="19"/>
                  <w:u w:val="single"/>
                </w:rPr>
                <w:t>Item 4. 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31">
              <w:r>
                <w:rPr>
                  <w:rStyle w:val="InternetLink"/>
                  <w:rFonts w:ascii="Times New Roman;sans-serif" w:hAnsi="Times New Roman;sans-serif"/>
                  <w:b w:val="false"/>
                  <w:strike w:val="false"/>
                  <w:dstrike w:val="false"/>
                  <w:color w:val="000000"/>
                  <w:sz w:val="19"/>
                  <w:u w:val="none"/>
                  <w:effect w:val="none"/>
                </w:rPr>
                <w:t>59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34">
              <w:r>
                <w:rPr>
                  <w:rStyle w:val="InternetLink"/>
                  <w:rFonts w:ascii="Times New Roman;sans-serif" w:hAnsi="Times New Roman;sans-serif"/>
                  <w:b/>
                  <w:color w:val="0000FF"/>
                  <w:sz w:val="19"/>
                  <w:u w:val="single"/>
                </w:rPr>
                <w:t>PART 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37">
              <w:r>
                <w:rPr>
                  <w:rStyle w:val="InternetLink"/>
                  <w:rFonts w:ascii="Times New Roman;sans-serif" w:hAnsi="Times New Roman;sans-serif"/>
                  <w:b w:val="false"/>
                  <w:color w:val="0000FF"/>
                  <w:sz w:val="19"/>
                  <w:u w:val="single"/>
                </w:rPr>
                <w:t>Item 5. 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37">
              <w:r>
                <w:rPr>
                  <w:rStyle w:val="InternetLink"/>
                  <w:rFonts w:ascii="Times New Roman;sans-serif" w:hAnsi="Times New Roman;sans-serif"/>
                  <w:b w:val="false"/>
                  <w:strike w:val="false"/>
                  <w:dstrike w:val="false"/>
                  <w:color w:val="000000"/>
                  <w:sz w:val="19"/>
                  <w:u w:val="none"/>
                  <w:effect w:val="none"/>
                </w:rPr>
                <w:t>60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40">
              <w:r>
                <w:rPr>
                  <w:rStyle w:val="InternetLink"/>
                  <w:rFonts w:ascii="Times New Roman;sans-serif" w:hAnsi="Times New Roman;sans-serif"/>
                  <w:b w:val="false"/>
                  <w:color w:val="0000FF"/>
                  <w:sz w:val="19"/>
                  <w:u w:val="single"/>
                </w:rPr>
                <w:t>Item 6. [Reserved.]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40">
              <w:r>
                <w:rPr>
                  <w:rStyle w:val="InternetLink"/>
                  <w:rFonts w:ascii="Times New Roman;sans-serif" w:hAnsi="Times New Roman;sans-serif"/>
                  <w:b w:val="false"/>
                  <w:strike w:val="false"/>
                  <w:dstrike w:val="false"/>
                  <w:color w:val="000000"/>
                  <w:sz w:val="19"/>
                  <w:u w:val="none"/>
                  <w:effect w:val="none"/>
                </w:rPr>
                <w:t>61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46">
              <w:r>
                <w:rPr>
                  <w:rStyle w:val="InternetLink"/>
                  <w:rFonts w:ascii="Times New Roman;sans-serif" w:hAnsi="Times New Roman;sans-serif"/>
                  <w:b w:val="false"/>
                  <w:color w:val="0000FF"/>
                  <w:sz w:val="19"/>
                  <w:u w:val="single"/>
                </w:rPr>
                <w:t>Item 7. 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46">
              <w:r>
                <w:rPr>
                  <w:rStyle w:val="InternetLink"/>
                  <w:rFonts w:ascii="Times New Roman;sans-serif" w:hAnsi="Times New Roman;sans-serif"/>
                  <w:b w:val="false"/>
                  <w:strike w:val="false"/>
                  <w:dstrike w:val="false"/>
                  <w:color w:val="000000"/>
                  <w:sz w:val="19"/>
                  <w:u w:val="none"/>
                  <w:effect w:val="none"/>
                </w:rPr>
                <w:t>62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88">
              <w:r>
                <w:rPr>
                  <w:rStyle w:val="InternetLink"/>
                  <w:rFonts w:ascii="Times New Roman;sans-serif" w:hAnsi="Times New Roman;sans-serif"/>
                  <w:b w:val="false"/>
                  <w:color w:val="0000FF"/>
                  <w:sz w:val="19"/>
                  <w:u w:val="single"/>
                </w:rPr>
                <w:t>Item 7A. 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88">
              <w:r>
                <w:rPr>
                  <w:rStyle w:val="InternetLink"/>
                  <w:rFonts w:ascii="Times New Roman;sans-serif" w:hAnsi="Times New Roman;sans-serif"/>
                  <w:b w:val="false"/>
                  <w:strike w:val="false"/>
                  <w:dstrike w:val="false"/>
                  <w:color w:val="000000"/>
                  <w:sz w:val="19"/>
                  <w:u w:val="none"/>
                  <w:effect w:val="none"/>
                </w:rPr>
                <w:t>77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91">
              <w:r>
                <w:rPr>
                  <w:rStyle w:val="InternetLink"/>
                  <w:rFonts w:ascii="Times New Roman;sans-serif" w:hAnsi="Times New Roman;sans-serif"/>
                  <w:b w:val="false"/>
                  <w:color w:val="0000FF"/>
                  <w:sz w:val="19"/>
                  <w:u w:val="single"/>
                </w:rPr>
                <w:t>Item 8. 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91">
              <w:r>
                <w:rPr>
                  <w:rStyle w:val="InternetLink"/>
                  <w:rFonts w:ascii="Times New Roman;sans-serif" w:hAnsi="Times New Roman;sans-serif"/>
                  <w:b w:val="false"/>
                  <w:strike w:val="false"/>
                  <w:dstrike w:val="false"/>
                  <w:color w:val="000000"/>
                  <w:sz w:val="19"/>
                  <w:u w:val="none"/>
                  <w:effect w:val="none"/>
                </w:rPr>
                <w:t>79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81">
              <w:r>
                <w:rPr>
                  <w:rStyle w:val="InternetLink"/>
                  <w:rFonts w:ascii="Times New Roman;sans-serif" w:hAnsi="Times New Roman;sans-serif"/>
                  <w:b w:val="false"/>
                  <w:color w:val="0000FF"/>
                  <w:sz w:val="19"/>
                  <w:u w:val="single"/>
                </w:rPr>
                <w:t>Item 9. 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81">
              <w:r>
                <w:rPr>
                  <w:rStyle w:val="InternetLink"/>
                  <w:rFonts w:ascii="Times New Roman;sans-serif" w:hAnsi="Times New Roman;sans-serif"/>
                  <w:b w:val="false"/>
                  <w:strike w:val="false"/>
                  <w:dstrike w:val="false"/>
                  <w:color w:val="000000"/>
                  <w:sz w:val="19"/>
                  <w:u w:val="none"/>
                  <w:effect w:val="none"/>
                </w:rPr>
                <w:t>117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84">
              <w:r>
                <w:rPr>
                  <w:rStyle w:val="InternetLink"/>
                  <w:rFonts w:ascii="Times New Roman;sans-serif" w:hAnsi="Times New Roman;sans-serif"/>
                  <w:b w:val="false"/>
                  <w:color w:val="0000FF"/>
                  <w:sz w:val="19"/>
                  <w:u w:val="single"/>
                </w:rPr>
                <w:t>Item 9A. 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84">
              <w:r>
                <w:rPr>
                  <w:rStyle w:val="InternetLink"/>
                  <w:rFonts w:ascii="Times New Roman;sans-serif" w:hAnsi="Times New Roman;sans-serif"/>
                  <w:b w:val="false"/>
                  <w:strike w:val="false"/>
                  <w:dstrike w:val="false"/>
                  <w:color w:val="000000"/>
                  <w:sz w:val="19"/>
                  <w:u w:val="none"/>
                  <w:effect w:val="none"/>
                </w:rPr>
                <w:t>117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87">
              <w:r>
                <w:rPr>
                  <w:rStyle w:val="InternetLink"/>
                  <w:rFonts w:ascii="Times New Roman;sans-serif" w:hAnsi="Times New Roman;sans-serif"/>
                  <w:b w:val="false"/>
                  <w:color w:val="0000FF"/>
                  <w:sz w:val="19"/>
                  <w:u w:val="single"/>
                </w:rPr>
                <w:t>Item 9B.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87">
              <w:r>
                <w:rPr>
                  <w:rStyle w:val="InternetLink"/>
                  <w:rFonts w:ascii="Times New Roman;sans-serif" w:hAnsi="Times New Roman;sans-serif"/>
                  <w:b w:val="false"/>
                  <w:strike w:val="false"/>
                  <w:dstrike w:val="false"/>
                  <w:color w:val="000000"/>
                  <w:sz w:val="19"/>
                  <w:u w:val="none"/>
                  <w:effect w:val="none"/>
                </w:rPr>
                <w:t>118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90">
              <w:r>
                <w:rPr>
                  <w:rStyle w:val="InternetLink"/>
                  <w:rFonts w:ascii="Times New Roman;sans-serif" w:hAnsi="Times New Roman;sans-serif"/>
                  <w:b w:val="false"/>
                  <w:color w:val="0000FF"/>
                  <w:sz w:val="19"/>
                  <w:u w:val="single"/>
                </w:rPr>
                <w:t>Item 9C. Disclosure Regarding Foreign Jurisdictions that Prevent Inspections</w:t>
              </w:r>
            </w:hyperlink>
            <w:r>
              <w:rPr>
                <w:rFonts w:ascii="Times New Roman;sans-serif" w:hAnsi="Times New Roman;sans-serif"/>
                <w:b w:val="false"/>
                <w:color w:val="000000"/>
                <w:sz w:val="19"/>
              </w:rPr>
              <w:t>.</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87">
              <w:r>
                <w:rPr>
                  <w:rStyle w:val="InternetLink"/>
                  <w:rFonts w:ascii="Times New Roman;sans-serif" w:hAnsi="Times New Roman;sans-serif"/>
                  <w:b w:val="false"/>
                  <w:strike w:val="false"/>
                  <w:dstrike w:val="false"/>
                  <w:color w:val="000000"/>
                  <w:sz w:val="19"/>
                  <w:u w:val="none"/>
                  <w:effect w:val="none"/>
                </w:rPr>
                <w:t>118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93">
              <w:r>
                <w:rPr>
                  <w:rStyle w:val="InternetLink"/>
                  <w:rFonts w:ascii="Times New Roman;sans-serif" w:hAnsi="Times New Roman;sans-serif"/>
                  <w:b/>
                  <w:color w:val="0000FF"/>
                  <w:sz w:val="19"/>
                  <w:u w:val="single"/>
                </w:rPr>
                <w:t>PART III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96">
              <w:r>
                <w:rPr>
                  <w:rStyle w:val="InternetLink"/>
                  <w:rFonts w:ascii="Times New Roman;sans-serif" w:hAnsi="Times New Roman;sans-serif"/>
                  <w:b w:val="false"/>
                  <w:color w:val="0000FF"/>
                  <w:sz w:val="19"/>
                  <w:u w:val="single"/>
                </w:rPr>
                <w:t>Item 10. 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96">
              <w:r>
                <w:rPr>
                  <w:rStyle w:val="InternetLink"/>
                  <w:rFonts w:ascii="Times New Roman;sans-serif" w:hAnsi="Times New Roman;sans-serif"/>
                  <w:b w:val="false"/>
                  <w:strike w:val="false"/>
                  <w:dstrike w:val="false"/>
                  <w:color w:val="000000"/>
                  <w:sz w:val="19"/>
                  <w:u w:val="none"/>
                  <w:effect w:val="none"/>
                </w:rPr>
                <w:t>119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99">
              <w:r>
                <w:rPr>
                  <w:rStyle w:val="InternetLink"/>
                  <w:rFonts w:ascii="Times New Roman;sans-serif" w:hAnsi="Times New Roman;sans-serif"/>
                  <w:b w:val="false"/>
                  <w:color w:val="0000FF"/>
                  <w:sz w:val="19"/>
                  <w:u w:val="single"/>
                </w:rPr>
                <w:t>Item 11. 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99">
              <w:r>
                <w:rPr>
                  <w:rStyle w:val="InternetLink"/>
                  <w:rFonts w:ascii="Times New Roman;sans-serif" w:hAnsi="Times New Roman;sans-serif"/>
                  <w:b w:val="false"/>
                  <w:strike w:val="false"/>
                  <w:dstrike w:val="false"/>
                  <w:color w:val="000000"/>
                  <w:sz w:val="19"/>
                  <w:u w:val="none"/>
                  <w:effect w:val="none"/>
                </w:rPr>
                <w:t>119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02">
              <w:r>
                <w:rPr>
                  <w:rStyle w:val="InternetLink"/>
                  <w:rFonts w:ascii="Times New Roman;sans-serif" w:hAnsi="Times New Roman;sans-serif"/>
                  <w:b w:val="false"/>
                  <w:color w:val="0000FF"/>
                  <w:sz w:val="19"/>
                  <w:u w:val="single"/>
                </w:rPr>
                <w:t>Item 12. 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02">
              <w:r>
                <w:rPr>
                  <w:rStyle w:val="InternetLink"/>
                  <w:rFonts w:ascii="Times New Roman;sans-serif" w:hAnsi="Times New Roman;sans-serif"/>
                  <w:b w:val="false"/>
                  <w:strike w:val="false"/>
                  <w:dstrike w:val="false"/>
                  <w:color w:val="000000"/>
                  <w:sz w:val="19"/>
                  <w:u w:val="none"/>
                  <w:effect w:val="none"/>
                </w:rPr>
                <w:t>119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05">
              <w:r>
                <w:rPr>
                  <w:rStyle w:val="InternetLink"/>
                  <w:rFonts w:ascii="Times New Roman;sans-serif" w:hAnsi="Times New Roman;sans-serif"/>
                  <w:b w:val="false"/>
                  <w:color w:val="0000FF"/>
                  <w:sz w:val="19"/>
                  <w:u w:val="single"/>
                </w:rPr>
                <w:t>Item 13. 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05">
              <w:r>
                <w:rPr>
                  <w:rStyle w:val="InternetLink"/>
                  <w:rFonts w:ascii="Times New Roman;sans-serif" w:hAnsi="Times New Roman;sans-serif"/>
                  <w:b w:val="false"/>
                  <w:strike w:val="false"/>
                  <w:dstrike w:val="false"/>
                  <w:color w:val="000000"/>
                  <w:sz w:val="19"/>
                  <w:u w:val="none"/>
                  <w:effect w:val="none"/>
                </w:rPr>
                <w:t>119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08">
              <w:r>
                <w:rPr>
                  <w:rStyle w:val="InternetLink"/>
                  <w:rFonts w:ascii="Times New Roman;sans-serif" w:hAnsi="Times New Roman;sans-serif"/>
                  <w:b w:val="false"/>
                  <w:color w:val="0000FF"/>
                  <w:sz w:val="19"/>
                  <w:u w:val="single"/>
                </w:rPr>
                <w:t>Item 14. 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08">
              <w:r>
                <w:rPr>
                  <w:rStyle w:val="InternetLink"/>
                  <w:rFonts w:ascii="Times New Roman;sans-serif" w:hAnsi="Times New Roman;sans-serif"/>
                  <w:b w:val="false"/>
                  <w:strike w:val="false"/>
                  <w:dstrike w:val="false"/>
                  <w:color w:val="000000"/>
                  <w:sz w:val="19"/>
                  <w:u w:val="none"/>
                  <w:effect w:val="none"/>
                </w:rPr>
                <w:t>119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11">
              <w:r>
                <w:rPr>
                  <w:rStyle w:val="InternetLink"/>
                  <w:rFonts w:ascii="Times New Roman;sans-serif" w:hAnsi="Times New Roman;sans-serif"/>
                  <w:b/>
                  <w:color w:val="0000FF"/>
                  <w:sz w:val="19"/>
                  <w:u w:val="single"/>
                </w:rPr>
                <w:t>PART IV</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14">
              <w:r>
                <w:rPr>
                  <w:rStyle w:val="InternetLink"/>
                  <w:rFonts w:ascii="Times New Roman;sans-serif" w:hAnsi="Times New Roman;sans-serif"/>
                  <w:b w:val="false"/>
                  <w:color w:val="0000FF"/>
                  <w:sz w:val="19"/>
                  <w:u w:val="single"/>
                </w:rPr>
                <w:t>Item 15. Exhibits,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14">
              <w:r>
                <w:rPr>
                  <w:rStyle w:val="InternetLink"/>
                  <w:rFonts w:ascii="Times New Roman;sans-serif" w:hAnsi="Times New Roman;sans-serif"/>
                  <w:b w:val="false"/>
                  <w:strike w:val="false"/>
                  <w:dstrike w:val="false"/>
                  <w:color w:val="000000"/>
                  <w:sz w:val="19"/>
                  <w:u w:val="none"/>
                  <w:effect w:val="none"/>
                </w:rPr>
                <w:t>120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17">
              <w:r>
                <w:rPr>
                  <w:rStyle w:val="InternetLink"/>
                  <w:rFonts w:ascii="Times New Roman;sans-serif" w:hAnsi="Times New Roman;sans-serif"/>
                  <w:b w:val="false"/>
                  <w:color w:val="0000FF"/>
                  <w:sz w:val="19"/>
                  <w:u w:val="single"/>
                </w:rPr>
                <w:t>Item 16. 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17">
              <w:r>
                <w:rPr>
                  <w:rStyle w:val="InternetLink"/>
                  <w:rFonts w:ascii="Times New Roman;sans-serif" w:hAnsi="Times New Roman;sans-serif"/>
                  <w:b w:val="false"/>
                  <w:strike w:val="false"/>
                  <w:dstrike w:val="false"/>
                  <w:color w:val="000000"/>
                  <w:sz w:val="19"/>
                  <w:u w:val="none"/>
                  <w:effect w:val="none"/>
                </w:rPr>
                <w:t>122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220">
              <w:r>
                <w:rPr>
                  <w:rStyle w:val="InternetLink"/>
                  <w:rFonts w:ascii="Times New Roman;sans-serif" w:hAnsi="Times New Roman;sans-serif"/>
                  <w:b/>
                  <w:color w:val="0000FF"/>
                  <w:sz w:val="19"/>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220">
              <w:r>
                <w:rPr>
                  <w:rStyle w:val="InternetLink"/>
                  <w:rFonts w:ascii="Times New Roman;sans-serif" w:hAnsi="Times New Roman;sans-serif"/>
                  <w:b w:val="false"/>
                  <w:strike w:val="false"/>
                  <w:dstrike w:val="false"/>
                  <w:color w:val="000000"/>
                  <w:sz w:val="19"/>
                  <w:u w:val="none"/>
                  <w:effect w:val="none"/>
                </w:rPr>
                <w:t>123</w:t>
              </w:r>
            </w:hyperlink>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60" w:after="283"/>
        <w:jc w:val="center"/>
        <w:rPr>
          <w:rFonts w:ascii="Arial;sans-serif" w:hAnsi="Arial;sans-serif"/>
          <w:b/>
          <w:color w:val="000000"/>
          <w:sz w:val="20"/>
          <w:shd w:fill="FFFFFF" w:val="clear"/>
        </w:rPr>
      </w:pPr>
      <w:r>
        <w:rPr>
          <w:rFonts w:ascii="Arial;sans-serif" w:hAnsi="Arial;sans-serif"/>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are forward-looking statements. Statements regarding our future results of operations and financial position, business strategy and plans and objectives of management for future operations, including, among others, statements regarding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include, among other things, statements about: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expectations regarding our revenue, expenses, and other operating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ability to acquire new customers and successfully retain existing customers;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ability to achieve or sustain our profitability;</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future investments in our business, our anticipated capital expenditures, and our estimates regarding our capital requirements;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the costs and success of our sales and marketing efforts, and our ability to promote our brand;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growth strategies;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reliance on key personnel and our ability to identify, recruit, and retain skilled personnel;</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ability to effectively manage our growth;</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ability to protect our intellectual property rights and any costs associated therewith;</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the effects of COVID-19 or other public health crises;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developments and expectations regarding developments and projections relating to our competitors and our industry; and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expectations regarding the time during which we will be an emerging growth company under the Jumpstart Our Business Startup Act of 2012.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forward-looking statements speak only as of the date of this Annual Report on Form 10-K. Except as required by applicable law, we do not plan to publicly update or revise any forward-looking statements contained in this report after we distribute this Annual Report on Form 10-K, whether as a result of any new information, future events or otherwise.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SUMMARY OF MATERIAL RISKS ASSOCIATED WITH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business is subject to numerous risks and uncertainties that you should be aware, including those described in the section entitled “Risk Factors.” The risks include the following:</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have a history of net losses, and we may not achieve or maintain profitability in the future;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depend on market acceptance of third-party semiconductor IP;</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Even if we succeed in securing design wins for our IP interconnect and other solutions and our System-on-Chip (</w:t>
      </w:r>
      <w:r>
        <w:rPr>
          <w:rFonts w:ascii="Arial;sans-serif" w:hAnsi="Arial;sans-serif"/>
          <w:b w:val="false"/>
          <w:color w:val="000000"/>
          <w:sz w:val="19"/>
        </w:rPr>
        <w:t xml:space="preserve">SoC) Integration Automation software (SIA) (formerly IP deployment software) </w:t>
      </w:r>
      <w:r>
        <w:rPr>
          <w:rFonts w:ascii="Arial;sans-serif" w:hAnsi="Arial;sans-serif"/>
          <w:b w:val="false"/>
          <w:color w:val="000000"/>
          <w:sz w:val="19"/>
          <w:shd w:fill="FFFFFF" w:val="clear"/>
        </w:rPr>
        <w:t>solutions, we may not generate timely or sufficient margins or margins from those wins and our financial results could suffer;</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Claims by other companies that we infringe their intellectual property rights or that patents on which we rely are invalid could adversely affect our business;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9"/>
          <w:shd w:fill="FFFFFF" w:val="clear"/>
        </w:rPr>
        <w:t xml:space="preserve">We are subject to government regulation, including import, export and economic sanctions laws and regulations that may expose us to liability and increase our costs;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Product errors or defects could expose us to liability and harm our reputation and we could lose market share;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If we fail to offer high-quality support, our reputation could suffer;</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dependence on international customers and operations also subjects us to a range of other additional regulatory, operational, financial and political risks that could adversely affect our financial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If we are unable to protect our proprietary technology and inventions through patents and other IP rights, our ability to compete successfully and our financial results could be adversely impacted;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face risks associated with doing business in China; and</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Litigation, including securities class action litigation, may impair our reputation and lead us to incur significant costs. For example, we are currently involved in ongoing litigation related to patent infringement claims.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 Business</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for our solutions is being driven by growing SoC sophistication and associated complexity, now extending into disaggregation of SoCs into systems which implement the communication protocol aspects and partner with industry leading providers like Synopsys, Cadence, Alphawave and others to connect to their die to 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w:t>
      </w:r>
      <w:r>
        <w:rPr>
          <w:rFonts w:ascii="Arial;sans-serif" w:hAnsi="Arial;sans-serif"/>
          <w:b w:val="false"/>
          <w:color w:val="000000"/>
          <w:sz w:val="19"/>
        </w:rPr>
        <w:t xml:space="preserve">SoC Integration Automation software (SIA) (formerly IP deployment software) </w:t>
      </w:r>
      <w:r>
        <w:rPr>
          <w:rFonts w:ascii="Arial;sans-serif" w:hAnsi="Arial;sans-serif"/>
          <w:b w:val="false"/>
          <w:color w:val="000000"/>
          <w:sz w:val="19"/>
          <w:shd w:fill="FFFFFF" w:val="clear"/>
        </w:rPr>
        <w:t>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Founded in 2003, we are among the pioneers in the development of NoC IP technology for on-chip communication that addresses the growing complexity, performance, and cost requirements of SoC semiconductors and as a result, we have emerged as a global leader. Over time, we have expanded and scaled our interconnect IP and other IP businesses to provide hardware, software, documentation, support, and training under a license fee and a royalty business model, to companies that design and produce semiconductors. In addition, we are also finding an increasing number of customers further down the supply chain, such as system-level companies and automotive original equipment manufacturers (OEMs). Our SoC integration automation capabilities were significantly enhanced by our acquisitions of Magillem in 2020 and Semifore in 2022, complementing our interconnect IP solutions by helping automate the customer configuration of its NoC IPs, the process of integrating and assembling all the customer’s IP blocks into SoC hardware, and ensuring correct hardware-software integration for software development. Products incorporating our IP are used to carry important data inside today’s complex SoCs across a broad range of applications including automotive, enterprise computing, communications, consumer electronics, and industrial markets. Our interconnect IP solutions can be found in multiple industry-standard designs supporting instruction set architectures such as x86, Arm, RISC-V, CEVA, Synopsys ARC, Cadence Tensilica and MIPS, as well as memory controllers, UCIe, BoW, and XSR controllers, I/O and a variety of IP subsystems, to enable customers to integrate such IP blocks with high levels of efficiency and performance. Our solutions enable customer innovation because they are configurable for each customer’s design flow and SoC development projects and have wide applicability for many types of SoCs. We estimate that our solutions have been incorporated into three and a half billion production SoCs since inception.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Traditional on-chip communication methods, including bus and crossbar interconnect IPs, are generally inadequate in handling modern semiconductor communications, and even more so for sophisticated applications or more complex designs. Technological advancements have led to increasingly complex SoCs that integrate numerous functions into a single semiconductor device. Massive amounts of wires, challenging timing closure, and routing congestion lead to greater die area and chip cost. Increased transistor density and design frequencies create higher power consumption leading to heat dissipation challenges and shorter battery life for electronic devices. These challenges have significantly complicated SoC innovation and contributed to the increasing adoption of System IP, across the growing number of customer design starts coupled with the expanding number of NoC IPs used in current SoC.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leveraged our extensive technical expertise to develop configurable IP for a new method for on-chip communication, the NoC, that has emerged over the past couple of decades to address these critical semiconductor development challenges. We accomplished this by pioneering the use of proprietary networking techniques for on-chip communications to remove the inherent architectural limitations of traditional on-chip communications, thereby improving ease of integration, performance, silicon area, and power consumption. In doing so, we enable our customers to achieve their design goals faster, more efficiently, and at lower costs. In addition, our SIA solutions enable easier IP integration of our interconnect IPs – among other IP blocks that make up an SoC, across both hardware and software.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work directly with our customers throughout the SoC development process and seek to develop long-term, sustainable relationships with them as our technology becomes embedded in their products. Increasingly, we are also seeing system companies and even their customers becoming directly involved in SoC and NoC specifications and design, further expanding our ability to partner in this growing market. We also leverage our long history in interconnect IP designs and are able to serve a broad range of applications and deliver application and customer-specific features to our customers. For example, we are a leader in the market of interconnect for advanced driver assistance systems (ADAS) SoCs, which we believe is a result of our quality, reliability, and innovative technology targeted at that business application, and longstanding collaboration with automotive semiconductor companies, Tier 1 suppliers, and car manufacturing OEMs.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solutions for the global SoC market and believe that market growth will be driven by an increasing number of SoC designs and growing complexity, increasing average selling prices of interconnect IP and SIA, and the growing proliferation of the NoC interface IP market segment. More specifically, we believe our growth will be driven by technology trends requiring more sophisticated on-chip processing in the automotive, communications, enterprise computing, consumer electronics, and industrial markets. Also, the need for sophisticated system IP products is growing rapidly in order to address the requirements of smaller die size, multi-die systems, lower power consumption, and higher operation frequency, as well as management of critical net latency in a timely and cost-effective manner. As a result, we believe these trends have led to an increased economic benefit of in-licensing commercial semiconductor design IP, a trend that we expect to continue.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For the years ended December 31, 2023 and 2022, we generated $53.7 million and $50.4 million in revenue, $15.7 million and $6.8 million in cash flows used in operating activities, and $36.9 million and $27.4 million in net loss, respectively. We expect to incur further net losses in the short term as we invest in our business. As of December 31, 2023, we had Annual Contract Value (ACV), which we define for an individual customer agreement as the total fixed fees under the agreement divided by the number of years in the agreement term, of $50.9 million. ACV and trailing-twelve-months variable royalties and other revenue reached $56.1 million as of December 31, 2023. Since our inception, our interconnect IP solutions have been used in over 760 unique SoC Design Starts. In 2023, we added 23 net new Active Customers. We define Active Customers as customers who have entered into a license agreement with us that remains in effect. </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Industry Background</w:t>
      </w:r>
    </w:p>
    <w:p>
      <w:pPr>
        <w:pStyle w:val="TextBody"/>
        <w:bidi w:val="0"/>
        <w:spacing w:lineRule="auto" w:line="288" w:before="180" w:after="283"/>
        <w:jc w:val="both"/>
        <w:rPr/>
      </w:pPr>
      <w:r>
        <w:rPr>
          <w:rFonts w:ascii="Arial;sans-serif" w:hAnsi="Arial;sans-serif"/>
          <w:b w:val="false"/>
          <w:i/>
          <w:color w:val="000000"/>
          <w:sz w:val="19"/>
          <w:shd w:fill="FFFFFF" w:val="clear"/>
        </w:rPr>
        <w:t>Semiconductor complexity is increasing as the industry moves from integrated circuits (ICs) that process data to SoCs that make decisions, and now extends to systems. </w:t>
      </w:r>
      <w:r>
        <w:rPr>
          <w:rFonts w:ascii="Arial;sans-serif" w:hAnsi="Arial;sans-serif"/>
          <w:b w:val="false"/>
          <w:color w:val="000000"/>
          <w:sz w:val="19"/>
          <w:shd w:fill="FFFFFF" w:val="clear"/>
        </w:rPr>
        <w:t>Historically, a chip’s complexity was much lower as processors were connected to memories with relatively few peripheral IP block functions. Once the industry moved to 40 nanometer (nm) and more advanced process geometries, it became possible to build more complex SoCs, such as mobile phone application processors, which contained many more IP blocks and consequently required more sophisticated on-chip communications. With the rise of machine learning algorithms and architectures, such as convolutional neural networks, and semiconductor process technologies reaching 3nm geometries, with roadmaps to go beyond these process technologies, it became possible to build complex decision-making SoCs for applications such as automated driving and enterprise computing data center acceleration. Integration of processors, accelerators, machine learning subsystems, sophisticated multi-channel memories, and an ever-larger number of interface standards have placed a premium on the ability to move data efficiently inside the SoC and between SoC chiplets. These trends further highlight the growing importance of interconnect IP in today’s SoCs.</w:t>
      </w:r>
    </w:p>
    <w:p>
      <w:pPr>
        <w:pStyle w:val="TextBody"/>
        <w:bidi w:val="0"/>
        <w:spacing w:lineRule="auto" w:line="288" w:before="180" w:after="283"/>
        <w:jc w:val="both"/>
        <w:rPr/>
      </w:pPr>
      <w:r>
        <w:rPr>
          <w:rFonts w:ascii="Arial;sans-serif" w:hAnsi="Arial;sans-serif"/>
          <w:b w:val="false"/>
          <w:i/>
          <w:color w:val="000000"/>
          <w:sz w:val="19"/>
          <w:shd w:fill="FFFFFF" w:val="clear"/>
        </w:rPr>
        <w:t>Increasing chip design complexity leads to rising costs. </w:t>
      </w:r>
      <w:r>
        <w:rPr>
          <w:rFonts w:ascii="Arial;sans-serif" w:hAnsi="Arial;sans-serif"/>
          <w:b w:val="false"/>
          <w:color w:val="000000"/>
          <w:sz w:val="19"/>
          <w:shd w:fill="FFFFFF" w:val="clear"/>
        </w:rPr>
        <w:t>The slowing of Moore’s law and the need for more functionality and performance has necessitated new architectural paradigms and accelerated the move to more advanced process nodes. This has resulted in the adoption of significantly more expensive and complex chip design methods and manufacturing processes, creating a substantial rise in semiconductor design costs. Costs continue trending upwards, as the design costs of an advanced SoC have risen five times from the 16nm technology node to the 5nm technology node, according to the Semiconductor Industry Association, and are now extending to 3nm technology and beyond. This has placed increasing importance on the cost efficiencies provided by System IP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i/>
          <w:color w:val="000000"/>
          <w:sz w:val="19"/>
          <w:shd w:fill="FFFFFF" w:val="clear"/>
        </w:rPr>
        <w:t>Increasing SoC complexity leads to increasing System IP value. </w:t>
      </w:r>
      <w:r>
        <w:rPr>
          <w:rFonts w:ascii="Arial;sans-serif" w:hAnsi="Arial;sans-serif"/>
          <w:b w:val="false"/>
          <w:color w:val="000000"/>
          <w:sz w:val="19"/>
          <w:shd w:fill="FFFFFF" w:val="clear"/>
        </w:rPr>
        <w:t>It is common for today’s SoC to contain multiple types of data traffic in the same design, with a hierarchy of NoCs connecting sub-systems and eventually the top-level of the design. In addition, the large number of IP blocks in complex SoCs means that more data traffic must be successfully managed. Data must be brought to each of these IP blocks at a time where such data is required—otherwise that IP block will be “starved” of data. As their size has grown, partially due to the incorporation of machine learning subsystems, SoCs are being split into chiplets, which are smaller pieces of silicon packaged together into one unit. Communication between chiplets adds complexity, which increases the value of interconnect IP. Another complexity factor is the increasing use of cache coherent traffic which makes multiple processors and/or accelerators look like a single hardware programming space to the application software, simplifying software development.</w:t>
      </w:r>
      <w:r>
        <w:rPr>
          <w:color w:val="000000"/>
        </w:rPr>
        <w:t xml:space="preserve"> </w:t>
      </w:r>
      <w:r>
        <w:rPr>
          <w:rFonts w:ascii="Arial;sans-serif" w:hAnsi="Arial;sans-serif"/>
          <w:b w:val="false"/>
          <w:color w:val="000000"/>
          <w:sz w:val="19"/>
          <w:shd w:fill="FFFFFF" w:val="clear"/>
        </w:rPr>
        <w:t>Many complex SoCs now use cache coherent and non-coherent traffic in a single SoC, raising the volume and value of our System IP solutions.</w:t>
      </w:r>
    </w:p>
    <w:p>
      <w:pPr>
        <w:pStyle w:val="TextBody"/>
        <w:bidi w:val="0"/>
        <w:spacing w:lineRule="auto" w:line="288" w:before="180" w:after="283"/>
        <w:jc w:val="both"/>
        <w:rPr/>
      </w:pPr>
      <w:r>
        <w:rPr>
          <w:rFonts w:ascii="Arial;sans-serif" w:hAnsi="Arial;sans-serif"/>
          <w:b w:val="false"/>
          <w:i/>
          <w:color w:val="000000"/>
          <w:sz w:val="19"/>
          <w:shd w:fill="FFFFFF" w:val="clear"/>
        </w:rPr>
        <w:t>Increasing SoC complexity puts pressure on IP block assembly and connectivity efforts. </w:t>
      </w:r>
      <w:r>
        <w:rPr>
          <w:rFonts w:ascii="Arial;sans-serif" w:hAnsi="Arial;sans-serif"/>
          <w:b w:val="false"/>
          <w:color w:val="000000"/>
          <w:sz w:val="19"/>
          <w:shd w:fill="FFFFFF" w:val="clear"/>
        </w:rPr>
        <w:t>With potentially hundreds of IP blocks coming from a variety of vendors and internal development groups, SoC teams need to manage the IP supply chains with increasingly capable SoC integration automation. These teams and their electronic design software (EDA) groups also need to put in place increasingly capable SoC integration methodologies to improve SoC development success. These developments have driven the semiconductor industry to use</w:t>
      </w:r>
      <w:r>
        <w:rPr>
          <w:color w:val="000000"/>
        </w:rPr>
        <w:t xml:space="preserve"> </w:t>
      </w:r>
      <w:r>
        <w:rPr>
          <w:rFonts w:ascii="Arial;sans-serif" w:hAnsi="Arial;sans-serif"/>
          <w:b w:val="false"/>
          <w:color w:val="000000"/>
          <w:sz w:val="19"/>
        </w:rPr>
        <w:t>SoC integration automation standards such as IEEE 1685 IP-XACT which are becoming increasingly sophisticate</w:t>
      </w:r>
      <w:r>
        <w:rPr>
          <w:rFonts w:ascii="Arial;sans-serif" w:hAnsi="Arial;sans-serif"/>
          <w:b w:val="false"/>
          <w:color w:val="000000"/>
          <w:sz w:val="19"/>
          <w:shd w:fill="FFFFFF" w:val="clear"/>
        </w:rPr>
        <w:t>d with each generation and require more sophisticated software to support them.</w:t>
      </w:r>
    </w:p>
    <w:p>
      <w:pPr>
        <w:pStyle w:val="TextBody"/>
        <w:bidi w:val="0"/>
        <w:spacing w:lineRule="auto" w:line="288" w:before="180" w:after="283"/>
        <w:jc w:val="both"/>
        <w:rPr/>
      </w:pPr>
      <w:r>
        <w:rPr>
          <w:rFonts w:ascii="Arial;sans-serif" w:hAnsi="Arial;sans-serif"/>
          <w:b w:val="false"/>
          <w:i/>
          <w:color w:val="000000"/>
          <w:sz w:val="19"/>
          <w:shd w:fill="FFFFFF" w:val="clear"/>
        </w:rPr>
        <w:t>Increasing demand from emerging end markets and new market participants.</w:t>
      </w:r>
      <w:r>
        <w:rPr>
          <w:color w:val="000000"/>
          <w:shd w:fill="FFFFFF" w:val="clear"/>
        </w:rPr>
        <w:t> </w:t>
      </w:r>
      <w:r>
        <w:rPr>
          <w:rFonts w:ascii="Arial;sans-serif" w:hAnsi="Arial;sans-serif"/>
          <w:b w:val="false"/>
          <w:color w:val="000000"/>
          <w:sz w:val="19"/>
          <w:shd w:fill="FFFFFF" w:val="clear"/>
        </w:rPr>
        <w:t>New applications in markets such as automotive, enterprise computing, communications, consumer electronics, and industrial have increased the diversity and overall demand in the semiconductor market. These new applications, often including an increasing level of AI/ML technology, safety, or complex hardware-software integrations, have led to an increase in the number and complexity of SoC designs. Chips used for AI training and inference acceleration have increased in die size, further increasing design costs with new design complexities and performance requirements. Also, new market participants, such as electronic system companies, internet hyperscalers, and automotive OEMs, have begun internally developing their own chips. The increasing demand from current and new market entrants is increasing the need for System IP solutions.</w:t>
      </w:r>
    </w:p>
    <w:p>
      <w:pPr>
        <w:pStyle w:val="TextBody"/>
        <w:bidi w:val="0"/>
        <w:spacing w:lineRule="auto" w:line="288" w:before="180" w:after="283"/>
        <w:jc w:val="both"/>
        <w:rPr/>
      </w:pPr>
      <w:r>
        <w:rPr>
          <w:rFonts w:ascii="Arial;sans-serif" w:hAnsi="Arial;sans-serif"/>
          <w:b w:val="false"/>
          <w:i/>
          <w:color w:val="000000"/>
          <w:sz w:val="19"/>
          <w:shd w:fill="FFFFFF" w:val="clear"/>
        </w:rPr>
        <w:t>Shift to third-party IP for cost benefits, product differentiation, and accelerated time to market. </w:t>
      </w:r>
      <w:r>
        <w:rPr>
          <w:rFonts w:ascii="Arial;sans-serif" w:hAnsi="Arial;sans-serif"/>
          <w:b w:val="false"/>
          <w:color w:val="000000"/>
          <w:sz w:val="19"/>
          <w:shd w:fill="FFFFFF" w:val="clear"/>
        </w:rPr>
        <w:t>It is difficult, time-consuming and expensive to develop state-of-the-art SoC interconnect IP solutions. We believe this dynamic is accelerating the degree to which interconnect IP solutions are outsourced to commercial vendors. Commercial interconnect vendors, such as Arteris, have the potential to accelerate time-to-market because they engage with a greater variety of SoC applications and a greater variety of designs than the typical internal interconnect teams. Commercial vendors are also able to spread interconnect and SoC development costs across a greater number of projects than internal interconnect and design teams.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System IP Market</w:t>
      </w:r>
    </w:p>
    <w:p>
      <w:pPr>
        <w:pStyle w:val="TextBody"/>
        <w:bidi w:val="0"/>
        <w:spacing w:lineRule="auto" w:line="288" w:before="180" w:after="283"/>
        <w:jc w:val="both"/>
        <w:rPr/>
      </w:pPr>
      <w:r>
        <w:rPr>
          <w:rFonts w:ascii="Arial;sans-serif" w:hAnsi="Arial;sans-serif"/>
          <w:b w:val="false"/>
          <w:color w:val="000000"/>
          <w:sz w:val="19"/>
          <w:shd w:fill="FFFFFF" w:val="clear"/>
        </w:rPr>
        <w:t xml:space="preserve">SoC-type semiconductors consist of pre-made IP blocks that are either licensed from third parties by semiconductor and electronics companies or developed in-house. These IP blocks must be assembled into SoCs as efficiently as possible to address semiconductor company and system OEM customer requirements. Many of these IP blocks, including processors and other functional blocks, such as machine learning and vision subsystems, perform processing functions and execute complex software stacks. These IP blocks can number in the hundreds on a single chip and generate and consume commands and data, as well as work together as a unit. As SoCs become more complex, there has emerged a class of silicon IP and software tools designed to assemble these IP blocks into a functioning SoC at target cost and performance. We call this the System IP market. The System IP market consists of interconnect IP, NoC interface IP and SIA solutions. According to Informa PLC (Omdia), the semiconductor market is set to grow from about </w:t>
      </w:r>
      <w:r>
        <w:rPr>
          <w:rFonts w:ascii="Arial;sans-serif" w:hAnsi="Arial;sans-serif"/>
          <w:b w:val="false"/>
          <w:color w:val="000000"/>
          <w:sz w:val="19"/>
        </w:rPr>
        <w:t xml:space="preserve">$604 billion in 2022 to $734 </w:t>
      </w:r>
      <w:r>
        <w:rPr>
          <w:rFonts w:ascii="Arial;sans-serif" w:hAnsi="Arial;sans-serif"/>
          <w:b w:val="false"/>
          <w:color w:val="000000"/>
          <w:sz w:val="19"/>
          <w:shd w:fill="FFFFFF" w:val="clear"/>
        </w:rPr>
        <w:t>billion in 2026. As SoC technology evolves, we believe that there is a significant opportunity for us to grow our value by introducing additional functionality for our customers to integrate their SoCs efficiently using our System IP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Omdia segments the aforementioned semiconductor and OEM markets into six industry segments: automotive, computing, consumer, industrial, wireless, and wired communication. Our market penetration spans all of these segments and customer adoption is most pronounced in the automotive, enterprise computing, consumer electronics, communications across wired and wireless, and industrial segments, driven by a higher rate of disruptive innovations. While the key focus is in the SoC design itself, we greatly benefit from the verticalization trend in which traditional OEMs increase the control of their design chain driving system requirements into semiconductor and IP companies, and often take on the semiconductor design themselves or with their semiconductor company suppliers. These trends of specialization and OEMs controlling their own destiny in light of supply chain disruptions are amplified by trends towards heterogeneous disaggregation of SoC design into multi-die systems and 3D-IC assembly. Overlaid over the industry </w:t>
      </w:r>
      <w:r>
        <w:rPr>
          <w:rFonts w:ascii="Arial;sans-serif" w:hAnsi="Arial;sans-serif"/>
          <w:b w:val="false"/>
          <w:color w:val="000000"/>
          <w:sz w:val="19"/>
        </w:rPr>
        <w:t>vertical markets</w:t>
      </w:r>
      <w:r>
        <w:rPr>
          <w:color w:val="000000"/>
          <w:shd w:fill="FFFFFF" w:val="clear"/>
        </w:rPr>
        <w:t xml:space="preserve"> </w:t>
      </w:r>
      <w:r>
        <w:rPr>
          <w:rFonts w:ascii="Arial;sans-serif" w:hAnsi="Arial;sans-serif"/>
          <w:b w:val="false"/>
          <w:color w:val="000000"/>
          <w:sz w:val="19"/>
          <w:shd w:fill="FFFFFF" w:val="clear"/>
        </w:rPr>
        <w:t xml:space="preserve">mentioned above, the differentiation of semiconductor IP and tools is increasingly determined by the ability to address </w:t>
      </w:r>
      <w:r>
        <w:rPr>
          <w:rFonts w:ascii="Arial;sans-serif" w:hAnsi="Arial;sans-serif"/>
          <w:b w:val="false"/>
          <w:color w:val="000000"/>
          <w:sz w:val="19"/>
        </w:rPr>
        <w:t>horizontal</w:t>
      </w:r>
      <w:r>
        <w:rPr>
          <w:color w:val="000000"/>
          <w:shd w:fill="FFFFFF" w:val="clear"/>
        </w:rPr>
        <w:t xml:space="preserve"> </w:t>
      </w:r>
      <w:r>
        <w:rPr>
          <w:rFonts w:ascii="Arial;sans-serif" w:hAnsi="Arial;sans-serif"/>
          <w:b w:val="false"/>
          <w:color w:val="000000"/>
          <w:sz w:val="19"/>
          <w:shd w:fill="FFFFFF" w:val="clear"/>
        </w:rPr>
        <w:t>market aspects that span across the industry verticals. For instance, we differentiate with our readiness for safety certification for mission-critical and automotive designs, our ability to address specific requirements posed by AI/ML designs in enterprise computing data centers, automotive autonomous driving, and consumer and industrial edge designs. Our support includes standard processor architectures and our experience with enabling our readiness to enable our customers to optimize their System IP for specific semiconductor manufacturing technologies (such as TSMC, Samsung and Intel foundries).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Automotive Applications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automotive market is undergoing technology disruption with the advent of automated driving, electrification, electronic control unit consolidation and vehicle connectivity to the internet. Furthermore, cars are becoming increasingly connected to a large network of data centers, roadside and city infrastructures, and </w:t>
      </w:r>
      <w:r>
        <w:rPr>
          <w:rFonts w:ascii="Arial;sans-serif" w:hAnsi="Arial;sans-serif"/>
          <w:b w:val="false"/>
          <w:color w:val="000000"/>
          <w:sz w:val="19"/>
        </w:rPr>
        <w:t xml:space="preserve">other vehicles, creating the “Internet of Cars.”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automotive semiconductor industry that is expected to drive the “Internet of Cars” is in a period of rapid growth. Omdia estimates that the automotive SoC market will grow from nearly $7.0 billion in 2023 to over $13.1 billion in 2027, at a CAGR of over 17.1%.</w:t>
      </w:r>
    </w:p>
    <w:p>
      <w:pPr>
        <w:pStyle w:val="TextBody"/>
        <w:bidi w:val="0"/>
        <w:spacing w:lineRule="auto" w:line="288" w:before="180" w:after="283"/>
        <w:jc w:val="both"/>
        <w:rPr/>
      </w:pPr>
      <w:r>
        <w:rPr>
          <w:rFonts w:ascii="Arial;sans-serif" w:hAnsi="Arial;sans-serif"/>
          <w:b w:val="false"/>
          <w:color w:val="000000"/>
          <w:sz w:val="19"/>
        </w:rPr>
        <w:t xml:space="preserve">As the electronically enabled car has continued to </w:t>
      </w:r>
      <w:r>
        <w:rPr>
          <w:rFonts w:ascii="Arial;sans-serif" w:hAnsi="Arial;sans-serif"/>
          <w:b w:val="false"/>
          <w:color w:val="000000"/>
          <w:sz w:val="19"/>
          <w:shd w:fill="FFFFFF" w:val="clear"/>
        </w:rPr>
        <w:t>grow in sophistication and performance, complex SoCs must increasingly receive, process and communicate data, further requiring advanced interconnect IP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different levels of automated driving are defined as “Level 1” to “Level 5” with “Level 1” being sophisticated cruise control and “Level 5” being fully automated without the need for human driving intervention. Informa Tech LLC estimates that over half of all light vehicles sold in 2027 will be equipped with ADAS systems considered “Level 2” and above. Behind this leap in ADAS deployments is the growth in the number of ADAS-related semiconductors. Omdia estimates that the annual volume shipments of ADAS semiconductors will double from 2023 to 2027.</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Due to the complex requirements of electronically enabled vehicles and the high rate of innovation required to compete in the “Internet of Cars” revolution, industry players are designing SoCs tailored to their sophisticated software and applications. This will result in more complex automotive-targeted SoCs, which we expect will continue to grow demand for reliable, configurable, and proven interconnect technologies that accelerate a product’s time to market while reducing overall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“Internet of Cars” revolution is disrupting the automotive supply chain. New business models such as ride-sharing, transportation subscriptions and transportation as a service are being created. New potential entrants such as ride-sharing companies, large data center companies, and new automotive startups are changing the automotive business landscape, while increasing demand for more sophisticated transportation-targeted semiconductors and therefore System IP solutions. In addition, the traditional automotive supply chain is also restructuring, with semiconductor vendors, automotive “tier 1” suppliers and automotive OEMs competing to own and control the electronic architecture of these cars. To compete, companies at all levels of the automotive supply chain have started creating their own chips, thus increasing the number of SoCs in the automotive industry and increasing demand for interconnect IP solutions.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move toward the Internet of Cars may be non-linear and take longer than anticipated but since hardware decisions are often made between six and seven years before deployment, we believe that over the next 20 to 30 years, the creation of the internet of cars represents one of the largest semiconductor opportunities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Enterprise Computing Applications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Large-scale cloud data centers are augmenting and replacing corporate data centers. This evolution expands the market size and value for enterprise solid-state storage systems and the custom ASICs that control them, further strengthening demand for interconnect technologies that improve storage performance and provide data integrity. In addition, enterprise hyperscale computing companies are now creating proprietary SoCs and accelerators for their own products and data centers. We believe that these new entrants into semiconductor design will increasingly provide market opportunities for third-party System IP solutions, including those from Arteris.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key areas for workload specific acceleration in data centers are in AI/ML, database processing, video/audio transcoding, and scientific computing. AI/ML SoCs must be “trained” on large data sets that have to be collected from real-world data utilizing “training” SoCs. A different class of AI/ML SoCs uses such data to match the training data against actual data collected by sensors of the system utilizing “inference” SoCs. In 2023, Gartner estimated that the market for such AI-enabled applications processors will nearly triple from 2022 to 2027. AI/ML is deployed in cloud data centers for applications such as personalized advertising and credit card fraud detection. AI/ML is also deployed at the edge of networks for applications such as automated driving, cell phones and numerous other applications, and is as such considered a technology addressing various industry vertical business segments.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Communications Applications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wireless communications market is in the midst of disruption as it allows efficient machine-to-machine communications at a massive scope and scale. 5G technology allows the cost-efficient connections of massive numbers of embedded sensors and other devices into ultra-reliable, high-bandwidth, and low-latency networks. In short, 5G enables smart devices utilizing sophisticated SoCs to communicate more information at faster speeds while using less power. As 5G is adopted as the wireless market standard, it is expected to revolutionize markets, including cars and smart city vehicle infrastructure, factory automation, logistics, and consumer and business broadband. For example, Ericsson estimated that there will be 9.2 billion global mobile endpoints by 2028, with mobile traffic up to 21 exabytes per month, up from 6 exabytes in 2022. Further, in February 2023, Ericsson forecasted that 5G will make up a growing part of this traffic, with 5G subscriptions growing from 1 billion subscribers in 2022 to nearly 5 billion in 2028. Already approaching the next generation network infrastructure, the industry has started the development of a roadmap towards 6G technology to be rolled out towards the end of this decade, with various 5G Advanced steps in-between.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the transition to 5G and 6G will accelerate System IP market growth because the high complexity of 5G and 6G chips require more stringent requirements for bandwidth, latency, and power consumption, making an easy-to-integrate, high performance and low power on-chip interconnect a critical requirement.</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 xml:space="preserve">Other Applications and Technologies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consumer electronics and industrial markets are also expected to require increasingly complex chips primarily driven by the incorporation of AI/ML processing, particularly at the edge, increased use of 5G communications, and more stringent safety and security requirements. In addition, the chip market in these domains are sensitive to time-to-market pressures, which also generates the need for increased semiconductor design productivity and faster implementation as enhanced by sophisticated interconnect IP solutions. Our low-power features are valuable for battery life and power consumption in our targeted markets. </w:t>
      </w:r>
    </w:p>
    <w:p>
      <w:pPr>
        <w:pStyle w:val="TextBody"/>
        <w:bidi w:val="0"/>
        <w:spacing w:lineRule="auto" w:line="288" w:before="180" w:after="283"/>
        <w:jc w:val="both"/>
        <w:rPr/>
      </w:pPr>
      <w:r>
        <w:rPr>
          <w:rFonts w:ascii="Arial;sans-serif" w:hAnsi="Arial;sans-serif"/>
          <w:b w:val="false"/>
          <w:color w:val="000000"/>
          <w:sz w:val="19"/>
          <w:shd w:fill="FFFFFF" w:val="clear"/>
        </w:rPr>
        <w:t xml:space="preserve">AI/ML semiconductor structures require multiple IP blocks that use peer-to-peer </w:t>
      </w:r>
      <w:r>
        <w:rPr>
          <w:rFonts w:ascii="Arial;sans-serif" w:hAnsi="Arial;sans-serif"/>
          <w:b w:val="false"/>
          <w:color w:val="000000"/>
          <w:sz w:val="19"/>
        </w:rPr>
        <w:t>on-chip</w:t>
      </w:r>
      <w:r>
        <w:rPr>
          <w:color w:val="000000"/>
          <w:shd w:fill="FFFFFF" w:val="clear"/>
        </w:rPr>
        <w:t xml:space="preserve"> </w:t>
      </w:r>
      <w:r>
        <w:rPr>
          <w:rFonts w:ascii="Arial;sans-serif" w:hAnsi="Arial;sans-serif"/>
          <w:b w:val="false"/>
          <w:color w:val="000000"/>
          <w:sz w:val="19"/>
          <w:shd w:fill="FFFFFF" w:val="clear"/>
        </w:rPr>
        <w:t>communications that have different data traffic characteristics than other parts of the SoC and thus require special interconnect features. Such interconnect features require greater attention to challenges including deadlock avoidance and mesh performance and the ability to transfer large amounts of data to memories.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Besides the AI/ML technology that is especially pronounced in high-performance enterprise computing and automotive application, as well as at the edge that enter the industrial, consumer electronics, and communications applications, functional safety is a key technology horizontal driving our differentiation and growth. We enable our customers to achieve ASIL-B and ASIL-D ISO 26262 certification with our products addressing the NoC Interconnect IP NoC Interface IP markets. Further, critical tools in our SIA product portfolio have been “Tool Confidence Level” (TCL)-certified by the TUV SUD to confirm that they are safe to use in automotive and mission-critical markets like aerospace &amp; space as part of the industrial vertical.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Both our NoC Interconnect IP and NoC Interface IP are used alongside processor architecture and eventually mapped into semiconductor manufacturing technologies. Key processor architectures of note are the x86, Arm, and increasingly RISC-V processor architectures. We have entered into agreements with Arm in 2022 for automotive electronics and are an integral part of the RISC-V ecosystem providing the core interconnect IP for the growing number of SoCs deploying that processor architecture. Besides its safety aspects, we believe our NoC interconnect IP technology is differentiated through its ability to optimize designs for the physical layout, therefore believe we are part of the ecosystem of Cadence, Synopsys, Siemens EDA, as well as semiconductor manufacturing including TSMC, Samsung Foundry, GlobalFoundries, and Intel Foundry Services.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Industry Challenges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Interconnect IP development is a challenging, time-consuming, and expensive process. The need for robust, maintainable interconnect technology becomes increasingly important as chip designs become more complex and larger in size, both driven by advances in semiconductor manufacturing technology. As semiconductor manufacturing technology has advanced, it has increased the number of IP block functions that can be added to SoC type semiconductors. However, as more IP block functions are added to a chip, the sheer number of physical connections required for communications between the on-chip IP blocks grows massively. Therefore, the larger and more complex the SoC, the more important the on-chip interconnect for overall chip performance, power consumption and cost. Interconnect and SoC integration automation technology is key to allowing SoC designers to design these types of chips while meeting their technical and time-to-market requirements. The industry is challenged to meet these requirements by itself because of the technical know-how to do so. Further, any failures due to quality issues are enormously expensive and industry standards for mission-critical applications like automotive are costly to meet. All these technology trends combine to require a large initial investment and a long-time commitment for a chip design team or commercial interconnect IP company to create semiconductor IP and software technologies that satisfy industry needs.</w:t>
      </w:r>
    </w:p>
    <w:p>
      <w:pPr>
        <w:pStyle w:val="TextBody"/>
        <w:bidi w:val="0"/>
        <w:spacing w:lineRule="auto" w:line="288" w:before="180" w:after="283"/>
        <w:ind w:left="0" w:right="0" w:hanging="360"/>
        <w:jc w:val="both"/>
        <w:rPr/>
      </w:pPr>
      <w:r>
        <w:rPr>
          <w:color w:val="000000"/>
        </w:rPr>
        <w:t>■</w:t>
      </w:r>
      <w:r>
        <w:rPr>
          <w:rFonts w:ascii="Arial;sans-serif" w:hAnsi="Arial;sans-serif"/>
          <w:b/>
          <w:i/>
          <w:color w:val="000000"/>
          <w:sz w:val="19"/>
        </w:rPr>
        <w:t>Deep technical expertise and knowledge.</w:t>
      </w:r>
      <w:r>
        <w:rPr>
          <w:color w:val="000000"/>
        </w:rPr>
        <w:t> </w:t>
      </w:r>
      <w:r>
        <w:rPr>
          <w:rFonts w:ascii="Arial;sans-serif" w:hAnsi="Arial;sans-serif"/>
          <w:b w:val="false"/>
          <w:color w:val="000000"/>
          <w:sz w:val="19"/>
        </w:rPr>
        <w:t>Interconnect development requires an interdisciplinary engineering team with expertise and skill sets across a wide-range of engineering and scientific domains including hardware architecture, design, verification, EDA-class software development, and SystemC modeling, as well as deep understanding of physical design, design methodologies and networking architectures. The design process requires expertise in developing advanced hardware architectures to handle data coherency and consistency across the interconnect to achieve a high-performance, low power implementation. Complex flows and methodologies as well as specialized languages to generate configurable hardware and interconnect configuration software must also be designed, with hardware configurations defined using thousands of parameters that need to be meticulously managed, with millions of combinations to be considered. The interconnect design process also requires engineers to have an awareness of the physical implementation and floorplan of the target chip to generate an architecture that meets SoC requirements in terms of timing, area, and power. Designers require an in-depth knowledge of graph theory, common interface protocols, data models, and graphical user interfaces. In addition, they require the skills to develop design methodologies to manage dependencies in project execution where the interconnect configuration software generates the hardware IP and associated data evidence of product quality and compliance with industry standards.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High quality.</w:t>
      </w:r>
      <w:r>
        <w:rPr>
          <w:color w:val="000000"/>
        </w:rPr>
        <w:t> </w:t>
      </w:r>
      <w:r>
        <w:rPr>
          <w:rFonts w:ascii="Arial;sans-serif" w:hAnsi="Arial;sans-serif"/>
          <w:b w:val="false"/>
          <w:color w:val="000000"/>
          <w:sz w:val="19"/>
        </w:rPr>
        <w:t>Interconnect IP requires a systematic deployment of quality-oriented methodologies, as any customer-level problems in the interconnect will result in SoC project delays or even project failures. Engineering teams creating interconnects must invest heavily not only in skilled engineering resources to develop and verify, but also processes and methodologies that provide early indication of any potential quality issues. The best interconnect engineering teams also leverage these methodologies to help automate design and verification tasks, which helps improve time to market for the interconnect IP provider. If the interconnect has serious problems, the SoC will not be operational, resulting in significant economic losses.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Safety standards.</w:t>
      </w:r>
      <w:r>
        <w:rPr>
          <w:color w:val="000000"/>
        </w:rPr>
        <w:t> </w:t>
      </w:r>
      <w:r>
        <w:rPr>
          <w:rFonts w:ascii="Arial;sans-serif" w:hAnsi="Arial;sans-serif"/>
          <w:b w:val="false"/>
          <w:color w:val="000000"/>
          <w:sz w:val="19"/>
        </w:rPr>
        <w:t>High reliability of the interconnect is a heightened requirement for mission-critical markets including automotive, industrial robotics, medical and space. An in-depth knowledge of and adherence to standards, such as the ISO 26262 automotive functional safety standards, further increases the challenge of developing a reliable interconnect targeted at these applications.</w:t>
      </w:r>
      <w:r>
        <w:rPr>
          <w:color w:val="000000"/>
          <w:shd w:fill="FFFFFF" w:val="clear"/>
        </w:rPr>
        <w:t> </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Long time commitment and high investment cost.</w:t>
      </w:r>
      <w:r>
        <w:rPr>
          <w:color w:val="000000"/>
        </w:rPr>
        <w:t> </w:t>
      </w:r>
      <w:r>
        <w:rPr>
          <w:rFonts w:ascii="Arial;sans-serif" w:hAnsi="Arial;sans-serif"/>
          <w:b w:val="false"/>
          <w:color w:val="000000"/>
          <w:sz w:val="19"/>
        </w:rPr>
        <w:t>We believe</w:t>
      </w:r>
      <w:r>
        <w:rPr>
          <w:color w:val="000000"/>
        </w:rPr>
        <w:t> </w:t>
      </w:r>
      <w:r>
        <w:rPr>
          <w:rFonts w:ascii="Arial;sans-serif" w:hAnsi="Arial;sans-serif"/>
          <w:b w:val="false"/>
          <w:color w:val="000000"/>
          <w:sz w:val="19"/>
        </w:rPr>
        <w:t>the engineering development cycle for each new interconnect and the market development cycle to establish a significant market position for a customer or for a commercial vendor requires large teams, many years and great expense. Additionally, we believe the investment required by a customer to internally create a configurable interconnect technology for a new SoC can be very expensive compared to the cost of licensing from a proven interconnect IP provider.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Breadth of System IP solutions.</w:t>
      </w:r>
      <w:r>
        <w:rPr>
          <w:color w:val="000000"/>
        </w:rPr>
        <w:t xml:space="preserve"> </w:t>
      </w:r>
      <w:r>
        <w:rPr>
          <w:rFonts w:ascii="Arial;sans-serif" w:hAnsi="Arial;sans-serif"/>
          <w:b w:val="false"/>
          <w:color w:val="000000"/>
          <w:sz w:val="19"/>
        </w:rPr>
        <w:t>With needs to address cache coherent, non-coherent, machine learning and chiplet traffic, customers need a System IP solution that works together across all these data traffic types. SoC integration automation technologies allow customers to manage the deployment of the rest of the IP blocks in the SoC in order to ease SoC IP integration. Meeting such requirements requires significant enterprise scale in engineering and customer support. Necessity for such combined technologies amounts to a significant barrier to entry in terms of time, cost and customer adoption.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Given the above requirements and challenges, developing commercial interconnect IP and software tools require large engineering teams with advanced skill sets, significant amounts of time, and substantial financial investment. By licensing commercial interconnect IP, companies can free up resources to focus on developing new product capabilities and differentiators. Further, we believe the large investments needed to develop commercial interconnect IP also create barriers to entry for potential commercial competitors.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Our Solutions and Competitive Strengths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 leading provider of interconnect and other IP technology that manages the on-chip communications in SoC semiconductor devices. We believe our System IP is integral to our customers in the automotive, enterprise computing, consumer electronics, communications across wired and wireless, and industrial markets. Our core strengths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i/>
          <w:color w:val="000000"/>
          <w:sz w:val="19"/>
        </w:rPr>
        <w:t>We help accelerate our customers’ time to market.</w:t>
      </w:r>
      <w:r>
        <w:rPr>
          <w:color w:val="000000"/>
        </w:rPr>
        <w:t> </w:t>
      </w:r>
      <w:r>
        <w:rPr>
          <w:rFonts w:ascii="Arial;sans-serif" w:hAnsi="Arial;sans-serif"/>
          <w:b w:val="false"/>
          <w:color w:val="000000"/>
          <w:sz w:val="19"/>
        </w:rPr>
        <w:t>Our interconnect IP software and SIA solutions help accelerate SoC development at several different steps in the design cycle. For example, we offer design exploration and modeling capability for SoC architects to explore the interconnect IP performance of their designs ahead of hardware description language generation to speed up SoC architecture definition. As another example, we have automated test bench generation to accelerate the verification of our interconnect IP products. Still further, our physical awareness capability allows the estimation of critical net latencies and estimates whether the interconnect IP will meet our customers’ required timing. Our System IP product lines are structured so that our customers can customize the interconnect for their needs, helping accelerate interconnect IP customization for their particular SoC configurations. In addition to interconnect IP productivity features, we offer a combination of automated interconnect configuration software, pre-verified interfaces to IP block protocols, pre-verified interfaces to EDA tools and a pre-verified interconnect IP element library for rapid generation of customer-specific interconnect IP products. Our SIA solutions also help accelerate SoC development by enabling the IP blocks making up an SoC to be packaged in a standard format called IP-XACT (Institute of Electrical and Electronics Engineers—IEEE 1685), which provides a uniform IP block assembly and reuse methodology. Our SIA tool suite includes numerous packages that allow the configuration of IP block exit port registers, establish high-level SoC connectivity and link documentation to the IP-XACT design information.</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Our products help improve the performance of our customers’ SoCs.</w:t>
      </w:r>
      <w:r>
        <w:rPr>
          <w:color w:val="000000"/>
        </w:rPr>
        <w:t> </w:t>
      </w:r>
      <w:r>
        <w:rPr>
          <w:rFonts w:ascii="Arial;sans-serif" w:hAnsi="Arial;sans-serif"/>
          <w:b w:val="false"/>
          <w:color w:val="000000"/>
          <w:sz w:val="19"/>
        </w:rPr>
        <w:t>We believe that using our System IP solutions can result in improved SoC metrics such as higher performance, lower power consumption and smaller die area. We have extensive low-power management features such as three levels of clock gating and power domain features for low-power applications such as smartphone application processors and other SoCs for hand-held applications. We enable customers to partition their designs into “frequency domains”, allowing some domains to run at higher frequencies than others, in order to trade off performance against SoC power consumption.</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enable lower customer research and development and SoC unit costs.</w:t>
      </w:r>
      <w:r>
        <w:rPr>
          <w:color w:val="000000"/>
        </w:rPr>
        <w:t> </w:t>
      </w:r>
      <w:r>
        <w:rPr>
          <w:rFonts w:ascii="Arial;sans-serif" w:hAnsi="Arial;sans-serif"/>
          <w:b w:val="false"/>
          <w:color w:val="000000"/>
          <w:sz w:val="19"/>
        </w:rPr>
        <w:t>We believe that we enable lower chip research and development costs, lower SoC unit costs and reduce project risk as compared to solutions developed internally or licensed from another vendor. We have targeted our interconnect IP to be area-efficient so that we can offer silicon area savings, and resulting chip cost savings, compared to other interconnect IP alternatives. For example, the interconnect IP generally makes up a meaningful proportion of the overall SoC area at the completed SoC stage, and savings of 1 square millimeter of area can potentially offer significant savings in terms of SoC unit costs. We provide an integrated package of software, hardware, documentation, verification tools and pre-verified interfaces to major IP blocks and EDA tools. We believe our IP and software can save our customers time and money and enable them to focus on product differentiation and revenue generation.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believe we have grown our product portfolio through robust and focused research and development.</w:t>
      </w:r>
      <w:r>
        <w:rPr>
          <w:color w:val="000000"/>
        </w:rPr>
        <w:t> </w:t>
      </w:r>
      <w:r>
        <w:rPr>
          <w:rFonts w:ascii="Arial;sans-serif" w:hAnsi="Arial;sans-serif"/>
          <w:b w:val="false"/>
          <w:color w:val="000000"/>
          <w:sz w:val="19"/>
        </w:rPr>
        <w:t>Developing commercial interconnect IP and software tooling requires large and specialized engineering teams, significant amounts of time and extensive periods of commercial productization. We believe we have been the pioneer of using networking technology for on-chip communications and have been licensing such interconnect IP products since 2006. Our strategy is to deliver at least one new Interconnect IP or SIA product release per year, and we have done so since 2013. As of December 31, 2023, we have 145 development engineers on staff covering IP hardware, software, verification, testing and methodology development. Such a sizeable, multi-disciplinary engineering team allows us to undertake System IP products of sizeable scale and permits us to work on multiple product development projects at the same time.</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have grown our solutions through targeted acquisitions.</w:t>
      </w:r>
      <w:r>
        <w:rPr>
          <w:color w:val="000000"/>
        </w:rPr>
        <w:t> </w:t>
      </w:r>
      <w:r>
        <w:rPr>
          <w:rFonts w:ascii="Arial;sans-serif" w:hAnsi="Arial;sans-serif"/>
          <w:b w:val="false"/>
          <w:color w:val="000000"/>
          <w:sz w:val="19"/>
        </w:rPr>
        <w:t>We intend to continue to support a robust internal technology development program that is complemented by synergistic acquisitions to increase customer productivity and to lower SoC development and production costs. We believe we have the ability to complement our product development with selective acquisitions to strengthen our System IP product portfolio. With our acquisition of Magillem in 2020 and Semifore in 2022, we added complementary technology that helps automate process of integrating and assembling all the customers’ IP blocks into an SoC, and its hardware-software integration to accelerate end product system development.</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are able to address mission critical application</w:t>
      </w:r>
      <w:r>
        <w:rPr>
          <w:rFonts w:ascii="Arial;sans-serif" w:hAnsi="Arial;sans-serif"/>
          <w:b/>
          <w:i/>
          <w:color w:val="000000"/>
          <w:sz w:val="19"/>
          <w:shd w:fill="FFFFFF" w:val="clear"/>
        </w:rPr>
        <w:t>s.</w:t>
      </w:r>
      <w:r>
        <w:rPr>
          <w:color w:val="000000"/>
          <w:shd w:fill="FFFFFF" w:val="clear"/>
        </w:rPr>
        <w:t> </w:t>
      </w:r>
      <w:r>
        <w:rPr>
          <w:rFonts w:ascii="Arial;sans-serif" w:hAnsi="Arial;sans-serif"/>
          <w:b w:val="false"/>
          <w:color w:val="000000"/>
          <w:sz w:val="19"/>
          <w:shd w:fill="FFFFFF" w:val="clear"/>
        </w:rPr>
        <w:t>We believe we ar</w:t>
      </w:r>
      <w:r>
        <w:rPr>
          <w:rFonts w:ascii="Arial;sans-serif" w:hAnsi="Arial;sans-serif"/>
          <w:b w:val="false"/>
          <w:color w:val="000000"/>
          <w:sz w:val="19"/>
        </w:rPr>
        <w:t>e positioned to take advantage of the rapid growth of semiconductor content in cars. We have been focused on the automotive market segment since inception and have 140 automotive SoC design wins. Additionally, we have established customer relationships with market leaders such as Mobileye/Intel, BMW, NXP, Bosch, and Dreamchip. In addition to ADAS and autonomous driving control systems, our interconnect IP is used in radar, lidar, vision, communications, and dashboard/driver management. As cars continue to grow in complexity and connectivity, we believe there will be significant growth in the number of increasingly powerful SoCs that will need automotive grade on-chip interconnect IP. Our interconnect IP is designed to meet the automotive safety integrity level D (ASIL D) of the ISO 26262 automotive functional safety standard, which is the highest level, helping to position us as an ideal partner to innovative companies in the advanced automotive SoC market. We believe our solutions make it easier for our automotive semiconductor “tier 1” and OEM customers to collaborate and meet functional safety standards by establishing traceability between requirements, specifications, hardware and software implementation, verification and testing, and quality assurance. Because of this, our SIA solutions are a complement to our interconnect IP in helping our customers meet their ISO 26262 functional safety requirements. Recently, our System IP and its resilience features have also seen increasing adoption for space exploration related applications.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have developed a “Connected by Arteris” ecosystem to provide a broad set of System IP solutions.</w:t>
      </w:r>
      <w:r>
        <w:rPr>
          <w:color w:val="000000"/>
        </w:rPr>
        <w:t> </w:t>
      </w:r>
      <w:r>
        <w:rPr>
          <w:rFonts w:ascii="Arial;sans-serif" w:hAnsi="Arial;sans-serif"/>
          <w:b w:val="false"/>
          <w:color w:val="000000"/>
          <w:sz w:val="19"/>
        </w:rPr>
        <w:t>Interconnect IP is the data transport backbone of the SoC, connecting IP blocks such as CPUs, GPUs and memory controllers. We work with suppliers who provide these blocks, including IP companies such as Arm, SiFive, MIPS, Synopsys, Cadence Design Systems, Semidynamics, Andes, Codasip and other RISC-V IP vendors to support their products and protocols working with our SIA and interconnect IP products. By offering an unbiased, standards-based interconnect infrastructure to which other IP vendors can connect, and supporting a broad range of transaction protocols, we believe we have simplified the industry’s development of heterogeneous SoCs while solidifying our role as a neutral, technology-agnostic provider across the semiconductor industry. In addition to on-chip integrations with partners, we work with EDA companies such as Synopsys, Cadence and Siemens to provide prepackaged interfaces to their EDA tools such as simulators, modeling systems, and logic and physical synthesis tools. By working closely with semiconductor IP and EDA leaders, some of whom compete with each other, we believe we have established credibility as a trusted enabler to integration of their products within our joint customers’ chips and design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believe we benefit from distinct competitive advantages.</w:t>
      </w:r>
      <w:r>
        <w:rPr>
          <w:color w:val="000000"/>
        </w:rPr>
        <w:t> </w:t>
      </w:r>
      <w:r>
        <w:rPr>
          <w:rFonts w:ascii="Arial;sans-serif" w:hAnsi="Arial;sans-serif"/>
          <w:b w:val="false"/>
          <w:color w:val="000000"/>
          <w:sz w:val="19"/>
        </w:rPr>
        <w:t>We believe our interconnect IP technology benefits from barriers to entry due to our many years of experience and the strength of our proprietary solutions, as well as the significant technical expertise and research costs required to develop a competitive product. We were founded in 2003 when we believe we helped pioneer the industry’s NoC interconnect IP and have maintained our competitive position with our global team of 145</w:t>
      </w:r>
      <w:r>
        <w:rPr>
          <w:color w:val="000000"/>
          <w:shd w:fill="FFFFFF" w:val="clear"/>
        </w:rPr>
        <w:t xml:space="preserve"> </w:t>
      </w:r>
      <w:r>
        <w:rPr>
          <w:rFonts w:ascii="Arial;sans-serif" w:hAnsi="Arial;sans-serif"/>
          <w:b w:val="false"/>
          <w:color w:val="000000"/>
          <w:sz w:val="19"/>
          <w:shd w:fill="FFFFFF" w:val="clear"/>
        </w:rPr>
        <w:t>hardware and software engineers as of December 31, 2023. Developing interconnect IP requires an interdisciplinary</w:t>
      </w:r>
      <w:r>
        <w:rPr>
          <w:color w:val="000000"/>
        </w:rPr>
        <w:t xml:space="preserve"> </w:t>
      </w:r>
      <w:r>
        <w:rPr>
          <w:rFonts w:ascii="Arial;sans-serif" w:hAnsi="Arial;sans-serif"/>
          <w:b w:val="false"/>
          <w:color w:val="000000"/>
          <w:sz w:val="19"/>
        </w:rPr>
        <w:t>engineering team with expertise and skill sets across a wide range of sciences and domains as well as a deep understanding of semiconductor physical design, design methodologies, and networking architectures. Building such teams and keeping them together over long periods of time presents a challenge for many companies and we believe it provides a competitive advantage to us. Additionally, strategic patience and focus are required to participate in the market. For example, we believe that the customer acquisition process has a typical duration of two to nine months; following this, a customer’s chip design cycle is typically between one to three years. Customers typically start shipping their products containing our interconnect IP solutions between one to five years following completion of their product design, known as mass production at which point we start to receive royalties; this lasts for up to seven years or longer depending on the market segment. We also leverage our long history of interconnect IP design to deliver customer-specific features, further deepening our relationship and integration with the customer’s product. We are able to market such features to the rest of our customer base, sharing the benefits of our research and development with them. With our System IP products embedded in our customers’ SoCs, there are significant switching costs in moving to alternative solutions. We believe that our product quality and technical strength have enabled our high customer retention rate.</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offer global support for our System IP customers.</w:t>
      </w:r>
      <w:r>
        <w:rPr>
          <w:color w:val="000000"/>
        </w:rPr>
        <w:t> </w:t>
      </w:r>
      <w:r>
        <w:rPr>
          <w:rFonts w:ascii="Arial;sans-serif" w:hAnsi="Arial;sans-serif"/>
          <w:b w:val="false"/>
          <w:color w:val="000000"/>
          <w:sz w:val="19"/>
        </w:rPr>
        <w:t>Interconnect IP technology is complex, and our customer support is critical for the successful deployment of our IP in our customers’ designs. We support customers utilizing our interconnect IP solutions on a global basis with architectural reviews, training, implementation support, and tape-out support. We work directly with our customers throughout their design processes to develop long-term sustainable relationships as our technology becomes embedded in their products. We have 38 corporate and field application engineers in our global support organization. Many of our application engineers have advanced degrees, years of SoC design experience and passion for helping our customers drive their SoC designs to production status. We believe our application engineers are critical advisors to our customers’ design teams and offer competitive value to our customer’s SoC creation projects.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Our Growth Strategy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that as SoCs become more numerous and complex, the value of System IP technology increases since it enables the efficient movement of data within the ever-growing number SoCs. We also believe that, as SoCs become more complex, interconnect IP technology becomes more time-consuming and riskier to develop internally within semiconductor and system companies, favoring System IP solutions provided by outside parties such as Arteris. As a dedicated interconnect IP provider, we enable our customers to leverage the knowledge and deep expertise developed by us through many years of focus on solutions for a variety of customers.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Our growth strategy includes the following:</w:t>
      </w:r>
    </w:p>
    <w:p>
      <w:pPr>
        <w:pStyle w:val="TextBody"/>
        <w:bidi w:val="0"/>
        <w:spacing w:lineRule="auto" w:line="288" w:before="180" w:after="283"/>
        <w:ind w:left="0" w:right="0" w:hanging="360"/>
        <w:jc w:val="both"/>
        <w:rPr/>
      </w:pPr>
      <w:r>
        <w:rPr>
          <w:color w:val="000000"/>
        </w:rPr>
        <w:t>■</w:t>
      </w:r>
      <w:r>
        <w:rPr>
          <w:rFonts w:ascii="Arial;sans-serif" w:hAnsi="Arial;sans-serif"/>
          <w:b/>
          <w:i/>
          <w:color w:val="000000"/>
          <w:sz w:val="19"/>
        </w:rPr>
        <w:t xml:space="preserve">Leverage our System IP technology leadership and focused research and development to provide solutions for the semiconductor industry that designs and builds complex SoCs. </w:t>
      </w:r>
      <w:r>
        <w:rPr>
          <w:rFonts w:ascii="Arial;sans-serif" w:hAnsi="Arial;sans-serif"/>
          <w:b w:val="false"/>
          <w:color w:val="000000"/>
          <w:sz w:val="19"/>
        </w:rPr>
        <w:t>We devote the majority of our operating expenses to research and development of interconnect IP and SIA-related solutions and technologies to retain our System IP market position. We believe that the semiconductor industry needs an independent interconnect IP infrastructure that various IP block companies can connect to without competitive bias. We intend to remain neutral regarding the connection and integration of SoC IP blocks whether they are sourced from IP block vendors or are internally developed. We intend to continue to compete vigorously in the interconnect IP segment and to support and minimize the risks of competing with, our valued partners and customers developing non-interconnect IPs. We intend to remain focused on providing interconnect IP and software technologies for the semiconductor industry and system companies that build SoCs.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 xml:space="preserve">Address high-growth segments such as </w:t>
      </w:r>
      <w:r>
        <w:rPr>
          <w:rFonts w:ascii="Arial;sans-serif" w:hAnsi="Arial;sans-serif"/>
          <w:b/>
          <w:i/>
          <w:color w:val="000000"/>
          <w:sz w:val="19"/>
          <w:shd w:fill="FFFFFF" w:val="clear"/>
        </w:rPr>
        <w:t>automotive, enterprise computing, consumer electronics, communications across wired and wireless, and industrial segments</w:t>
      </w:r>
      <w:r>
        <w:rPr>
          <w:rFonts w:ascii="Arial;sans-serif" w:hAnsi="Arial;sans-serif"/>
          <w:b/>
          <w:i/>
          <w:color w:val="000000"/>
          <w:sz w:val="19"/>
        </w:rPr>
        <w:t xml:space="preserve">. </w:t>
      </w:r>
      <w:r>
        <w:rPr>
          <w:rFonts w:ascii="Arial;sans-serif" w:hAnsi="Arial;sans-serif"/>
          <w:b w:val="false"/>
          <w:color w:val="000000"/>
          <w:sz w:val="19"/>
        </w:rPr>
        <w:t xml:space="preserve">We are focused on fast-growing semiconductor market segments. We have been focused on the automotive market segment since 2012 and have over 130 design wins in this sector. We intend to continue providing regular introductions of interconnect IP products to enable the semiconductors that are connecting cars, roads, and the cloud resulting in the “Internet of Cars.” We are also focused on the emerging edge and wireless communications markets, which are particularly sensitive to power consumption and idle power, and we believe these market segments can continue to benefit greatly from our low-power interconnect IP solutions. In addition, we are targeting emerging AI/ML-enabled applications that leverage massively multi-core architectures. As of December 31, 2023, we had 123 customers who have built or are building advanced AI/ML-enabled applications, which accounted for 205 of our customers’ Design Starts. We intend to maintain our focus on automotive, </w:t>
      </w:r>
      <w:r>
        <w:rPr>
          <w:rFonts w:ascii="Arial;sans-serif" w:hAnsi="Arial;sans-serif"/>
          <w:b w:val="false"/>
          <w:color w:val="000000"/>
          <w:sz w:val="19"/>
          <w:shd w:fill="FFFFFF" w:val="clear"/>
        </w:rPr>
        <w:t xml:space="preserve">enterprise computing, </w:t>
      </w:r>
      <w:r>
        <w:rPr>
          <w:rFonts w:ascii="Arial;sans-serif" w:hAnsi="Arial;sans-serif"/>
          <w:b w:val="false"/>
          <w:color w:val="000000"/>
          <w:sz w:val="19"/>
        </w:rPr>
        <w:t>and consumer electronics, as well on technologies such as Safety, AI/ML and others, while expanding further within communications and industrial markets.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 xml:space="preserve">Expand our customer base through ongoing System IP innovation. </w:t>
      </w:r>
      <w:r>
        <w:rPr>
          <w:rFonts w:ascii="Arial;sans-serif" w:hAnsi="Arial;sans-serif"/>
          <w:b w:val="false"/>
          <w:color w:val="000000"/>
          <w:sz w:val="19"/>
        </w:rPr>
        <w:t>SoC evolution has continued at a rapid pace and with it the demand for System IP solutions</w:t>
      </w:r>
      <w:r>
        <w:rPr>
          <w:rFonts w:ascii="Arial;sans-serif" w:hAnsi="Arial;sans-serif"/>
          <w:b/>
          <w:i/>
          <w:color w:val="000000"/>
          <w:sz w:val="19"/>
        </w:rPr>
        <w:t>.</w:t>
      </w:r>
      <w:r>
        <w:rPr>
          <w:color w:val="000000"/>
        </w:rPr>
        <w:t xml:space="preserve"> </w:t>
      </w:r>
      <w:r>
        <w:rPr>
          <w:rFonts w:ascii="Arial;sans-serif" w:hAnsi="Arial;sans-serif"/>
          <w:b w:val="false"/>
          <w:color w:val="000000"/>
          <w:sz w:val="19"/>
        </w:rPr>
        <w:t>New technologies and trends driving the need for System IP development include innovations such as cache coherency outside of the processor subsystem, machine learning SoCs utilizing peer-to-peer data traffic, greater use of separate sets of dies, or chiplets, inside SoCs, and the increasing emphasis on silicon functionality and safety. We believe that the complexity of these trends necessitates ever-increasing sophisticated System IP solutions and represents a great opportunity for Arteris as a leading commercial company focused exclusively on these solutions. Our goal is to deliver interconnect IP technology and deployment solutions ahead of when the SoC industry requires them. We aim to deliver at least one new interconnect IP or SIA product every year, addressing new SoC technology needs. We intend to expand the functionality of interconnect by adding NoC interface IP products that leverage SoC data moving through our interconnect IP products. Such NoC interface IP products may include a variety of types of inter-chip links for seamless connectivity, which make up larger system-in-package type SoCs and memory schedulers. These offer end-to-end quality of service (QoS) and error correction code (ECC) as well as a variety of new last-level cache memory products giving our customers the choice to either keep data on-chip or move it to off-chip dynamic random-access memory (DRAM). We believe such roadmap products can expand our market and offer an opportunity for us to further expand the value of our System IP products. In addition, we plan to continue to work with customers to deliver product enhancement releases for existing products. These requirements are identified in part by our global sales and application engineering organization that is engaged in helping customers utilize our products and solutions.</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i/>
          <w:color w:val="000000"/>
          <w:sz w:val="19"/>
        </w:rPr>
        <w:t>Expand our customer base through increased investment in sales and marketing.</w:t>
      </w:r>
      <w:r>
        <w:rPr>
          <w:color w:val="000000"/>
        </w:rPr>
        <w:t> </w:t>
      </w:r>
      <w:r>
        <w:rPr>
          <w:rFonts w:ascii="Arial;sans-serif" w:hAnsi="Arial;sans-serif"/>
          <w:b w:val="false"/>
          <w:color w:val="000000"/>
          <w:sz w:val="19"/>
        </w:rPr>
        <w:t>We plan to continue to expand our global sales and application engineering organization, which has a strong presence in North America, Europe, the Middle East, China, South Korea, Japan, and India. We hire local talent who are attuned to the key regional needs of local markets, customers and languages.</w:t>
      </w:r>
      <w:r>
        <w:rPr>
          <w:color w:val="000000"/>
          <w:shd w:fill="FFFFFF" w:val="clear"/>
        </w:rPr>
        <w:t xml:space="preserve"> </w:t>
      </w:r>
      <w:r>
        <w:rPr>
          <w:rFonts w:ascii="Arial;sans-serif" w:hAnsi="Arial;sans-serif"/>
          <w:b w:val="false"/>
          <w:color w:val="000000"/>
          <w:sz w:val="19"/>
          <w:shd w:fill="FFFFFF" w:val="clear"/>
        </w:rPr>
        <w:t>While most of our customer engagements are handled directly by our regional sales and application engineering forces, we utilize distributors in Israel and India for interconnect IP, although this represented less th</w:t>
      </w:r>
      <w:r>
        <w:rPr>
          <w:rFonts w:ascii="Arial;sans-serif" w:hAnsi="Arial;sans-serif"/>
          <w:b w:val="false"/>
          <w:color w:val="000000"/>
          <w:sz w:val="19"/>
        </w:rPr>
        <w:t>an 5%</w:t>
      </w:r>
      <w:r>
        <w:rPr>
          <w:color w:val="000000"/>
          <w:shd w:fill="FFFFFF" w:val="clear"/>
        </w:rPr>
        <w:t xml:space="preserve"> </w:t>
      </w:r>
      <w:r>
        <w:rPr>
          <w:rFonts w:ascii="Arial;sans-serif" w:hAnsi="Arial;sans-serif"/>
          <w:b w:val="false"/>
          <w:color w:val="000000"/>
          <w:sz w:val="19"/>
          <w:shd w:fill="FFFFFF" w:val="clear"/>
        </w:rPr>
        <w:t>of our worldwide revenue in each 2023 and 2022. O</w:t>
      </w:r>
      <w:r>
        <w:rPr>
          <w:rFonts w:ascii="Arial;sans-serif" w:hAnsi="Arial;sans-serif"/>
          <w:b w:val="false"/>
          <w:color w:val="000000"/>
          <w:sz w:val="19"/>
        </w:rPr>
        <w:t xml:space="preserve">ur marketing is focused on helping customers understand the value of our solutions and creating awareness of the latest developments in our markets. We believe a key measure of our success is the number of successful SoCs produced by our customers utilizing our technology. To date, there have been over 380 production SoCs designed with our technology. </w:t>
      </w:r>
      <w:r>
        <w:rPr>
          <w:rFonts w:ascii="Arial;sans-serif" w:hAnsi="Arial;sans-serif"/>
          <w:b w:val="false"/>
          <w:color w:val="000000"/>
          <w:sz w:val="19"/>
          <w:shd w:fill="FFFFFF" w:val="clear"/>
        </w:rPr>
        <w:t>We estimate that our solutions have been incorporated into three and a half billion production SoCs since inception.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 xml:space="preserve">Continue to pursue selective acquisitions and other strategic transactions, such as joint ventures, to acquire complementary solutions and accelerate growth. </w:t>
      </w:r>
      <w:r>
        <w:rPr>
          <w:rFonts w:ascii="Arial;sans-serif" w:hAnsi="Arial;sans-serif"/>
          <w:b w:val="false"/>
          <w:color w:val="000000"/>
          <w:sz w:val="19"/>
        </w:rPr>
        <w:t xml:space="preserve">We intend to continue to target acquisitions to achieve our objective of making our System IP solutions critical to the next generation of SoC design and development. For example, we acquired the assets of Magillem in 2020 and Semifore in 2022 to deliver synergy between the network-on-chip IP and tooling for IP packaging, SoC assembly, and hardware-software integration for software development teams. With these acquisitions, we added complementary technology to our portfolio that helps automate customer configuration, integration, and assembly of the interconnect into an SoC. In addition, these SIA tools allow us to gain a deep understanding of the entire “bill of materials” of the IP blocks integrated into an SoC, as the interconnect IP is the on-chip means to connect these blocks. We believe our planned continued integration of these technologies can provide substantially increased efficiency in the effective development of SoCs. In addition, we anticipate this integration can lead to added benefits such as automated documentation, traceability for quality processes and functional safety, and software driver optimization to reduce defects, providing significant customer value. For example, we invested in Transchip, a joint venture in China in the second quarter of 2022. In exchange for providing Transchip with a non-exclusive license (without standalone resale rights) to utilize substantially all of our interconnect IP products and SIA solutions, we retained a minority, non-controlling interest in Transchip. The other investors in this joint venture are principally Chinese-based venture capital entities and include one of our investors that holds less than 5% of our outstanding common stock and contributed cash. </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NoC Interface IP Growth Opportunity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NoC IP carries the majority of the data in an SoC. As a result, there is an opportunity to add additional customer value by developing additional data plane and control plane capabilities that attach directly to our interconnect IPs and are implemented in SoCs by our IP software. Currently, we offer NoC interface IP products such as a memory scheduler, last-level cache, SoC data visibility and SoC debug IPs. We see an opportunity to further expand our product portfolio and market with additional control networks and subsystems that can accelerate our customers’ ability to deliver production SoCs to their end markets. Such networks may include clocking, register management and interrupt networks. Control subsystems such as power management, security, performance monitoring and debug may provide additional value to customers looking to lower the cost and risk of SoC development. With the integration of interconnect IP and NoC interface IPs, we believe we would be able to provide end-to-end solutions for quality of service, system level security and SoC resilience. NoC interface IP represents a natural expansion of our technical and business capabilities.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Our Solutions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semiconductor interconnect IP and SIA solutions to serve our target end-markets, including automotive, enterprise computing, consumer electronics, communications across wired and wireless, and industrial segments. We regularly release new products to address the rapid evolution of SoC technology, across our two core product platforms: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9"/>
        </w:rPr>
        <w:t>a.</w:t>
      </w:r>
      <w:r>
        <w:rPr>
          <w:rFonts w:ascii="Arial;sans-serif" w:hAnsi="Arial;sans-serif"/>
          <w:b/>
          <w:color w:val="000000"/>
          <w:sz w:val="19"/>
        </w:rPr>
        <w:t>Network</w:t>
      </w:r>
      <w:r>
        <w:rPr>
          <w:rFonts w:ascii="Arial;sans-serif" w:hAnsi="Arial;sans-serif"/>
          <w:b/>
          <w:color w:val="000000"/>
          <w:sz w:val="19"/>
          <w:shd w:fill="FFFFFF" w:val="clear"/>
        </w:rPr>
        <w:t>-on-Chip IP Products</w:t>
      </w:r>
    </w:p>
    <w:p>
      <w:pPr>
        <w:pStyle w:val="TextBody"/>
        <w:bidi w:val="0"/>
        <w:spacing w:lineRule="auto" w:line="288" w:before="0" w:after="0"/>
        <w:ind w:left="0" w:right="0" w:hanging="360"/>
        <w:jc w:val="both"/>
        <w:rPr/>
      </w:pPr>
      <w:r>
        <w:rPr>
          <w:rFonts w:ascii="Arial;sans-serif" w:hAnsi="Arial;sans-serif"/>
          <w:b w:val="false"/>
          <w:color w:val="000000"/>
          <w:sz w:val="19"/>
          <w:shd w:fill="FFFFFF" w:val="clear"/>
        </w:rPr>
        <w:t xml:space="preserve">i.Non-coherent NoC IP, with </w:t>
      </w:r>
      <w:r>
        <w:rPr>
          <w:rFonts w:ascii="Arial;sans-serif" w:hAnsi="Arial;sans-serif"/>
          <w:b w:val="false"/>
          <w:color w:val="000000"/>
          <w:sz w:val="19"/>
        </w:rPr>
        <w:t>FlexNoC</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FlexWay</w:t>
      </w:r>
      <w:r>
        <w:rPr>
          <w:color w:val="000000"/>
          <w:shd w:fill="FFFFFF" w:val="clear"/>
        </w:rPr>
        <w:t xml:space="preserve"> </w:t>
      </w:r>
    </w:p>
    <w:p>
      <w:pPr>
        <w:pStyle w:val="TextBody"/>
        <w:bidi w:val="0"/>
        <w:spacing w:lineRule="auto" w:line="288" w:before="0" w:after="0"/>
        <w:ind w:left="0" w:right="0" w:hanging="360"/>
        <w:jc w:val="both"/>
        <w:rPr/>
      </w:pPr>
      <w:r>
        <w:rPr>
          <w:rFonts w:ascii="Arial;sans-serif" w:hAnsi="Arial;sans-serif"/>
          <w:b w:val="false"/>
          <w:color w:val="000000"/>
          <w:sz w:val="19"/>
        </w:rPr>
        <w:t>ii.</w:t>
      </w:r>
      <w:r>
        <w:rPr>
          <w:rFonts w:ascii="Arial;sans-serif" w:hAnsi="Arial;sans-serif"/>
          <w:b w:val="false"/>
          <w:color w:val="000000"/>
          <w:sz w:val="19"/>
          <w:shd w:fill="FFFFFF" w:val="clear"/>
        </w:rPr>
        <w:t xml:space="preserve">Cache-coherent NoC IP, with </w:t>
      </w:r>
      <w:r>
        <w:rPr>
          <w:rFonts w:ascii="Arial;sans-serif" w:hAnsi="Arial;sans-serif"/>
          <w:b w:val="false"/>
          <w:color w:val="000000"/>
          <w:sz w:val="19"/>
        </w:rPr>
        <w:t>Ncore</w:t>
      </w:r>
      <w:r>
        <w:rPr>
          <w:color w:val="000000"/>
          <w:shd w:fill="FFFFFF" w:val="clear"/>
        </w:rPr>
        <w:t xml:space="preserve"> </w:t>
      </w:r>
    </w:p>
    <w:p>
      <w:pPr>
        <w:pStyle w:val="TextBody"/>
        <w:bidi w:val="0"/>
        <w:spacing w:lineRule="auto" w:line="288" w:before="0" w:after="0"/>
        <w:ind w:left="0" w:right="0" w:hanging="360"/>
        <w:jc w:val="both"/>
        <w:rPr/>
      </w:pPr>
      <w:r>
        <w:rPr>
          <w:rFonts w:ascii="Arial;sans-serif" w:hAnsi="Arial;sans-serif"/>
          <w:b w:val="false"/>
          <w:color w:val="000000"/>
          <w:sz w:val="19"/>
        </w:rPr>
        <w:t>iii.</w:t>
      </w:r>
      <w:r>
        <w:rPr>
          <w:rFonts w:ascii="Arial;sans-serif" w:hAnsi="Arial;sans-serif"/>
          <w:b w:val="false"/>
          <w:color w:val="000000"/>
          <w:sz w:val="19"/>
          <w:shd w:fill="FFFFFF" w:val="clear"/>
        </w:rPr>
        <w:t xml:space="preserve">Last-level cache, with </w:t>
      </w:r>
      <w:r>
        <w:rPr>
          <w:rFonts w:ascii="Arial;sans-serif" w:hAnsi="Arial;sans-serif"/>
          <w:b w:val="false"/>
          <w:color w:val="000000"/>
          <w:sz w:val="19"/>
        </w:rPr>
        <w:t>CodaCache</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19"/>
          <w:shd w:fill="FFFFFF" w:val="clear"/>
        </w:rPr>
        <w:t>b.</w:t>
      </w:r>
      <w:r>
        <w:rPr>
          <w:rFonts w:ascii="Arial;sans-serif" w:hAnsi="Arial;sans-serif"/>
          <w:b/>
          <w:color w:val="000000"/>
          <w:sz w:val="19"/>
        </w:rPr>
        <w:t>SIA Solutions Products</w:t>
      </w:r>
    </w:p>
    <w:p>
      <w:pPr>
        <w:pStyle w:val="TextBody"/>
        <w:bidi w:val="0"/>
        <w:spacing w:lineRule="auto" w:line="288" w:before="0" w:after="0"/>
        <w:ind w:left="0" w:right="0" w:hanging="455"/>
        <w:jc w:val="both"/>
        <w:rPr/>
      </w:pPr>
      <w:r>
        <w:rPr>
          <w:rFonts w:ascii="Arial;sans-serif" w:hAnsi="Arial;sans-serif"/>
          <w:b w:val="false"/>
          <w:color w:val="000000"/>
          <w:sz w:val="19"/>
          <w:shd w:fill="FFFFFF" w:val="clear"/>
        </w:rPr>
        <w:t xml:space="preserve">i.IP and SoC software, with </w:t>
      </w:r>
      <w:r>
        <w:rPr>
          <w:rFonts w:ascii="Arial;sans-serif" w:hAnsi="Arial;sans-serif"/>
          <w:b w:val="false"/>
          <w:color w:val="000000"/>
          <w:sz w:val="19"/>
        </w:rPr>
        <w:t>Magillem</w:t>
      </w:r>
      <w:r>
        <w:rPr>
          <w:color w:val="000000"/>
          <w:shd w:fill="FFFFFF" w:val="clear"/>
        </w:rPr>
        <w:t xml:space="preserve"> </w:t>
      </w:r>
      <w:r>
        <w:rPr>
          <w:rFonts w:ascii="Arial;sans-serif" w:hAnsi="Arial;sans-serif"/>
          <w:b w:val="false"/>
          <w:color w:val="000000"/>
          <w:sz w:val="19"/>
          <w:shd w:fill="FFFFFF" w:val="clear"/>
        </w:rPr>
        <w:t xml:space="preserve">and CSRCompiler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to historical annual introductions of new System IP solutions, we regularly develop and deliver updates that provide product enhancements to our customers. We believe the combination of our solutions and the strategic neutrality that we offer to the semiconductor industry positions us well as a reliable, trusted and innovative System IP solution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68" w:before="180" w:after="283"/>
        <w:jc w:val="left"/>
        <w:rPr/>
      </w:pPr>
      <w:r>
        <w:rPr>
          <w:rFonts w:ascii="Arial;sans-serif" w:hAnsi="Arial;sans-serif"/>
          <w:b/>
          <w:i/>
          <w:color w:val="000000"/>
          <w:sz w:val="19"/>
          <w:shd w:fill="FFFFFF" w:val="clear"/>
        </w:rPr>
        <w:t>Network-on-Chip IP Products</w:t>
      </w:r>
      <w:r>
        <w:rPr>
          <w:color w:val="000000"/>
          <w:shd w:fill="FFFFFF" w:val="clear"/>
        </w:rPr>
        <w: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believe we offer the semiconductor industry an industry-leading commercially available interconnect IP portfolio.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commercially available interconnect IP products are shipping in billions of devices worldwide. Innovative use of proprietary networking techniques for on-chip communications has enabled our industry-proven solutions to deliver higher SoC performance with shorter design schedules, lower research, and development costs, lower SoC unit costs, and reduced project risk when compared to customer-developed internal solutions. Select offerings of our semiconductor IP product portfolio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i/>
          <w:color w:val="000000"/>
          <w:sz w:val="19"/>
        </w:rPr>
        <w:t xml:space="preserve">FlexNoC and FlexWay: </w:t>
      </w:r>
      <w:r>
        <w:rPr>
          <w:rFonts w:ascii="Arial;sans-serif" w:hAnsi="Arial;sans-serif"/>
          <w:b w:val="false"/>
          <w:color w:val="000000"/>
          <w:sz w:val="19"/>
        </w:rPr>
        <w:t>Silicon-proven, interconnect IP products that have been integrated into hundreds of chip designs. The underlying NoC technology converts on-chip communication signals between IP blocks, such as reads from and writes to memory, into digital packets. Packetizing on-chip communications allow the interconnect to be configured for enhanced performance and simplifies the connections of on-chip IP blocks, similar to how the internet eases the simultaneous connectivity of large numbers of computing devices. FlexWay is targeted at simpler SoC while FlexNoC targets the mainstream application. We also provide optional add-on packages for FlexNoC and FlexWay, such as the resilience package, which provide on-chip data protection that enables customers to meet the ISO 26262 and IEC functional safety standards for markets like automotive, and a large design performance package that addresses highly scalable peer-to-peer on-chip communications required by large SoCs such as those which include machine learning neural networks. FlexNoC and FlexWay started shipping in 2011 and w</w:t>
      </w:r>
      <w:r>
        <w:rPr>
          <w:rFonts w:ascii="Arial;sans-serif" w:hAnsi="Arial;sans-serif"/>
          <w:b w:val="false"/>
          <w:color w:val="000000"/>
          <w:sz w:val="19"/>
          <w:shd w:fill="FFFFFF" w:val="clear"/>
        </w:rPr>
        <w:t>e estimate that our solutions have been incorporated into three and a half billion production SoCs since inception.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Ncore:</w:t>
      </w:r>
      <w:r>
        <w:rPr>
          <w:color w:val="000000"/>
        </w:rPr>
        <w:t xml:space="preserve"> </w:t>
      </w:r>
      <w:r>
        <w:rPr>
          <w:rFonts w:ascii="Arial;sans-serif" w:hAnsi="Arial;sans-serif"/>
          <w:b w:val="false"/>
          <w:color w:val="000000"/>
          <w:sz w:val="19"/>
        </w:rPr>
        <w:t xml:space="preserve">Silicon-proven, cache coherent interconnect IP product that provides scalable, configurable, and area-efficient features for use across multiple end markets. In an SoC, cache coherency is a special data traffic class that requires a corresponding coherent interconnect IP to manage it. In a multiprocessor system using shared memory, each processor has a local cache memory for efficiency, however, it is possible to end up with many copies of shared data in the system. One copy of the data may be in the main memory, whilst other copies may exist in one or more of the processor cache memories. When one of the copies of data is changed, the rest must also reflect that change. Ncore assists the timely propagation of data changes across the SoC in order to maintain cache coherency. Ncore is also more scalable and area-efficient than mesh-based interconnects and is optimized for heterogeneous cache coherent systems and offers multiple configurable snoop filters, multiple configurable proxy caches, and a modular, distributed architecture to provide system architects with the most advanced technology and more degrees of freedom to innovate. Since the initial shipment in 2016, we have launched multiple releases of Ncore which have been designed into various production SoCs for automotive, consumer electronics, industrial, and communications applications. In 2022 we also entered into an Arm automotive agreement, with Arm as the processor IP provider and Arteris as interconnect IP provider for automotive microcontrollers (MCU) and SoCs to service growing customer needs. In 2023 Ncore achieved ISO 26262 certification up to ASIL-D, the most stringent level of functional automotive safety.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0000"/>
          <w:sz w:val="19"/>
        </w:rPr>
        <w:t>CodaCache:</w:t>
      </w:r>
      <w:r>
        <w:rPr>
          <w:color w:val="000000"/>
        </w:rPr>
        <w:t xml:space="preserve"> </w:t>
      </w:r>
      <w:r>
        <w:rPr>
          <w:rFonts w:ascii="Arial;sans-serif" w:hAnsi="Arial;sans-serif"/>
          <w:b w:val="false"/>
          <w:color w:val="000000"/>
          <w:sz w:val="19"/>
        </w:rPr>
        <w:t>CodaCache is a silicon-proven, last-level cache (or local memory) semiconductor IP product, used anywhere in the network-on-chip, for minimization of SoC data latency or improvement of performance. Frequent DRAM accesses waste clock cycles and causes performance to drop. CodaCache keeps data closer to the access point and lowers costs in certain SoC architectures. Design teams and architects can easily configure CodaCache based on area, timing, and other requirements. CodaCache provides the most flexibility of any commercial on-chip last-level cache IP, from setting associativity up to 16 ways, to configuring cache sizes and multiple target ports.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 xml:space="preserve">SIA Solutions </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provide a suite of SIA solutions that enables the packaging, reuse and integration of most types of IP blocks using the IP-XACT (IEEE 1685) standard. </w:t>
      </w:r>
      <w:r>
        <w:rPr>
          <w:rFonts w:ascii="Arial;sans-serif" w:hAnsi="Arial;sans-serif"/>
          <w:b w:val="false"/>
          <w:color w:val="000000"/>
          <w:sz w:val="19"/>
        </w:rPr>
        <w:t>This SIA suite of products from Magillem and Semifore acquisition</w:t>
      </w:r>
      <w:r>
        <w:rPr>
          <w:rFonts w:ascii="Arial;sans-serif" w:hAnsi="Arial;sans-serif"/>
          <w:b w:val="false"/>
          <w:color w:val="000000"/>
          <w:sz w:val="19"/>
          <w:shd w:fill="FFFFFF" w:val="clear"/>
        </w:rPr>
        <w:t>s provides a design environment to any semiconductor and system company from the architecture of the SoC through the delivery of a fully documented and traceable chip design. This software suite manages the assembly of multiple IP blocks into SoC devices, registers configurations of IP blocks, and links design parameters and metadata to documentation. Our SIA solutions are designed to shorten our customers’ design schedules and improve SoC engineers’ productivity across architects, logic designers, software/firmware developers, verification teams, and documentation teams. Arteris products</w:t>
      </w:r>
      <w:r>
        <w:rPr>
          <w:color w:val="000000"/>
        </w:rPr>
        <w:t xml:space="preserve"> </w:t>
      </w:r>
      <w:r>
        <w:rPr>
          <w:rFonts w:ascii="Arial;sans-serif" w:hAnsi="Arial;sans-serif"/>
          <w:b w:val="false"/>
          <w:color w:val="000000"/>
          <w:sz w:val="19"/>
        </w:rPr>
        <w:t>provide a broad suite of software front-end design capabilities that can accelerate SoC development by providing highly configurable and scalable solutions. Our solutions address packaging, connectivity, register configuration, embedded software, and design software flows and we believe we provide best-in-class front-end design environments based on worldwide IEEE 1685 IP-XACT extensible markup language (XML) standard and SystemRDL language through our ready-made design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We believe the combination of SIA solutions and SoC interconnect hardware provides our customers with more comprehensive SoC integration capabilities. Our SIA technology suite across Magillem and </w:t>
      </w:r>
      <w:r>
        <w:rPr>
          <w:rFonts w:ascii="Arial;sans-serif" w:hAnsi="Arial;sans-serif"/>
          <w:b w:val="false"/>
          <w:color w:val="000000"/>
          <w:sz w:val="19"/>
        </w:rPr>
        <w:t>CSRCompiler</w:t>
      </w:r>
      <w:r>
        <w:rPr>
          <w:color w:val="000000"/>
          <w:shd w:fill="FFFFFF" w:val="clear"/>
        </w:rPr>
        <w:t xml:space="preserve"> </w:t>
      </w:r>
      <w:r>
        <w:rPr>
          <w:rFonts w:ascii="Arial;sans-serif" w:hAnsi="Arial;sans-serif"/>
          <w:b w:val="false"/>
          <w:color w:val="000000"/>
          <w:sz w:val="19"/>
          <w:shd w:fill="FFFFFF" w:val="clear"/>
        </w:rPr>
        <w:t>products cover the following key capabilities for SoC integration automation and overall SoC development acceleration:</w:t>
      </w:r>
    </w:p>
    <w:p>
      <w:pPr>
        <w:pStyle w:val="TextBody"/>
        <w:bidi w:val="0"/>
        <w:spacing w:lineRule="auto" w:line="288" w:before="180" w:after="283"/>
        <w:ind w:left="0" w:right="0" w:hanging="360"/>
        <w:jc w:val="both"/>
        <w:rPr/>
      </w:pPr>
      <w:r>
        <w:rPr>
          <w:color w:val="000000"/>
        </w:rPr>
        <w:t>■</w:t>
      </w:r>
      <w:r>
        <w:rPr>
          <w:rFonts w:ascii="Arial;sans-serif" w:hAnsi="Arial;sans-serif"/>
          <w:b w:val="false"/>
          <w:i/>
          <w:color w:val="000000"/>
          <w:sz w:val="19"/>
        </w:rPr>
        <w:t>Magillem Connectivity:</w:t>
      </w:r>
      <w:r>
        <w:rPr>
          <w:color w:val="000000"/>
        </w:rPr>
        <w:t xml:space="preserve"> </w:t>
      </w:r>
      <w:r>
        <w:rPr>
          <w:rFonts w:ascii="Arial;sans-serif" w:hAnsi="Arial;sans-serif"/>
          <w:b w:val="false"/>
          <w:color w:val="000000"/>
          <w:sz w:val="19"/>
        </w:rPr>
        <w:t>The Magillem connectivity product shortens and streamlines the system-on-chip (SoC) integration process. Magillem Connectivity allows users to build very complex, correct-by-construction SoC designs. IPs are packaged by the tool using the widely supported IP-XACT standard and can be configured and instantiated to create an SoC design in a single environment whilst ensuring design-data consistency. Magillem Connectivity uses built-in checkers to help automate time-consuming tasks, resulting in efficient and safe design updates or even restructuring of large sections of the design.</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19"/>
        </w:rPr>
        <w:t>Magillem Registers and CSRCompiler:</w:t>
      </w:r>
      <w:r>
        <w:rPr>
          <w:color w:val="000000"/>
        </w:rPr>
        <w:t xml:space="preserve"> </w:t>
      </w:r>
      <w:r>
        <w:rPr>
          <w:rFonts w:ascii="Arial;sans-serif" w:hAnsi="Arial;sans-serif"/>
          <w:b w:val="false"/>
          <w:color w:val="000000"/>
          <w:sz w:val="19"/>
        </w:rPr>
        <w:t>The combination of Magillem and CSRCompiler products addresses hardware-software integration challenges for SoCs, where complex software algorithms control a growing array of specialized processors and hardware accelerators to deliver a robust semiconductor. The hardware/software interface (HSI) provides the technology for software to control this SoC hardware and it forms the foundation of the entire SoC design project. The Magillem Register product and CSRCompiler products automate the creation of this SoC foundation.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mentioned above, critical tools in our SIA product portfolio have been “Tool Confidence Level” (TCL)-certified by the TUV Sud to confirm that they are safe to use in automotive and mission-critical markets like aerospace &amp; space as part of the industrial vertical.</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Customers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license our products to a global and diverse customer base, including semiconductor manufacturers, OEMs, hyperscale system houses, semiconductor design houses and other producers of electronic systems. We work directly with our customers throughout their design processes and seek to develop long-term, sustainable relationships with them as our technology becomes embedded in their products. As a result, we believe we are well positioned to continue to attract and retain customers, and to continue developing next-generation System IP solutions for their future products. We added </w:t>
      </w:r>
      <w:r>
        <w:rPr>
          <w:rFonts w:ascii="Arial;sans-serif" w:hAnsi="Arial;sans-serif"/>
          <w:b w:val="false"/>
          <w:color w:val="000000"/>
          <w:sz w:val="19"/>
        </w:rPr>
        <w:t xml:space="preserve">23 net new </w:t>
      </w:r>
      <w:r>
        <w:rPr>
          <w:rFonts w:ascii="Arial;sans-serif" w:hAnsi="Arial;sans-serif"/>
          <w:b w:val="false"/>
          <w:color w:val="000000"/>
          <w:sz w:val="19"/>
          <w:shd w:fill="FFFFFF" w:val="clear"/>
        </w:rPr>
        <w:t>Active Customers during the year ended December 31, 2023.</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2023, we had one customer that represented more than 10% of our revenue. Our key customers include Intel, Samsung, NXP, STMicroelectronics, and Socionext.</w:t>
      </w:r>
    </w:p>
    <w:p>
      <w:pPr>
        <w:pStyle w:val="TextBody"/>
        <w:bidi w:val="0"/>
        <w:spacing w:lineRule="auto" w:line="288" w:before="180" w:after="283"/>
        <w:jc w:val="left"/>
        <w:rPr/>
      </w:pPr>
      <w:r>
        <w:rPr>
          <w:rFonts w:ascii="Arial;sans-serif" w:hAnsi="Arial;sans-serif"/>
          <w:b w:val="false"/>
          <w:color w:val="000000"/>
          <w:sz w:val="19"/>
          <w:shd w:fill="FFFFFF" w:val="clear"/>
        </w:rPr>
        <w:t>During the fiscal year 2023</w:t>
      </w:r>
      <w:r>
        <w:rPr>
          <w:rFonts w:ascii="Arial;sans-serif" w:hAnsi="Arial;sans-serif"/>
          <w:b w:val="false"/>
          <w:color w:val="000000"/>
          <w:sz w:val="19"/>
        </w:rPr>
        <w:t>, our net new Active Customers were geographically distributed as follows: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8 net new Active Customers based in the Americas;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9"/>
        </w:rPr>
        <w:t>2 net new Active Customers based in Europe and the Middle East;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9"/>
        </w:rPr>
        <w:t>13 net new Active Customers based in the Asia Pacific region.</w: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During the fiscal year 2023, our revenue by geographic area based on customer location was as follows: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35.9% of our revenue was derived from customers based in the Americas;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9"/>
        </w:rPr>
        <w:t>12.0% of our revenue was derived from customers based in Europe and the Middle East;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9"/>
        </w:rPr>
        <w:t>52.1% of our revenue was derived from customers based in the Asia Pacific region.</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Sales and Marketing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work closely with our customers throughout the SoC design lifecycle to help them use our System IP solutions to meet their specific needs. It is important to our success that we engage our customers early and collaborate throughout the design cycle. Our support organization is able to communicate the best practices in SoC design practices and receive early insight into customer requirements. This insight often results in new and innovative product features.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System IP sales cycles range from two to nine months or longer. For repeat customers, our sales cycle length is generally shorter.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we maintained sales offices, sales personnel, or sales representatives in the United States, China, France, South Korea, Japan, and Israel. As of December 31, 2023, our sales management had an average of 25 years of sales experience. As of December 31, 2023, we had 38 corporate and field application engineers. Corporate and field application engineers work closely with our customers in both presales and support roles, providing expert advice to our SoC architect and engineering users on how best to use our IP and software to design and implement their SoCs. As a result of these close relationships and detailed information sharing, our application engineers gather early knowledge of future expected customer needs including potential new sales opportunities within the customer and requirements for new capabilities for our products. Therefore, we believe our close relationships and technical credibility with our customers provide a competitive advantage.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marketing strategy emphasizes thought leadership and educates potential customers about how our products can address their System IP challenges. We use technical papers, and in-person and online events, to highlight our capabilities.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Research and Development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devote the most of our operating expenses to research and development of interconnect IP and SIA solutions. The development of interconnect IPs for complex SoCs is a challenging task that requires multiple competencies and close contact with customers in order to deliver sophisticated solutions. The development and maintenance of these solutions require: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Management of an interdisciplinary engineering team with expertise and skill set across a wide range of sciences and domains such as architecture, design, design verification, EDA-class software development, and SystemC modeling, as well as deep understanding of physical design, design methodologies and networking architectures;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Advanced SoC architectures for handling data coherency and consistency that result in a high-performance implementation with low power;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Complex design flows and methodologies, as well as specialized languages for generating configurable interconnect IP. The designs require configuration using thousands of parameters that must be meticulously managed with millions of combinations;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Capability to understand the physical implementation and floorplan of the target SoC in order to generate a design that meets physical implementation requirements in terms of timing, area and power;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Sophisticated design verification methodologies to ensure the quality of configurable interconnect IP across millions of possible combinations, as well as complex test benches for simulation and emulation;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In-depth knowledge of common interface protocols, graph theory, data models and graphical user interfaces;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In-depth knowledge of safety standards including ISO 26262 ASIL B/D for automotive, IEEE 1685 IP-XACT IP standard for IP and SoC packaging, IEEE 1800 UVM verification standard;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Support a broad ecosystem of processors suppliers, other IP vendors, SoC design tool software providers, semiconductor foundries, and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SoC integration automation development is similarly challenging as it requires broad support of the IP packaging standard, IEEE 1685 IP-XACT, and the ability to deliver features and enhancements required as customers deploy ever-changing IP block libraries for their SoC projects, address hardware-software integrations. Our SIA solutions have to conform not only to industry standards, but also to ever-evolving SoC integration methodologies.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Once interconnect IP is designed into customer SoC projects, there are significant switching costs to adopting different interconnect IP and SIA solutions, especially in the automotive sector where switching interconnect IP solutions may involve product functional safety re-certification.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research and development strategy includes offering customers several product enhancement releases per year, complemented with a planned introduction of at least one new interconnect IP or SIA product every year.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we have assembled one of the premier engineering teams for interconnect IP development and SIA in the world. As of December 31, 2023, we had 89 engineers devoted to interconnect IP development and 56 engineers devoted to SIA solutions totaling 145 employees. In 2023, we spent $45.1 million on research and development, which represented 84% of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Competition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interconnect IP, we primarily compete with interconnect solutions developed internally by our SoC customers and potential customers. Many of the largest semiconductor companies have their own interconnect IP development teams which make customer penetration relatively difficult, time-consuming, and expensive. However, we believe that over time the expense and difficulty of developing a broad suite of interconnect IP and SoC integration automation has the potential to expand the use of commercial SoC integration solutions. In addition, we also compete with third-party providers, including Arm and several smaller companies. While we do compete with Arm in the interconnect IP market, we believe our solutions are complementary to Arm’s processor portfolio and protocol deployment and are actively collaborating on joint automotive solutions. We often execute the integration of Arm processors in heterogeneous environments, which can accelerate the deployment of Arm processors. While smaller companies are developing interconnect solutions, we believe that our extensive investment in research and development over many years creates a barrier to entry. Developing interconnect IP solutions that are robust, configurable, and capable of handling multiple functionalities requires deep technology expertise and large research and development investments. We compete based on die area reduction, lower idle power consumption, improved data movement performance such as frequency, latency, and bandwidth, as well as faster time to market. We believe we compete favorably with respect to these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Based on management’s experience, we believe that in order to develop a new interconnect IP product, it would take a new entrant in the interconnect IP market three to four years to develop a mature product, two to four years of market development and five to seven years to build a royalty generating customer base.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SIA solutions similarly compete mainly against internally developed solutions. Commercial competitors consist of smaller companies that generally provide point products rather than complete solutions.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Intellectual Property and Proprietary Rights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rely on a combination of intellectual property rights, including patents, trade secrets, copyrights and trademarks, and contractual protections, to protect our core technology and intellectual property. As of December 31, 2023, we had 154 total allowed or issued patents, pending patent applications and non-expired provisional patent applications worldwide. Of these, we had 73 allowed or issued patents, 64 are U.S. allowed or issued patents, five are allowed or issued China patents, two are South Korea issued patents, one is a U.K. issued patent, and one is a Japan issued patent. The 73 allowed or issued patents generally expire between July 2035 and December 2041. As of December 31, 2023, we had 81 pending non-provisional and provisional patent application filings, 36 in the United States, 21 in Europe, 16 in China, five in South Korea and three in Japan. In addition, we have a trademark program covering, where feasible and in accordance with local laws, our products as well as our corporate names and logos.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progress in developing our technology and products, and our ability to compete worldwide, is a direct result of our commitment to develop and maintain leadership of our proprietary products and to develop and file to protect our intellectual property. We rely on a combination of patent, trademark, trade secret, and copyright laws, as well as contractual and licensing restrictions to protect the proprietary aspects of our technology. We also take steps to protect against misuse of our licensed products, for example with license keys that limit the time allowed for our licensee customers to use configuration tools to generate hardware description source code that is used in their semiconductor hardware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routinely use non-disclosure agreements, limited evaluation agreements, and substantive license agreements with procedures to assist customer usage while limiting wrongful disclosure or misuse of our intellectual property. In addition, we are committed to developing products not only in the U.S. but in France and other countries, where the country of origin may favorably impact the ability to license our IP solutions and technology in accordance with applicable export laws and regulations. Technological change and customer needs for emerging feature needs in our solutions inspire and motivate our personnel to update and enhance our offerings periodically.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patent protection beyond the United States in countries and jurisdictions where we determine that such filings will assist the strategic reach and value of our patent portfolio. Patents and other legal IP protections arise when we have conceived or developed novel and valuable new or improved technology relating to our IP solutions, that may affect our customer and our own licensing business outside the U.S. Certain countries in which our IP solutions are or may be developed, manufactured or sold may not have or enforce laws that protect our technology and intellectual property rights to the same extent as under U.S.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Material Agreements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Qualcomm Agreements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connection with an Asset Purchase Agreement by and among Qualcomm Technologies, Inc. and Qualcomm France SARL (collectively, Qualcomm) and us and certain of our subsidiaries dated as of October 9, 2013, pursuant to which we sold to Qualcomm certain assets and intellectual property related to our FlexNoC product (the Purchase Agreement), we and our affiliates retained a non-exclusive, worldwide, perpetual right under patents acquired under the Purchase Agreement to, among other things, manufacture, license and distribute certain FlexNoC products and certain modifications thereto (the Retained Rights). In addition, we and Qualcomm Technologies, Inc. entered into a License Agreement dated October 11, 2013 (the License Agreement) pursuant to which we and our affiliates obtained a license to, among other things, reproduce, use, license, and distribute certain FlexNoC-related works of authorship and technology that were acquired or owned by Qualcomm in connection with the Purchase Agreement for the purpose of enabling us to continue to offer and support FlexNoC products and certain modifications thereto (the Licensed Rights). There is no charge under the Purchase Agreement for our use of the Retained Rights or the Licensed Rights. Our rights in the Retained Rights continue until the last to expire of the relevant patents, and the License Agreement continues in perpetuity, in each case unless terminated as described below.</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Qualcomm may terminate the Retained Rights in the event (i) we or our subsidiaries that are party to the Purchase Agreement breach any material terms of the Purchase Agreement applicable to the Retained Rights or any material terms of the License Agreement and fail to cure any such breach within 90 days after notice of such breach from Qualcomm, or (ii) we or any of our affiliates initiate a claim of patent infringement against Qualcomm or its affiliates (excluding such claims that are counterclaims in proceedings initiated by Qualcomm or its affiliates) and does not withdraw such claim within 30 days after Qualcomm’s written request to do so. Qualcomm may terminate the License Agreement in the event we breach any material terms of the License Agreement or any material terms of the Purchase Agreement applicable to the Retained Rights and fail to cure such breach within 90 days after notice of such breach from Qualcomm. Qualcomm may also terminate rights granted under the License Agreement to a certain development environment used in connection with our FlexNoC product (which could effectively preclude us from continuing to enhance our FlexNoC product and adversely affect our FlexNoC business) in the event of a change of control of our company (as defined in the License Agreement) which would effectively include, in a transaction or series of related transactions, a sale of our company, or the sales of securities by us or our stockholders that would result in the stockholders and option holders of our company as of the date of the License Agreement not retaining beneficial ownership of more than 50% of our company. We believe that, as we have and continue to deliver new products since the date of the License Agreement, such as our range of SIA solutions, Ncore cache coherent interconnect, CodaCache last-level cache, and CSRCompiler physical awareness capabilities, the importance to our business and product portfolio of the FlexNoC development environment will decrease over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may not assign the License Agreement without Qualcomm’s written consent (and a change of control of our company shall be considered an assignment for the purposes of such prohibition) except that we may assign the License Agreement to an acquirer of our business that consists of licensing certain FlexNoC products, and we may only assign the Retained Rights to an entity to whom we have assigned the License Agreement.</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Governmental Regulation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entities, regulators, and agencies responsible for their enforcement) in the United States cover among other things: radio frequency emission regulatory activities (Federal Communications Commission); anti-trust regulatory activities (Federal Trade Commission and Department of Justice); insider trading, anti-bribery, and anti-corruption (Department of Justice), consumer protection (Federal Trade Commission); import/export regulatory activities (Department of Commerce and Department of Treasury);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federal and state tax and other regulations by a variety of regulatory authorities in each of the areas in which we conduct business. Our operations are also subject to the U.S. Foreign Corrupt Practices Act of 1977, as amended (the FCPA), the U.S. domestic bribery statute contained in 18 U.S.C. § 201, the U.S. Travel Act, the USA PATRIOT Act, as well as the anti-corruption, anti-bribery, and anti-money laundering laws in the U.S. and other countries where we conduct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(OFAC). Other products are subject to French export controls. These regulations may limit the export of our products and technology, and the provision of our services outside of the United States and/or France,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The export and re-export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In July 2021, we submitted a voluntary self-disclosure (VSD) to the Bureau of Industry and Security (BIS), noting potential violations of the EAR. On April 28, 2022, the Office of Export Enforcement of the U.S. Department of Commerce's Bureau of Industry and Security closed the matter with the issuance of a warning letter. With respect to government authorizations, we have no pending export license requests to BIS or any other government agency, and no export licenses are currently required to export our products from the United States or other countries to countries where we do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both"/>
        <w:rPr/>
      </w:pPr>
      <w:r>
        <w:rPr>
          <w:rFonts w:ascii="Arial;sans-serif" w:hAnsi="Arial;sans-serif"/>
          <w:b w:val="false"/>
          <w:color w:val="000000"/>
          <w:sz w:val="19"/>
          <w:shd w:fill="FFFFFF" w:val="clear"/>
        </w:rPr>
        <w:t>From time to time, we have adopted and will continue to adopt remedial measures in response to government regulation. For example, we have adopted several remedial measures prior to, in connection with and following the initial notification of voluntary self-disclosure we submitted to BIS. These compliance enhancements were developed and implemented in consultation with outside counsel specializing in U.S. trade compliance. These steps have included annual basic export compliance trainin</w:t>
      </w:r>
      <w:r>
        <w:rPr>
          <w:rFonts w:ascii="Arial;sans-serif" w:hAnsi="Arial;sans-serif"/>
          <w:b w:val="false"/>
          <w:color w:val="000000"/>
          <w:sz w:val="19"/>
        </w:rPr>
        <w:t>g within our company, updating our written export control policies and procedures, and adopting a revised export compliance manual in 2021. We have provided export awareness training for relevant personnel including in 2023 and 2022. We previously provided our sales employees worldwide with training in basic export compliance. We engage</w:t>
      </w:r>
      <w:r>
        <w:rPr>
          <w:rFonts w:ascii="Arial;sans-serif" w:hAnsi="Arial;sans-serif"/>
          <w:b w:val="false"/>
          <w:color w:val="000000"/>
          <w:sz w:val="19"/>
          <w:shd w:fill="FFFFFF" w:val="clear"/>
        </w:rPr>
        <w:t>d third-party vendor software to assist us with an ongoing screening of new and existing customers, third-party agents or representatives, suppliers, and other vendors against U.S., France and several other jurisdictions’ prohibited or restricted party lists. We screen all customers against applicable lists of denied or restricted parties, including the Entity List administered by BIS as well as the list of Specially Designated Nationals and Blocked Persons, administered by the Treasury Department’s Office of Foreign Assets Control.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a discussion of the various risks we face from regulation and compliance matters, see “Risk Factors—Risks Related to Our Business and Industry—We are subject to data protection, privacy and security laws, regulations, standards and other requirements across different markets where we conduct our business. Our actual or perceived failure to comply with such obligations could harm our business,” “Risk Factors—Risks Related to Legal, Regulatory, Accounting and Tax Matters—Our failure to comply with the large body of laws and regulations to which we are subject could materially harm our business,” “Risk Factors—Risks Related to Legal, Regulatory, Accounting and Tax Matters—Our failure to comply with the Foreign Corrupt Practices Act, other applicable anti-corruption and anti-bribery laws, and applicable anti-money laundering laws could subject us to penalties and other adverse consequences,” “Risk Factors—Risks Related to Legal, Regulatory, Accounting and Tax Matters—We are subject to government regulation, including import, export and economic sanctions laws and regulations that may expose us to liability and increase our costs,” “Risk Factors—Risks Related to Legal, Regulatory, Accounting and Tax Matters—We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Human Capital Resources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we had 243 employees as follows:</w:t>
      </w:r>
    </w:p>
    <w:tbl>
      <w:tblPr>
        <w:tblW w:w="3597"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228"/>
        <w:gridCol w:w="228"/>
        <w:gridCol w:w="325"/>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color w:val="000000"/>
                <w:sz w:val="19"/>
              </w:rPr>
            </w:pPr>
            <w:r>
              <w:rPr>
                <w:rFonts w:ascii="Arial;sans-serif" w:hAnsi="Arial;sans-serif"/>
                <w:b/>
                <w:color w:val="000000"/>
                <w:sz w:val="19"/>
              </w:rPr>
              <w:t>Geographic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South 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Elsewhere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consider relations with our employees to be good and have never experienced a work stoppage. None of our employees are either represented by a labor union, although our employees in France are subject to a collective bargaining agreement.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Corporation Information</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were incorporated in the State of Delaware in April 2004. </w:t>
      </w:r>
      <w:r>
        <w:rPr>
          <w:rFonts w:ascii="Arial;sans-serif" w:hAnsi="Arial;sans-serif"/>
          <w:b w:val="false"/>
          <w:color w:val="000000"/>
          <w:sz w:val="19"/>
        </w:rPr>
        <w:t>Our principal executive offices are located at 900 E. Hamilton Ave. Suite 300 Campbell, CA 95008. Our telephone number</w:t>
      </w:r>
      <w:r>
        <w:rPr>
          <w:color w:val="000000"/>
          <w:shd w:fill="FFFFFF" w:val="clear"/>
        </w:rPr>
        <w:t xml:space="preserve"> </w:t>
      </w:r>
      <w:r>
        <w:rPr>
          <w:rFonts w:ascii="Arial;sans-serif" w:hAnsi="Arial;sans-serif"/>
          <w:b w:val="false"/>
          <w:color w:val="000000"/>
          <w:sz w:val="19"/>
          <w:shd w:fill="FFFFFF" w:val="clear"/>
        </w:rPr>
        <w:t>is (408) 470-7300, and our website address is www.arteris.com. The information contained on, or that can be accessed through, our website is not incorporated by reference in this report and does not form a part of this report. You should not consider the information contained on our website to be part of this report in deciding whether to purchase shares of our common stock. Our common stock is traded on the Nasdaq Stock Market under the symbol “AIP”.</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Available Information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website address is www.arteris.com. Information found on, or accessible through, our website is not a part of, and is not incorporated into, this Annual Report on Form 10-K. We file electronically with the SEC our annual reports on Form 10-K, quarterly reports on Form 10-Q, current reports on Form 8-K, and amendments to those reports filed or furnished pursuant to Section 13(a) or 15(d) of the Exchange Act. We make available on our website at www.arteris.com, free of charge, copies of these reports and other information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technological obsolescence. The appearance of new competitors,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Limited, EXTOLL GmbH, Openedges Technologies Inc., Sdn. Bhd, Signature IP, SkyeChip, and TrueChip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SIA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between Russia and Ukraine and the conflict in Israel, including retaliatory, military and regulatory actions, on our customers’ engineering resources, design schedules, purchasing, development, sales and innovation responses and trends in response to such conflicts.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net losses in certain periods historically. We incurred a net loss of $36.9 million and $27.4 million in 2023 and 2022, respectively. As of December 31, 2023, we had an accumulated deficit of $103.2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COVID-19 or any future pandemic and other global economic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including the recent COVID-19 pandemic,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export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Even if we succeed in securing design wins for our IP interconnect and other solutions and our SIA 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from time to time, we invest in expansion into adjacent markets, including the acquisition of Magillem and Semifore, and our growth into the IP interconnect and SIA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SIA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COVID-19 or other pandemic,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support, our reputation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Interconnect IP and SIA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operational, financial, and political risks that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derived 65.4% and 59.3% of our revenue for 2023 and 2022, respectively, from sales to customers outside of the United States. In particular, we derived 31.1% and 28.8% of our revenue in 2023 and 2022, respectively,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including the recent COVID-19 pandemic, which may cause us or our distributors, vendors and/or customers to temporarily suspend our or their respective operations in the affected city or country or completely.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expropriation.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as a result of geopolitical and macroeconomic conditions in the countries in which we conduct business, the recent COVID-19 pandemic or any other outbreak of an infectious disease,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including as a result of the recent COVID-19 pandemic,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recent COVID-19 pandemic.”</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recent COVID-19 pandemic, ongoing trade disputes among the United States and China,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recent COVID-19 pandemic as well as other trends such as the increasing demand for semiconductors in automobiles, which together have resulted in the inability of fabrication plants to produce sufficient quantities of chips to meet demand, supply chain shortages and other disruptions. Numerous factors, including any further trade tensions between the U.S. and China, such as the revisions to the U.S. regulations governing the export of certain semiconductor related hardware and software to China announced by the U.S. Department of Commerce’s Bureau of Industry and Security on October 7, 2022, and or any military conflict between China and Taiwan may prolong or deepen these challenges faced by the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automotive, enterprise computing, communications, consumer electronics,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a result of the COVID-19 pandemic and the associated responses by governments of various countries to respond and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was highly dependent on its duration and severity. The foregoing impacts and other adverse effects on the automotive industry could harm our business, as well as our ability to execute our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business has been, and may continue to be, adversely affected by health epidemics, pandemics and other outbreaks of infectious disease, including the recent COVID-19 or any similar pandemic.</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 and could reduce our ability to access capital.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such crises could increase the magnitude of many of the other risks described in this Annual Report on Form 10-K,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received a Paycheck Protection Program loan, and our application for the PPP Loan could in the future be determined to have been impermissible or could result in damage to our reputation.</w:t>
      </w:r>
    </w:p>
    <w:p>
      <w:pPr>
        <w:pStyle w:val="TextBody"/>
        <w:bidi w:val="0"/>
        <w:spacing w:lineRule="auto" w:line="288" w:before="180" w:after="283"/>
        <w:jc w:val="both"/>
        <w:rPr/>
      </w:pPr>
      <w:r>
        <w:rPr>
          <w:rFonts w:ascii="Arial;sans-serif" w:hAnsi="Arial;sans-serif"/>
          <w:b w:val="false"/>
          <w:color w:val="000000"/>
          <w:sz w:val="19"/>
          <w:shd w:fill="FFFFFF" w:val="clear"/>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w:t>
      </w:r>
      <w:r>
        <w:rPr>
          <w:color w:val="000000"/>
        </w:rPr>
        <w:t xml:space="preserve"> </w:t>
      </w:r>
      <w:r>
        <w:rPr>
          <w:rFonts w:ascii="Arial;sans-serif" w:hAnsi="Arial;sans-serif"/>
          <w:b w:val="false"/>
          <w:color w:val="000000"/>
          <w:sz w:val="19"/>
        </w:rPr>
        <w:t xml:space="preserve">In addition, in May 2020, Semifore, Inc., a company that we recently acquired, was a recipient of $0.1 million of proceeds from a note payable issued under the Paycheck Protection Program (PPP) under section 7(a)(36) of the Small Business Act. The note was repaid in full in December 2020.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period to period.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License agreements for our interconnect IP are generally treated as ratable revenue, with revenue being recognized evenly over the license term. In recent periods we have made and will continue to make certain changes to SIA 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9.6% of our revenue for </w:t>
      </w:r>
      <w:r>
        <w:rPr>
          <w:rFonts w:ascii="Arial;sans-serif" w:hAnsi="Arial;sans-serif"/>
          <w:b w:val="false"/>
          <w:color w:val="000000"/>
          <w:sz w:val="19"/>
        </w:rPr>
        <w:t>the year ended December 31, 2023</w:t>
      </w:r>
      <w:r>
        <w:rPr>
          <w:rFonts w:ascii="Arial;sans-serif" w:hAnsi="Arial;sans-serif"/>
          <w:b w:val="false"/>
          <w:color w:val="000000"/>
          <w:sz w:val="19"/>
          <w:shd w:fill="FFFFFF" w:val="clear"/>
        </w:rPr>
        <w:t>.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from global semiconductor supply chain issues (including from shortages in the availability of the supply of chips in several semiconductor sectors and applications), the recent COVID-19 or any future pandemic and its world effects and changes in products mix. Furthermore, consolidation among our customers may increase the leverage of our existing customers to extract concessions from us in royalty rates.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w:t>
      </w:r>
      <w:r>
        <w:rPr>
          <w:rFonts w:ascii="Arial;sans-serif" w:hAnsi="Arial;sans-serif"/>
          <w:b w:val="false"/>
          <w:color w:val="000000"/>
          <w:sz w:val="19"/>
        </w:rPr>
        <w:t>the year ended December 31, 2023</w:t>
      </w:r>
      <w:r>
        <w:rPr>
          <w:color w:val="000000"/>
          <w:shd w:fill="FFFFFF" w:val="clear"/>
        </w:rPr>
        <w:t xml:space="preserve"> </w:t>
      </w:r>
      <w:r>
        <w:rPr>
          <w:rFonts w:ascii="Arial;sans-serif" w:hAnsi="Arial;sans-serif"/>
          <w:b w:val="false"/>
          <w:color w:val="000000"/>
          <w:sz w:val="19"/>
          <w:shd w:fill="FFFFFF" w:val="clear"/>
        </w:rPr>
        <w:t>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military conflict between Russia and Ukraine, and Israel conflict, and the tensions between the European Union, other European countries, as well as the United States, with Russia, any resulting material change to the valuation of the Euro or other currency relative to the U.S. dollar could adversely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and other strategic transactions, whether or not consummated, may divert our management’s attention and require considerable cash outlays at the expense of our existing operations. This, and any of the risks set forth above,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SIA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seek to protect our proprietary technology and innovations, particularly those relating to the design of our products, through patents, trade secrets and other intellectual property rights. As of December 31, 2023, we had 154 total allowed or issued patents, pending patent applications and non-expired provisional patent applications worldwide. Of these, we had 73 allowed or issued patents, 64 are U.S. allowed or issued patents, five are allowed or issued China patents, two are South Korea issued patents, one is a U.K. issued patent, and one is a Japan issued patent. The 73 allowed or issued patents generally expire between </w:t>
      </w:r>
      <w:r>
        <w:rPr>
          <w:rFonts w:ascii="Arial;sans-serif" w:hAnsi="Arial;sans-serif"/>
          <w:b w:val="false"/>
          <w:color w:val="000000"/>
          <w:sz w:val="19"/>
        </w:rPr>
        <w:t xml:space="preserve">July 2035 and December 2041. </w:t>
      </w:r>
      <w:r>
        <w:rPr>
          <w:rFonts w:ascii="Arial;sans-serif" w:hAnsi="Arial;sans-serif"/>
          <w:b w:val="false"/>
          <w:color w:val="000000"/>
          <w:sz w:val="19"/>
          <w:shd w:fill="FFFFFF" w:val="clear"/>
        </w:rPr>
        <w:t>As of December 31, 2023, we had 81 pending non-provisional and provisional patent application filings, including 36 in the United States, 21 in Europe, 16 in China, five in South Korea and three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causes us to discontinue the use of any of our technologies, we could be required to design around those technologies. This could be costly and time consuming and could have an adverse impact on our financial results. Any significant impairments of our intellectual property rights from any litigation we face could harm our business and our ability to compete in our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this Annual Report on Form 10-K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w:t>
      </w:r>
      <w:r>
        <w:rPr>
          <w:rFonts w:ascii="Arial;sans-serif" w:hAnsi="Arial;sans-serif"/>
          <w:b w:val="false"/>
          <w:color w:val="000000"/>
          <w:sz w:val="19"/>
          <w:shd w:fill="FFFFFF" w:val="clear"/>
        </w:rPr>
        <w:t>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recent COVID-19 or any future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insurance; however, this insurance may not be sufficient to cover the financial, legal, business or reputational losses that may result from an interruption or breach of our systems.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is rapidly evolving,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amends the CCPA and imposes additional data protection obligations on covered businesses, including additional consumer rights processes, limitations on data uses, new audit requirements for higher risk data, and opt outs for certain uses of sensitive data. As part of CPRA, a new California data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Texas enacted the Texas Data Privacy Act, effective July 1, 2024,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called the EU-US Data Privacy Framework (DPF). On July 10, 2023, the EU adopted an adequacy decision for the EU-U.S. DPF after determining that the additional safeguards included in Executive Order 14086 signed by President Biden on October 7, 2022, provide an adequate level of protection for personal data transferred from the European Union. The adequacy decision allows the EU-U.S. DPF to facilitate the transfer of data from Europe to the United States, benefiting companies and individuals on both sides of the Atlantic. We currently rely on the SCCs to transfer personal data outside the EEA and the U.K., including to the U.S., with respect to both intragroup and third-party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 such as with respect to Article 38 of the China Personal Information Protection Law (PIPL) Measures for Standard Contract on Outbound Transfer of Personal Information.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 including import, export and economic sanctions laws and regulations that may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U.S.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and October 2023, the U.S. federal government modified certain of its regulations affecting the export of semiconductor products and equipment, with particular focus on export to China. We must continue to comply with such regulations and take additional review and precautions as required when such export regulations are updated or changed by the U.S. federal government.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July 2021, we submitted a voluntary self-disclosure (VSD) to the U.S. Department of Commerce's Bureau of Industry and Security, noting potential violations of the EAR. On April 28, 2022, the Office of Export Enforcement of the U.S. Department of Commerce's Bureau of Industry and Security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w:t>
      </w:r>
      <w:r>
        <w:rPr>
          <w:rFonts w:ascii="Arial;sans-serif" w:hAnsi="Arial;sans-serif"/>
          <w:b w:val="false"/>
          <w:color w:val="000000"/>
          <w:sz w:val="19"/>
        </w:rPr>
        <w:t>the year ended December 31, 2023</w:t>
      </w:r>
      <w:r>
        <w:rPr>
          <w:rFonts w:ascii="Arial;sans-serif" w:hAnsi="Arial;sans-serif"/>
          <w:b w:val="false"/>
          <w:color w:val="000000"/>
          <w:sz w:val="19"/>
          <w:shd w:fill="FFFFFF" w:val="clear"/>
        </w:rPr>
        <w:t>, we derived 31.1%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6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of travel to and from China (and to and from United States) arising from or related to the COVID-19 pandemic or any future pandemic.</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tensions between China on the one hand and the United States and/or the European Union on the other hand, may increase and may lead to increased export sanctions with Chinese entities and sanctions made against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on October 7, 2022, the U.S. Department of Commerce's Bureau of Industry and Security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U.S. Department of Commerce's Bureau of Industry and Security issued regulations amending the October 7, 2022 export controls governing the export of certain semiconductor-related hardware and software to China. These restrictions, which are effective on November 17, 2023,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August 9, 2023, President Biden signed an “Executive Order 14105 entitled Executive Order on Addressing United States Investments in Certain National Security Technologies and Products in Countries of Concern” that will impact certain investments by U.S. persons and companies in China. This new regulatory regime, which will not likely take effect until implementing regulations are issued by the U.S. Department of the Treasury in early 2024, will require notification to the Treasury Department of certain investments by U.S. persons and companies involving certain sectors and technologies in China and will prohibit other types of investments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to such joint venture, or the IP of other parties, which may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additional capital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occurrence of one or more of the above risks, or any other negative events, could adversely impact our joint ventures or similar investments and could in turn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and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and/or currency devaluation trends appear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existing stockholders, including current or former employees sell, or indicate an intention to sell, substantial amounts of our common stock in the public market, the market price of our common stock could decline. As of December 31, 2023, we had approximately 37.5 million 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also may buy or sell additional shares outside of a Rule 10b5-1 plan when they are not in possession of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stock and will be able to exert significant control over matters subject to stockholder approval.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K. Charles Janac, our President, Chief Executive Officer and Chairman, held voting power over approximately 27.9%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300,000,000 shares of common stock authorized as of December 31, 2023.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Management may apply our net proceeds from our initial public offering to uses that do not increase our market value or improve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1C. Cybersecurity Risk Management and Strategy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risk management program includes common methodologies, reporting channels and governance processes that apply across the enterprise to other legal, compliance, strategic, operational, and financial risk areas.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risk management program includes: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 assessments designed to help identify cybersecurity risks to our critical systems, information, products, services, and our broader enterprise IT environment;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management team, including the Chief Financial Officer (CFO), head of information technology (Head of IT), General Counsel/Chief Compliance Officer, and Deputy General Counsel (together, the Cybersecurity Management Team) responsible for managing and communicating priorities related to (1) our cybersecurity risk assessment processes, (2) our security controls, and (3) our response to cybersecurity incidents;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use of external service providers, where appropriate, to assess, test or otherwise assist with aspects of our security processes;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Cybersecurity awareness training of our employees, incident response personnel, and senior management;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cybersecurity incident response plan that includes procedures for responding to cybersecurity incidents;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third-party risk management process for essential service providers, suppliers, and vendors.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Management Team is responsible for assessing and managing our material risks from cybersecurity threats. The Head of IT has a primary responsibility for our overall cybersecurity risk management program and supervises both our internal IT personnel and our retained external cybersecurity consultants. Our Head of IT has served in various roles in information technology and information security for over 17 years. Our Deputy General Counsel has over 20 years of experience as an attorney and holds various certifications related to privacy and data protection.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Management Team is informed about and monitors the prevention, detection, mitigation, and remediation of cybersecurity risks and incidents through various means, which may include among other things, briefings with internal security personnel, threat intelligence and other information obtained from governmental, public or private sources, including external consultants engaged by us, and alerts and reports produced by security tools deployed in our IT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not at this time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Factors—Risks Related to Intellectual Property, Information Technology and Data Security and Privacy—Cybersecurity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Cybersecurity Board Governance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Our board of directors considers cybersecurity risk as part of its risk oversight function. Management updates the board of directors, as necessary, regarding any significant cybersecurity incidents, as well as any incidents with lesser impact potential.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board of directors receives briefings from management periodically on our cyber risk management program and presentations on cybersecurity topics as part of the board of directors’ continuing education on topics that impact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80" w:after="283"/>
        <w:jc w:val="both"/>
        <w:rPr/>
      </w:pPr>
      <w:r>
        <w:rPr>
          <w:rFonts w:ascii="Arial;sans-serif" w:hAnsi="Arial;sans-serif"/>
          <w:b w:val="false"/>
          <w:color w:val="000000"/>
          <w:sz w:val="19"/>
          <w:shd w:fill="FFFFFF" w:val="clear"/>
        </w:rPr>
        <w:t>Our principal executive office is located in Campbell, California. We currently lease offices in the United States in Campbell, California and Austin, Texas which consists of approximate</w:t>
      </w:r>
      <w:r>
        <w:rPr>
          <w:rFonts w:ascii="Arial;sans-serif" w:hAnsi="Arial;sans-serif"/>
          <w:b w:val="false"/>
          <w:color w:val="000000"/>
          <w:sz w:val="19"/>
        </w:rPr>
        <w:t>ly 15,500 square fe</w:t>
      </w:r>
      <w:r>
        <w:rPr>
          <w:rFonts w:ascii="Arial;sans-serif" w:hAnsi="Arial;sans-serif"/>
          <w:b w:val="false"/>
          <w:color w:val="000000"/>
          <w:sz w:val="19"/>
          <w:shd w:fill="FFFFFF" w:val="clear"/>
        </w:rPr>
        <w:t>et of space. We also lease space in France, China, Japan and South Korea.</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lease all our facilities and do not own any real property. We believe our existing facilities are adequate and suitable for our current needs and that, should it be needed, suitable additional or alternative space will be available on commercially reasonable terms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3. Legal Proceedings</w:t>
      </w:r>
    </w:p>
    <w:p>
      <w:pPr>
        <w:pStyle w:val="TextBody"/>
        <w:bidi w:val="0"/>
        <w:spacing w:lineRule="auto" w:line="288" w:before="180" w:after="283"/>
        <w:jc w:val="both"/>
        <w:rPr/>
      </w:pPr>
      <w:r>
        <w:rPr>
          <w:rFonts w:ascii="Arial;sans-serif" w:hAnsi="Arial;sans-serif"/>
          <w:b w:val="false"/>
          <w:color w:val="000000"/>
          <w:sz w:val="19"/>
        </w:rPr>
        <w:t xml:space="preserve">Refer to Note 12 </w:t>
      </w:r>
      <w:r>
        <w:rPr>
          <w:rFonts w:ascii="Arial;sans-serif" w:hAnsi="Arial;sans-serif"/>
          <w:b w:val="false"/>
          <w:color w:val="000000"/>
          <w:sz w:val="19"/>
          <w:shd w:fill="FFFFFF" w:val="clear"/>
        </w:rPr>
        <w:t>to our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Market Price of Our Common Stock</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common stock, par value $0.001 per share, is listed on the Nasdaq Stock Market, under the symbol “AIP” and began trading on October 27, 2021. Prior to that date, there was no public trading market for our common stock.</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Holders of Record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of February 13, 2024, there were 376 stockholders of record of our common stock. The actual number of holders of our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Dividend Policy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Securities Authorized for Issuance under Equity Compensation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 xml:space="preserve">Recent Sales of Unregistered Equity Securities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December 27, 2022, we issued an aggregate of 663,143 shares of our common stock to eight accredited investors at $3.77 per share, for an aggregate consideration of approximately $2.5 million, in connection with our acquisition of Semifore, Inc.</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Unless otherwise stated, the issuances of the above securities were deemed to be exempt from registration under the Securities Act in reliance upon Section 4(a)(2) of the Securities Act.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Use of Proceeds</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Issuer Purchases of Equity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The following discussion and analysis of our financial condition and results of operations should be read in conjunction with our consolidated financial statements and related notes included under Part II, Item 8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and elsewhere in this Annual Report on Form 10-K. You should carefully read the “Risk Factors” section of this Annual Report on Form 10-K to gain an understanding of the important factors that could cause actual results to differ materially from forward-looking statements. Please also see the section under the heading “Cautionary Note Regarding Forward-Looking Statements.”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for our solutions is being driven by growing SoC sophistication and associated complexity, now extending into disaggregation of SoCs into systems for which implement the communication protocol aspects and partner with industry leading providers like Synopsys, Cadence, Alphawave and others to connect to their die to 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w:t>
      </w:r>
      <w:r>
        <w:rPr>
          <w:rFonts w:ascii="Arial;sans-serif" w:hAnsi="Arial;sans-serif"/>
          <w:b w:val="false"/>
          <w:color w:val="000000"/>
          <w:sz w:val="19"/>
        </w:rPr>
        <w:t xml:space="preserve">SoC Integration Automation software (SIA) (formerly IP deployment software) </w:t>
      </w:r>
      <w:r>
        <w:rPr>
          <w:rFonts w:ascii="Arial;sans-serif" w:hAnsi="Arial;sans-serif"/>
          <w:b w:val="false"/>
          <w:color w:val="000000"/>
          <w:sz w:val="19"/>
          <w:shd w:fill="FFFFFF" w:val="clear"/>
        </w:rPr>
        <w:t>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SIA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pStyle w:val="TextBody"/>
        <w:bidi w:val="0"/>
        <w:spacing w:lineRule="auto" w:line="288" w:before="180" w:after="283"/>
        <w:jc w:val="both"/>
        <w:rPr/>
      </w:pPr>
      <w:r>
        <w:rPr>
          <w:rFonts w:ascii="Arial;sans-serif" w:hAnsi="Arial;sans-serif"/>
          <w:b w:val="false"/>
          <w:color w:val="000000"/>
          <w:sz w:val="19"/>
          <w:shd w:fill="FFFFFF" w:val="clear"/>
        </w:rPr>
        <w:t>As of December 31, 2023, we had</w:t>
      </w:r>
      <w:r>
        <w:rPr>
          <w:color w:val="000000"/>
        </w:rPr>
        <w:t xml:space="preserve"> </w:t>
      </w:r>
      <w:r>
        <w:rPr>
          <w:rFonts w:ascii="Arial;sans-serif" w:hAnsi="Arial;sans-serif"/>
          <w:b w:val="false"/>
          <w:color w:val="000000"/>
          <w:sz w:val="19"/>
        </w:rPr>
        <w:t>243 em</w:t>
      </w:r>
      <w:r>
        <w:rPr>
          <w:rFonts w:ascii="Arial;sans-serif" w:hAnsi="Arial;sans-serif"/>
          <w:b w:val="false"/>
          <w:color w:val="000000"/>
          <w:sz w:val="19"/>
          <w:shd w:fill="FFFFFF" w:val="clear"/>
        </w:rPr>
        <w:t xml:space="preserve">ployees and offices in </w:t>
      </w:r>
      <w:r>
        <w:rPr>
          <w:rFonts w:ascii="Arial;sans-serif" w:hAnsi="Arial;sans-serif"/>
          <w:b w:val="false"/>
          <w:color w:val="000000"/>
          <w:sz w:val="19"/>
        </w:rPr>
        <w:t>eight</w:t>
      </w:r>
      <w:r>
        <w:rPr>
          <w:color w:val="000000"/>
          <w:shd w:fill="FFFFFF" w:val="clear"/>
        </w:rPr>
        <w:t xml:space="preserve"> </w:t>
      </w:r>
      <w:r>
        <w:rPr>
          <w:rFonts w:ascii="Arial;sans-serif" w:hAnsi="Arial;sans-serif"/>
          <w:b w:val="false"/>
          <w:color w:val="000000"/>
          <w:sz w:val="19"/>
          <w:shd w:fill="FFFFFF" w:val="clear"/>
        </w:rPr>
        <w:t>locations in the United States, France, China, South Korea and Japan. For the year ended December 31, 2023, we generated revenue of $53.7 million, net loss of $36.9 million and net loss per share, basic and diluted of $1.03. As of December 31, 2023, we had Annual Contract Value (as defined below) of $50.9 million. During the year ended December 31, 2023, we added 23 net new Active Customers (as defined below) and our customers had 95 Confirmed Design Starts (as defined below).</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Acquisitions</w:t>
      </w:r>
    </w:p>
    <w:p>
      <w:pPr>
        <w:pStyle w:val="TextBody"/>
        <w:bidi w:val="0"/>
        <w:spacing w:lineRule="auto" w:line="288" w:before="180" w:after="283"/>
        <w:jc w:val="both"/>
        <w:rPr/>
      </w:pPr>
      <w:r>
        <w:rPr>
          <w:rFonts w:ascii="Arial;sans-serif" w:hAnsi="Arial;sans-serif"/>
          <w:b w:val="false"/>
          <w:color w:val="000000"/>
          <w:sz w:val="19"/>
        </w:rPr>
        <w:t xml:space="preserve">On December 27, 2022, we completed our acquisition of Semifore, Inc., (Semifore) for a total consideration of </w:t>
      </w:r>
      <w:r>
        <w:rPr>
          <w:rFonts w:ascii="Arial;sans-serif" w:hAnsi="Arial;sans-serif"/>
          <w:b w:val="false"/>
          <w:color w:val="000000"/>
          <w:sz w:val="19"/>
          <w:shd w:fill="FFFFFF" w:val="clear"/>
        </w:rPr>
        <w:t>$3.1 million</w:t>
      </w:r>
      <w:r>
        <w:rPr>
          <w:rFonts w:ascii="Arial;sans-serif" w:hAnsi="Arial;sans-serif"/>
          <w:b w:val="false"/>
          <w:color w:val="000000"/>
          <w:sz w:val="19"/>
        </w:rPr>
        <w:t>. Prior to the acquisition, Semifore was a privately held provider of hardware, software interface (HSI) technology. Semifore technologies are used to effectively design, verify, document, and help in the validation of the hardware-software integration that is used in the SoC complex chip market. The addition of Semifore technologies and team expertise augments Arteris System IP and SIA solutions to further support software control of the IP and SoC hardware.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On November 30, 2020, Arteris IP, SAS, our wholly owned subsidiary, completed the acquisition of Magillem for a total consideration of $7.8 million. Magillem is a leading provider of design flow and content management software solutions for the complex chip market. The primary reason for the acquisition was to integrate our technologies in order to accelerate and simplify the SoC assembly design flow and enhance innovation in both SoC IP integration software and the highly configurable on-chip interconnect IP that implements chip architectures.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License Agreements with New and Existing Customers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End Customer Product Demand and Market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Demand for our interconnect IP solutions and associated royalty revenue is highly dependent on market conditions in the end markets in which our customers operate. These end markets, which include the automotive, enterprise computing, communications,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Terms of our Agreements with Customers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revenue from period to period can be impacted by the terms of the agreements we enter into with our customers. For example, in recent periods we have made certain changes to SIA agreements that result in the ratable recognition of the related license revenue over the contract term. As a result of how these contracts are structured and the revenue is recognized, our revenue in the year ended December 31, 2023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Technological Development and Market Growth</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continue to evaluate growth opportunities through acquisitions of other businesses.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Impact of Operating Globally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our products’ global footprint provides us with the opportunity to enter new markets and accelerate our growth. For 2023, 65.4% of our revenue was derived from sales to customers outside of the United States and 31.1% of our revenue was derived from customers located in China. For 2022, 59.3% of our revenue was derived from sales to customers outside of the United States and 28.8%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and further amended effective November 17, 2023,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Cyclical Nature of the Semiconductor Industry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COVID-19 Impact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duration and extent of the COVID-19 pandemic already had an adverse effect on the global economy and the lasting effects of the pandemic continue to be unknown.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unable to accurately predict the full impact that COVID-19 or any future pandemics will have on our future results of operations, financial condition, liquidity and cash flows due to numerous uncertainties, including the duration and severity of any future pandemics and containment measures. Although we expect most of our employees to return to physical offices, the nature and extent of that return is uncertain and differs among jurisdictions. For additional details, see the section titled “Risk Factors—Our business has been, and may continue to be, adversely affected by health epidemics, pandemics and other outbreaks of infectious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Key Performance Indicators</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Annual Contract Value</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$50.9 million and $49.2 million as of December 31, 2023 and 2022, respectively. In addition, total ACV and trailing twelve months variable royalties and other revenue was $56.1 million and $52.4 million as of December 31, 2023 and 2022, respectively.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24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Active Customers</w:t>
      </w:r>
    </w:p>
    <w:p>
      <w:pPr>
        <w:pStyle w:val="TextBody"/>
        <w:bidi w:val="0"/>
        <w:spacing w:lineRule="auto" w:line="288" w:before="240" w:after="283"/>
        <w:jc w:val="both"/>
        <w:rPr/>
      </w:pPr>
      <w:r>
        <w:rPr>
          <w:rFonts w:ascii="Arial;sans-serif" w:hAnsi="Arial;sans-serif"/>
          <w:b w:val="false"/>
          <w:color w:val="000000"/>
          <w:sz w:val="19"/>
        </w:rPr>
        <w:t xml:space="preserve">We define Active Customers as customers who have entered into a license agreement with us that remains in effect. The retention and expansion of our relationships with existing customers are key indicators of our revenue potential. </w:t>
      </w:r>
      <w:r>
        <w:rPr>
          <w:rFonts w:ascii="Arial;sans-serif" w:hAnsi="Arial;sans-serif"/>
          <w:b w:val="false"/>
          <w:color w:val="000000"/>
          <w:sz w:val="19"/>
          <w:shd w:fill="FFFFFF" w:val="clear"/>
        </w:rPr>
        <w:t>We added 23 and 38 net new Active Customers during each of the years ended December 31, 2023 and 2022, respectively.</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Confirmed Design Starts</w:t>
      </w:r>
    </w:p>
    <w:p>
      <w:pPr>
        <w:pStyle w:val="TextBody"/>
        <w:bidi w:val="0"/>
        <w:spacing w:lineRule="auto" w:line="288" w:before="240" w:after="283"/>
        <w:jc w:val="both"/>
        <w:rPr/>
      </w:pPr>
      <w:r>
        <w:rPr>
          <w:rFonts w:ascii="Arial;sans-serif" w:hAnsi="Arial;sans-serif"/>
          <w:b w:val="false"/>
          <w:color w:val="000000"/>
          <w:sz w:val="19"/>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started a total of</w:t>
      </w:r>
      <w:r>
        <w:rPr>
          <w:color w:val="000000"/>
          <w:shd w:fill="FFFFFF" w:val="clear"/>
        </w:rPr>
        <w:t xml:space="preserve"> </w:t>
      </w:r>
      <w:r>
        <w:rPr>
          <w:rFonts w:ascii="Arial;sans-serif" w:hAnsi="Arial;sans-serif"/>
          <w:b w:val="false"/>
          <w:color w:val="000000"/>
          <w:sz w:val="19"/>
          <w:shd w:fill="FFFFFF" w:val="clear"/>
        </w:rPr>
        <w:t>95 and 82 design starts during each of the years ended December 31, 2023 and 2022, respectively. We believe that the number of Confirmed Design Starts is an important indicator of the growth of our business and future royalty revenue trends.</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Remaining Performance Obligations</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 xml:space="preserve">We define Remaining Performance Obligations (RPO) as the amount of contracted future revenue that has not yet been recognized, including deferred revenue, billed and unbilled cancelable and non-cancelable contracted amounts. </w:t>
      </w:r>
    </w:p>
    <w:p>
      <w:pPr>
        <w:pStyle w:val="TextBody"/>
        <w:bidi w:val="0"/>
        <w:spacing w:lineRule="auto" w:line="288" w:before="240" w:after="283"/>
        <w:jc w:val="both"/>
        <w:rPr/>
      </w:pPr>
      <w:r>
        <w:rPr>
          <w:rFonts w:ascii="Arial;sans-serif" w:hAnsi="Arial;sans-serif"/>
          <w:b w:val="false"/>
          <w:color w:val="000000"/>
          <w:sz w:val="19"/>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w:t>
      </w:r>
      <w:r>
        <w:rPr>
          <w:color w:val="000000"/>
          <w:shd w:fill="FFFFFF" w:val="clear"/>
        </w:rPr>
        <w:t xml:space="preserve"> </w:t>
      </w:r>
      <w:r>
        <w:rPr>
          <w:rFonts w:ascii="Arial;sans-serif" w:hAnsi="Arial;sans-serif"/>
          <w:b w:val="false"/>
          <w:color w:val="000000"/>
          <w:sz w:val="19"/>
          <w:shd w:fill="FFFFFF" w:val="clear"/>
        </w:rPr>
        <w:t>Our RPO was $72.7 million and $57.7 million as of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Components of Our Results of Operations</w:t>
      </w:r>
    </w:p>
    <w:p>
      <w:pPr>
        <w:pStyle w:val="TextBody"/>
        <w:bidi w:val="0"/>
        <w:spacing w:lineRule="auto" w:line="288" w:before="180" w:after="283"/>
        <w:jc w:val="both"/>
        <w:rPr/>
      </w:pPr>
      <w:r>
        <w:rPr>
          <w:rFonts w:ascii="Arial;sans-serif" w:hAnsi="Arial;sans-serif"/>
          <w:b/>
          <w:i/>
          <w:color w:val="000000"/>
          <w:sz w:val="19"/>
          <w:shd w:fill="FFFFFF" w:val="clear"/>
        </w:rPr>
        <w:t>Revenue:</w:t>
      </w:r>
      <w:r>
        <w:rPr>
          <w:color w:val="000000"/>
          <w:shd w:fill="FFFFFF" w:val="clear"/>
        </w:rPr>
        <w:t> </w:t>
      </w:r>
      <w:r>
        <w:rPr>
          <w:rFonts w:ascii="Arial;sans-serif" w:hAnsi="Arial;sans-serif"/>
          <w:b w:val="false"/>
          <w:color w:val="000000"/>
          <w:sz w:val="19"/>
          <w:shd w:fill="FFFFFF" w:val="clear"/>
        </w:rPr>
        <w:t>Our revenue is primarily derived from licensing intellectual property, licensing software, support and maintenance services, professional services, training services, and royalties. Our agreements often include other service elements including training and professional services which were immaterial for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SIA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w:t>
      </w:r>
      <w:r>
        <w:rPr>
          <w:rFonts w:ascii="Arial;sans-serif" w:hAnsi="Arial;sans-serif"/>
          <w:b w:val="false"/>
          <w:color w:val="000000"/>
          <w:sz w:val="19"/>
        </w:rPr>
        <w:t>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pStyle w:val="TextBody"/>
        <w:bidi w:val="0"/>
        <w:spacing w:lineRule="auto" w:line="288" w:before="180" w:after="283"/>
        <w:jc w:val="both"/>
        <w:rPr/>
      </w:pPr>
      <w:r>
        <w:rPr>
          <w:rFonts w:ascii="Arial;sans-serif" w:hAnsi="Arial;sans-serif"/>
          <w:b/>
          <w:i/>
          <w:color w:val="000000"/>
          <w:sz w:val="19"/>
          <w:shd w:fill="FFFFFF" w:val="clear"/>
        </w:rPr>
        <w:t>Cost of revenue:</w:t>
      </w:r>
      <w:r>
        <w:rPr>
          <w:color w:val="000000"/>
          <w:shd w:fill="FFFFFF" w:val="clear"/>
        </w:rPr>
        <w:t> </w:t>
      </w:r>
      <w:r>
        <w:rPr>
          <w:rFonts w:ascii="Arial;sans-serif" w:hAnsi="Arial;sans-serif"/>
          <w:b w:val="false"/>
          <w:color w:val="000000"/>
          <w:sz w:val="19"/>
          <w:shd w:fill="FFFFFF" w:val="clear"/>
        </w:rPr>
        <w:t>Cost of revenue relates to costs associated with our licensing agreements and support and maintenance, including 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p>
    <w:p>
      <w:pPr>
        <w:pStyle w:val="TextBody"/>
        <w:bidi w:val="0"/>
        <w:spacing w:lineRule="auto" w:line="288" w:before="180" w:after="283"/>
        <w:jc w:val="both"/>
        <w:rPr/>
      </w:pPr>
      <w:r>
        <w:rPr>
          <w:rFonts w:ascii="Arial;sans-serif" w:hAnsi="Arial;sans-serif"/>
          <w:b/>
          <w:i/>
          <w:color w:val="000000"/>
          <w:sz w:val="19"/>
          <w:shd w:fill="FFFFFF" w:val="clear"/>
        </w:rPr>
        <w:t>Allocation of Overhead Costs:</w:t>
      </w:r>
      <w:r>
        <w:rPr>
          <w:color w:val="000000"/>
          <w:shd w:fill="FFFFFF" w:val="clear"/>
        </w:rPr>
        <w:t xml:space="preserve"> </w:t>
      </w:r>
      <w:r>
        <w:rPr>
          <w:rFonts w:ascii="Arial;sans-serif" w:hAnsi="Arial;sans-serif"/>
          <w:b w:val="false"/>
          <w:color w:val="000000"/>
          <w:sz w:val="19"/>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 xml:space="preserve">Research and development (R&amp;D) expenses: </w:t>
      </w:r>
      <w:r>
        <w:rPr>
          <w:rFonts w:ascii="Arial;sans-serif" w:hAnsi="Arial;sans-serif"/>
          <w:b w:val="false"/>
          <w:color w:val="000000"/>
          <w:sz w:val="19"/>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pStyle w:val="TextBody"/>
        <w:bidi w:val="0"/>
        <w:spacing w:lineRule="auto" w:line="288" w:before="180" w:after="283"/>
        <w:jc w:val="both"/>
        <w:rPr/>
      </w:pPr>
      <w:r>
        <w:rPr>
          <w:rFonts w:ascii="Arial;sans-serif" w:hAnsi="Arial;sans-serif"/>
          <w:b/>
          <w:i/>
          <w:color w:val="000000"/>
          <w:sz w:val="19"/>
          <w:shd w:fill="FFFFFF" w:val="clear"/>
        </w:rPr>
        <w:t>Sales and marketing (S&amp;M) expenses:</w:t>
      </w:r>
      <w:r>
        <w:rPr>
          <w:color w:val="000000"/>
        </w:rPr>
        <w:t xml:space="preserve"> </w:t>
      </w:r>
      <w:r>
        <w:rPr>
          <w:rFonts w:ascii="Arial;sans-serif" w:hAnsi="Arial;sans-serif"/>
          <w:b w:val="false"/>
          <w:color w:val="000000"/>
          <w:sz w:val="19"/>
          <w:shd w:fill="FFFFFF" w:val="clear"/>
        </w:rPr>
        <w:t>S&amp;M expenses consist primarily of salaries, commissions, travel and other costs associated with 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pStyle w:val="TextBody"/>
        <w:bidi w:val="0"/>
        <w:spacing w:lineRule="auto" w:line="288" w:before="180" w:after="283"/>
        <w:jc w:val="both"/>
        <w:rPr/>
      </w:pPr>
      <w:r>
        <w:rPr>
          <w:rFonts w:ascii="Arial;sans-serif" w:hAnsi="Arial;sans-serif"/>
          <w:b/>
          <w:i/>
          <w:color w:val="000000"/>
          <w:sz w:val="19"/>
          <w:shd w:fill="FFFFFF" w:val="clear"/>
        </w:rPr>
        <w:t>General and administrative (G&amp;A) expenses:</w:t>
      </w:r>
      <w:r>
        <w:rPr>
          <w:color w:val="000000"/>
        </w:rPr>
        <w:t xml:space="preserve"> </w:t>
      </w:r>
      <w:r>
        <w:rPr>
          <w:rFonts w:ascii="Arial;sans-serif" w:hAnsi="Arial;sans-serif"/>
          <w:b w:val="false"/>
          <w:color w:val="000000"/>
          <w:sz w:val="19"/>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19"/>
          <w:shd w:fill="FFFFFF" w:val="clear"/>
        </w:rPr>
        <w:t xml:space="preserve">Interest expense: </w:t>
      </w:r>
      <w:r>
        <w:rPr>
          <w:rFonts w:ascii="Arial;sans-serif" w:hAnsi="Arial;sans-serif"/>
          <w:b w:val="false"/>
          <w:color w:val="000000"/>
          <w:sz w:val="19"/>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19"/>
          <w:shd w:fill="FFFFFF" w:val="clear"/>
        </w:rPr>
        <w:t>Other income (expense), net:</w:t>
      </w:r>
      <w:r>
        <w:rPr>
          <w:color w:val="000000"/>
          <w:shd w:fill="FFFFFF" w:val="clear"/>
        </w:rPr>
        <w:t xml:space="preserve"> </w:t>
      </w:r>
      <w:r>
        <w:rPr>
          <w:rFonts w:ascii="Arial;sans-serif" w:hAnsi="Arial;sans-serif"/>
          <w:b w:val="false"/>
          <w:color w:val="000000"/>
          <w:sz w:val="19"/>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19"/>
          <w:shd w:fill="FFFFFF" w:val="clear"/>
        </w:rPr>
        <w:t xml:space="preserve">Loss from equity method investment: </w:t>
      </w:r>
      <w:r>
        <w:rPr>
          <w:rFonts w:ascii="Arial;sans-serif" w:hAnsi="Arial;sans-serif"/>
          <w:b w:val="false"/>
          <w:color w:val="000000"/>
          <w:sz w:val="19"/>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19"/>
          <w:shd w:fill="FFFFFF" w:val="clear"/>
        </w:rPr>
        <w:t>Provision for (benefit from) income taxes:</w:t>
      </w:r>
      <w:r>
        <w:rPr>
          <w:color w:val="000000"/>
          <w:shd w:fill="FFFFFF" w:val="clear"/>
        </w:rPr>
        <w:t xml:space="preserve"> </w:t>
      </w:r>
      <w:r>
        <w:rPr>
          <w:rFonts w:ascii="Arial;sans-serif" w:hAnsi="Arial;sans-serif"/>
          <w:b w:val="false"/>
          <w:color w:val="000000"/>
          <w:sz w:val="19"/>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our GAAP results of operations for the periods presented. The results below are not necessarily indicative of results to be expected for future periods.</w:t>
      </w:r>
    </w:p>
    <w:tbl>
      <w:tblPr>
        <w:tblW w:w="8776" w:type="dxa"/>
        <w:jc w:val="left"/>
        <w:tblInd w:w="0" w:type="dxa"/>
        <w:tblLayout w:type="fixed"/>
        <w:tblCellMar>
          <w:top w:w="28" w:type="dxa"/>
          <w:left w:w="28" w:type="dxa"/>
          <w:bottom w:w="28" w:type="dxa"/>
          <w:right w:w="28" w:type="dxa"/>
        </w:tblCellMar>
      </w:tblPr>
      <w:tblGrid>
        <w:gridCol w:w="2148"/>
        <w:gridCol w:w="1885"/>
        <w:gridCol w:w="1891"/>
        <w:gridCol w:w="211"/>
        <w:gridCol w:w="811"/>
        <w:gridCol w:w="109"/>
        <w:gridCol w:w="109"/>
        <w:gridCol w:w="109"/>
        <w:gridCol w:w="109"/>
        <w:gridCol w:w="211"/>
        <w:gridCol w:w="811"/>
        <w:gridCol w:w="109"/>
        <w:gridCol w:w="109"/>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Cost of revenue </w:t>
            </w:r>
            <w:r>
              <w:rPr>
                <w:rFonts w:ascii="Arial;sans-serif" w:hAnsi="Arial;sans-serif"/>
                <w:b w:val="false"/>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profit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Operating expenses: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Research and development </w:t>
            </w:r>
            <w:r>
              <w:rPr>
                <w:rFonts w:ascii="Arial;sans-serif" w:hAnsi="Arial;sans-serif"/>
                <w:b w:val="false"/>
                <w:color w:val="000000"/>
                <w:sz w:val="12"/>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Sales and marketing </w:t>
            </w:r>
            <w:r>
              <w:rPr>
                <w:rFonts w:ascii="Arial;sans-serif" w:hAnsi="Arial;sans-serif"/>
                <w:b w:val="false"/>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General and administrative </w:t>
            </w:r>
            <w:r>
              <w:rPr>
                <w:rFonts w:ascii="Arial;sans-serif" w:hAnsi="Arial;sans-serif"/>
                <w:b w:val="false"/>
                <w:color w:val="000000"/>
                <w:sz w:val="12"/>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from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before income taxes and loss from equity method investment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 net of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Provision for (benefit from)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stock-based compensation expense as follows:</w:t>
      </w:r>
    </w:p>
    <w:tbl>
      <w:tblPr>
        <w:tblW w:w="5686" w:type="dxa"/>
        <w:jc w:val="left"/>
        <w:tblInd w:w="0" w:type="dxa"/>
        <w:tblLayout w:type="fixed"/>
        <w:tblCellMar>
          <w:top w:w="28" w:type="dxa"/>
          <w:left w:w="28" w:type="dxa"/>
          <w:bottom w:w="28" w:type="dxa"/>
          <w:right w:w="28" w:type="dxa"/>
        </w:tblCellMar>
      </w:tblPr>
      <w:tblGrid>
        <w:gridCol w:w="1071"/>
        <w:gridCol w:w="940"/>
        <w:gridCol w:w="943"/>
        <w:gridCol w:w="211"/>
        <w:gridCol w:w="751"/>
        <w:gridCol w:w="109"/>
        <w:gridCol w:w="109"/>
        <w:gridCol w:w="109"/>
        <w:gridCol w:w="109"/>
        <w:gridCol w:w="211"/>
        <w:gridCol w:w="751"/>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Sales and marketing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our results of operations as a percentage of total revenue for each of the periods indicated:</w:t>
      </w:r>
    </w:p>
    <w:tbl>
      <w:tblPr>
        <w:tblW w:w="8887" w:type="dxa"/>
        <w:jc w:val="left"/>
        <w:tblInd w:w="0" w:type="dxa"/>
        <w:tblLayout w:type="fixed"/>
        <w:tblCellMar>
          <w:top w:w="28" w:type="dxa"/>
          <w:left w:w="28" w:type="dxa"/>
          <w:bottom w:w="28" w:type="dxa"/>
          <w:right w:w="28" w:type="dxa"/>
        </w:tblCellMar>
      </w:tblPr>
      <w:tblGrid>
        <w:gridCol w:w="2148"/>
        <w:gridCol w:w="1883"/>
        <w:gridCol w:w="1893"/>
        <w:gridCol w:w="240"/>
        <w:gridCol w:w="241"/>
        <w:gridCol w:w="554"/>
        <w:gridCol w:w="210"/>
        <w:gridCol w:w="210"/>
        <w:gridCol w:w="210"/>
        <w:gridCol w:w="240"/>
        <w:gridCol w:w="241"/>
        <w:gridCol w:w="554"/>
        <w:gridCol w:w="109"/>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revenue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Cost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profit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Operating expenses:</w:t>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from operations</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before income taxes and loss from equity method investment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 net of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Provision for (benefit from) income taxes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Comparison of the Years Ended December 31, 2023 and 2022</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Revenue</w:t>
      </w:r>
    </w:p>
    <w:tbl>
      <w:tblPr>
        <w:tblW w:w="8436" w:type="dxa"/>
        <w:jc w:val="left"/>
        <w:tblInd w:w="0" w:type="dxa"/>
        <w:tblLayout w:type="fixed"/>
        <w:tblCellMar>
          <w:top w:w="28" w:type="dxa"/>
          <w:left w:w="28" w:type="dxa"/>
          <w:bottom w:w="28" w:type="dxa"/>
          <w:right w:w="28" w:type="dxa"/>
        </w:tblCellMar>
      </w:tblPr>
      <w:tblGrid>
        <w:gridCol w:w="1179"/>
        <w:gridCol w:w="1036"/>
        <w:gridCol w:w="103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6"/>
        <w:gridCol w:w="219"/>
        <w:gridCol w:w="331"/>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Licensing, support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Variable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Revenue from licensing, support and maintenance increased $2.3 million during the year ended December 31, 2023 as compared to the year ended December 31, 2022. The increase was primarily due to the addition of new customers, offset by a change in timing of revenue recognition for certain arrangements for the year ended December 31, 2023 compared to the year ended December 31, 2022. Growth in our variable royalty revenue was due to production increase from existing customers and royalty audit findings in the year ended December 31, 2023 compared to the year ended December 31, 2022. Other revenue decreased for the year ended December 31, 2023 compared to the year ended December 31, 2022 due to timing of completion of professional services.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Cost of revenue</w:t>
      </w:r>
    </w:p>
    <w:tbl>
      <w:tblPr>
        <w:tblW w:w="5921" w:type="dxa"/>
        <w:jc w:val="left"/>
        <w:tblInd w:w="0" w:type="dxa"/>
        <w:tblLayout w:type="fixed"/>
        <w:tblCellMar>
          <w:top w:w="28" w:type="dxa"/>
          <w:left w:w="28" w:type="dxa"/>
          <w:bottom w:w="28" w:type="dxa"/>
          <w:right w:w="28" w:type="dxa"/>
        </w:tblCellMar>
      </w:tblPr>
      <w:tblGrid>
        <w:gridCol w:w="544"/>
        <w:gridCol w:w="477"/>
        <w:gridCol w:w="47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188"/>
        <w:gridCol w:w="188"/>
        <w:gridCol w:w="33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180" w:after="283"/>
        <w:jc w:val="both"/>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increase in cost of revenue during the year ended December 31, 2023 was primarily due to higher FAE employee-related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Operating expenses</w:t>
      </w:r>
    </w:p>
    <w:tbl>
      <w:tblPr>
        <w:tblW w:w="7286" w:type="dxa"/>
        <w:jc w:val="left"/>
        <w:tblInd w:w="0" w:type="dxa"/>
        <w:tblLayout w:type="fixed"/>
        <w:tblCellMar>
          <w:top w:w="28" w:type="dxa"/>
          <w:left w:w="28" w:type="dxa"/>
          <w:bottom w:w="28" w:type="dxa"/>
          <w:right w:w="28" w:type="dxa"/>
        </w:tblCellMar>
      </w:tblPr>
      <w:tblGrid>
        <w:gridCol w:w="902"/>
        <w:gridCol w:w="793"/>
        <w:gridCol w:w="79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88"/>
        <w:gridCol w:w="188"/>
        <w:gridCol w:w="331"/>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Research and development expenses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R&amp;D expenses increased $4.0 million, or 10%, to $45.1 million for the year ended December 31, 2023 from $41.2 million for the year ended December 31, 2022. The increase in R&amp;D expenses was due to higher employee-related costs of $2.5 million primarily attributable to increased engineering headcount to support our continued growth and investment in our interconnect technology and SIA solutions. We also incurred higher stock-based compensation expense of $1.5 million related to modification of certain performance stock unit awards and annual grants of stock-based awards.</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Sales and marketing expenses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S&amp;M expenses increased $3.2 million, or 19%, to $20.7 million for the year ended December 31, 2023 from $17.4 million for the year ended December 31, 2022. The increase in S&amp;M expenses was primarily due to higher employee-related costs of $1.7 million mainly driven by increased headcount to support growth of our business. We also incurred higher stock-based compensation expense of $0.6 million, primarily related to annual grants of stock-based awards, higher professional fees of $0.4 million and higher company-wide event costs of $0.2 million, primarily due to an in-person sales event.</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General and administrative expenses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G&amp;A expenses increased $1.6 million, or 10%, to $17.9 million for the year ended December 31, 2023 from $16.4 million for the year ended December 31, 2022. The increase in G&amp;A expenses was primarily due to higher professional fees of $1.5 million driven by legal expenses related to our intellectual property litigation.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Interest expense</w:t>
      </w:r>
    </w:p>
    <w:tbl>
      <w:tblPr>
        <w:tblW w:w="6011" w:type="dxa"/>
        <w:jc w:val="left"/>
        <w:tblInd w:w="0" w:type="dxa"/>
        <w:tblLayout w:type="fixed"/>
        <w:tblCellMar>
          <w:top w:w="28" w:type="dxa"/>
          <w:left w:w="28" w:type="dxa"/>
          <w:bottom w:w="28" w:type="dxa"/>
          <w:right w:w="28" w:type="dxa"/>
        </w:tblCellMar>
      </w:tblPr>
      <w:tblGrid>
        <w:gridCol w:w="570"/>
        <w:gridCol w:w="500"/>
        <w:gridCol w:w="504"/>
        <w:gridCol w:w="229"/>
        <w:gridCol w:w="588"/>
        <w:gridCol w:w="118"/>
        <w:gridCol w:w="118"/>
        <w:gridCol w:w="118"/>
        <w:gridCol w:w="118"/>
        <w:gridCol w:w="229"/>
        <w:gridCol w:w="474"/>
        <w:gridCol w:w="118"/>
        <w:gridCol w:w="109"/>
        <w:gridCol w:w="109"/>
        <w:gridCol w:w="109"/>
        <w:gridCol w:w="211"/>
        <w:gridCol w:w="541"/>
        <w:gridCol w:w="109"/>
        <w:gridCol w:w="109"/>
        <w:gridCol w:w="109"/>
        <w:gridCol w:w="109"/>
        <w:gridCol w:w="240"/>
        <w:gridCol w:w="241"/>
        <w:gridCol w:w="33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expense for the year ended December 31, 2023 was $0.2 million, compared to $0.1 million for the year ended December 31, 2022 The increase in interest expense was primarily due to an increase in our vendor financing arrangements in 2023 compared to 2022.</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Other income (expense), net</w:t>
      </w:r>
    </w:p>
    <w:tbl>
      <w:tblPr>
        <w:tblW w:w="7285" w:type="dxa"/>
        <w:jc w:val="left"/>
        <w:tblInd w:w="0" w:type="dxa"/>
        <w:tblLayout w:type="fixed"/>
        <w:tblCellMar>
          <w:top w:w="28" w:type="dxa"/>
          <w:left w:w="28" w:type="dxa"/>
          <w:bottom w:w="28" w:type="dxa"/>
          <w:right w:w="28" w:type="dxa"/>
        </w:tblCellMar>
      </w:tblPr>
      <w:tblGrid>
        <w:gridCol w:w="938"/>
        <w:gridCol w:w="827"/>
        <w:gridCol w:w="82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40"/>
        <w:gridCol w:w="241"/>
        <w:gridCol w:w="331"/>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Other income (expense), net for the year ended December 31, 2023 was $3.6 million, compared to $1.4 million for the year ended December 31, 2022. The increase in other income (expense), net was primarily due to higher interest rates on cash balances and interest income earned on our available-for-sale investments as well as deferred income from our license agreement with Transchip.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76"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7405" w:type="dxa"/>
        <w:jc w:val="left"/>
        <w:tblInd w:w="0" w:type="dxa"/>
        <w:tblLayout w:type="fixed"/>
        <w:tblCellMar>
          <w:top w:w="28" w:type="dxa"/>
          <w:left w:w="28" w:type="dxa"/>
          <w:bottom w:w="28" w:type="dxa"/>
          <w:right w:w="28" w:type="dxa"/>
        </w:tblCellMar>
      </w:tblPr>
      <w:tblGrid>
        <w:gridCol w:w="1193"/>
        <w:gridCol w:w="1050"/>
        <w:gridCol w:w="1056"/>
        <w:gridCol w:w="213"/>
        <w:gridCol w:w="652"/>
        <w:gridCol w:w="110"/>
        <w:gridCol w:w="110"/>
        <w:gridCol w:w="110"/>
        <w:gridCol w:w="110"/>
        <w:gridCol w:w="213"/>
        <w:gridCol w:w="486"/>
        <w:gridCol w:w="110"/>
        <w:gridCol w:w="109"/>
        <w:gridCol w:w="109"/>
        <w:gridCol w:w="109"/>
        <w:gridCol w:w="211"/>
        <w:gridCol w:w="646"/>
        <w:gridCol w:w="109"/>
        <w:gridCol w:w="109"/>
        <w:gridCol w:w="109"/>
        <w:gridCol w:w="109"/>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Not meaningful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Loss from equity method investment was $3.4 million for the year ended December 31, 2023, compared to $0.3 million for the year ended December 31, 2022, representing our proportionate share of Transchip’s net loss during the trailing twelve months ended September 30, 2023. The increase in loss from equity method investment was primarily due to Transchip having a full year of operations for the year ended December 31, 2023 as compared to a partial year of operations for the year ended December 31, 2022. Such losses are expected to continue in the near future.</w:t>
      </w:r>
    </w:p>
    <w:p>
      <w:pPr>
        <w:pStyle w:val="TextBody"/>
        <w:bidi w:val="0"/>
        <w:spacing w:lineRule="auto" w:line="276"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Provision for (benefit from) income taxes</w:t>
      </w:r>
    </w:p>
    <w:tbl>
      <w:tblPr>
        <w:tblW w:w="7805" w:type="dxa"/>
        <w:jc w:val="left"/>
        <w:tblInd w:w="0" w:type="dxa"/>
        <w:tblLayout w:type="fixed"/>
        <w:tblCellMar>
          <w:top w:w="28" w:type="dxa"/>
          <w:left w:w="28" w:type="dxa"/>
          <w:bottom w:w="28" w:type="dxa"/>
          <w:right w:w="28" w:type="dxa"/>
        </w:tblCellMar>
      </w:tblPr>
      <w:tblGrid>
        <w:gridCol w:w="1325"/>
        <w:gridCol w:w="1163"/>
        <w:gridCol w:w="1171"/>
        <w:gridCol w:w="211"/>
        <w:gridCol w:w="646"/>
        <w:gridCol w:w="109"/>
        <w:gridCol w:w="109"/>
        <w:gridCol w:w="109"/>
        <w:gridCol w:w="109"/>
        <w:gridCol w:w="211"/>
        <w:gridCol w:w="541"/>
        <w:gridCol w:w="109"/>
        <w:gridCol w:w="109"/>
        <w:gridCol w:w="109"/>
        <w:gridCol w:w="109"/>
        <w:gridCol w:w="211"/>
        <w:gridCol w:w="646"/>
        <w:gridCol w:w="109"/>
        <w:gridCol w:w="109"/>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Not meaningful</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provision for (benefit from) income taxes for the year ended December 31, 2023 was as expense of $1.7 million, compared to a benefit of $0.4 million for the year ended December 31, 2022. </w:t>
      </w:r>
      <w:r>
        <w:rPr>
          <w:rFonts w:ascii="Arial;sans-serif" w:hAnsi="Arial;sans-serif"/>
          <w:b w:val="false"/>
          <w:color w:val="000000"/>
          <w:sz w:val="19"/>
        </w:rPr>
        <w:t xml:space="preserve">The increase in our income tax expense was primarily due to changes in current year foreign withholding taxes which are associated with revenues earned in certain foreign countries and changes in uncertain tax positions during the year ended </w:t>
      </w:r>
      <w:r>
        <w:rPr>
          <w:rFonts w:ascii="Arial;sans-serif" w:hAnsi="Arial;sans-serif"/>
          <w:b w:val="false"/>
          <w:color w:val="000000"/>
          <w:sz w:val="19"/>
          <w:shd w:fill="FFFFFF" w:val="clear"/>
        </w:rPr>
        <w:t>December 31, 2023</w:t>
      </w:r>
      <w:r>
        <w:rPr>
          <w:rFonts w:ascii="Arial;sans-serif" w:hAnsi="Arial;sans-serif"/>
          <w:b w:val="false"/>
          <w:color w:val="000000"/>
          <w:sz w:val="19"/>
        </w:rPr>
        <w:t>. The income taxes for the year ended December 31, 2022, also included the tax benefit of $0.5 million related to the release of a portion of US valuation allowance as a result of our business combination during the year ended December 31, 2022 which was not applicable to the year ended December 31, 2023.</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October 8, 2021, the Organization for Economic Co-operation and Development (OECD) released a statement on the OECD/G20 Inclusive Framework on Base Erosion and Profit Shifting, which agreed to a two-pillar solution to address tax challenges of the digital economy. On December 20, 2021, the OECD released Pillar Two model rules defining a 15 percent global minimum tax rate for large multinational corporations. The OECD continues to release additional guidance and countries are implementing legislation with widespread adoption of the Pillar Two Framework expected by calendar year 2024. The Pillar Two Framework does not have a material impact to us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240" w:after="283"/>
        <w:jc w:val="both"/>
        <w:rPr/>
      </w:pPr>
      <w:r>
        <w:rPr>
          <w:rFonts w:ascii="Arial;sans-serif" w:hAnsi="Arial;sans-serif"/>
          <w:b w:val="false"/>
          <w:color w:val="000000"/>
          <w:sz w:val="19"/>
        </w:rPr>
        <w:t>Since inception, we have financed operations primarily from payments received from our customers, the net proceeds from the sale of our common stock in the IPO as well as the net proceeds from the private issuance of our convertible preferred stock and common stock.</w:t>
      </w:r>
      <w:r>
        <w:rPr>
          <w:color w:val="000000"/>
          <w:shd w:fill="FFFFFF" w:val="clear"/>
        </w:rPr>
        <w:t xml:space="preserve"> </w:t>
      </w:r>
      <w:r>
        <w:rPr>
          <w:rFonts w:ascii="Arial;sans-serif" w:hAnsi="Arial;sans-serif"/>
          <w:b w:val="false"/>
          <w:color w:val="000000"/>
          <w:sz w:val="19"/>
          <w:shd w:fill="FFFFFF" w:val="clear"/>
        </w:rPr>
        <w:t>As of December 31, 2023, we had $41.2 million in cash and cash equivalents and short-term investments of which $2.6 million was held by our foreign subsidiaries.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believe our cash and cash equivalents, short-term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Cash Flows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changes in our cash flows for the periods indicated:</w:t>
      </w:r>
    </w:p>
    <w:tbl>
      <w:tblPr>
        <w:tblW w:w="6136" w:type="dxa"/>
        <w:jc w:val="left"/>
        <w:tblInd w:w="0" w:type="dxa"/>
        <w:tblLayout w:type="fixed"/>
        <w:tblCellMar>
          <w:top w:w="28" w:type="dxa"/>
          <w:left w:w="28" w:type="dxa"/>
          <w:bottom w:w="28" w:type="dxa"/>
          <w:right w:w="28" w:type="dxa"/>
        </w:tblCellMar>
      </w:tblPr>
      <w:tblGrid>
        <w:gridCol w:w="1190"/>
        <w:gridCol w:w="1043"/>
        <w:gridCol w:w="1051"/>
        <w:gridCol w:w="211"/>
        <w:gridCol w:w="811"/>
        <w:gridCol w:w="109"/>
        <w:gridCol w:w="109"/>
        <w:gridCol w:w="109"/>
        <w:gridCol w:w="109"/>
        <w:gridCol w:w="211"/>
        <w:gridCol w:w="811"/>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Operating Activities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2023, net cash used in operating activities was $15.7 million, primarily due to our net loss of $36.9 million, adjusted for non-cash charges of $19.2 million and $1.9 million changes in operating assets and liabilities. Non-cash charges primarily consisted of stock-based compensation of $14.5 million and depreciation and amortization of $3.1 million, loss from our equity method investment of $3.4 million, partially offset by amortization of deferred income of $1.2 million and net accretion of discounts on available-for-sale securities of $0.9 million. The drivers of the changes in operating assets and liabilities were a $4.9 million increase in accounts receivable, a $1.3 million increase in prepaid expenses and other assets, and a $0.4 million decrease in accounts payable, offset by a $6.0 million increase in deferred revenue, and a $2.5 million increase in accrued expenses and other liabilities.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2022, net cash used in operating activities was $6.8 million, primarily due to our net loss of $27.4 million, adjusted for non-cash charges of $13.0 million and $7.6 million changes in operating assets and liabilities. Non-cash charges primarily consisted of stock-based compensation of $11.7 million and depreciation and amortization of $2.1 million, partially offset by deferred income taxes due to release of a portion of US valuation allowance as a result of our business combination of $0.5 million, and amortization of deferred income of $0.4 million. The primary drivers of the changes in operating assets and liabilities were a $7.1 million decrease in accounts receivable, a $0.2 million decrease in prepaid expenses and other assets, a $0.5 million increase in accrued expenses and other liabilities, and a $0.8 million increase in deferred revenue, offset by a $1.0 million decrease in accounts payable.</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Activities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Net cash used in investing activities for the year ended December 31, 2023 was $4.7 million primarily attributable to $47.8 million of purchases of available-for-sale securities and certificate of deposit, and $1.5 million of purchases of property and equipment, partially offset by $44.7 million of proceeds from maturities of available-for-sale securities.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Net cash used in investing activities for the year ended December 31, 2022 was $37.5 million primarily attributable to $35.0 million of purchases of available-for-sale securities, $1.1 million of payments for business combination, net of $0.3 million of cash acquired, purchases of property and equipment of $1.1 million, and $0.5 million of payments related to investment in our equity method investee, see Note 15 to our consolidated financial statements. The cash outflow was offset by proceeds of $0.2 million from principal portion of our related party loan.</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Financing Activities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2023, net cash used in financing activities was $2.9 million, primarily attributable to payments of contingent consideration for business combinations and principal payments under vendor financing arrangements.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2022, net cash used in financing activities was $4.2 million, primarily attributable to payments to tax authorities for shares withheld from employees of $2.1 million, payments of contingent consideration for business combination of $1.6 million, principal payments under vendor financing arrangements of $1.1 million, partially offset by proceeds from exercise of stock options of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Contractual Obligations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principal commitments consist of obligations under our operating leases for office space and data center hosting space and vendor finance arrangements. Information regarding our non-cancelable lease commitments as of December 31, 2023 can be found in </w:t>
      </w:r>
      <w:hyperlink w:anchor="i7b0bd05dc44249ada47b6179d11e803f_148">
        <w:r>
          <w:rPr>
            <w:rStyle w:val="InternetLink"/>
            <w:rFonts w:ascii="Arial;sans-serif" w:hAnsi="Arial;sans-serif"/>
            <w:b w:val="false"/>
            <w:strike w:val="false"/>
            <w:dstrike w:val="false"/>
            <w:color w:val="000000"/>
            <w:sz w:val="19"/>
            <w:u w:val="none"/>
            <w:effect w:val="none"/>
            <w:shd w:fill="FFFFFF" w:val="clear"/>
          </w:rPr>
          <w:t>Note 10</w:t>
        </w:r>
      </w:hyperlink>
      <w:r>
        <w:rPr>
          <w:rFonts w:ascii="Arial;sans-serif" w:hAnsi="Arial;sans-serif"/>
          <w:b w:val="false"/>
          <w:color w:val="000000"/>
          <w:sz w:val="19"/>
          <w:shd w:fill="FFFFFF" w:val="clear"/>
        </w:rPr>
        <w:t xml:space="preserve"> to our consolidated financial statements included elsewhere in this Annual Report on Form 10-K. Our obligations as of December 31, 2023 under our vendor finance arrangements are described in </w:t>
      </w:r>
      <w:hyperlink w:anchor="i7b0bd05dc44249ada47b6179d11e803f_151">
        <w:r>
          <w:rPr>
            <w:rStyle w:val="InternetLink"/>
            <w:rFonts w:ascii="Arial;sans-serif" w:hAnsi="Arial;sans-serif"/>
            <w:b w:val="false"/>
            <w:strike w:val="false"/>
            <w:dstrike w:val="false"/>
            <w:color w:val="000000"/>
            <w:sz w:val="19"/>
            <w:u w:val="none"/>
            <w:effect w:val="none"/>
            <w:shd w:fill="FFFFFF" w:val="clear"/>
          </w:rPr>
          <w:t>Note 11</w:t>
        </w:r>
      </w:hyperlink>
      <w:r>
        <w:rPr>
          <w:rFonts w:ascii="Arial;sans-serif" w:hAnsi="Arial;sans-serif"/>
          <w:b w:val="false"/>
          <w:color w:val="000000"/>
          <w:sz w:val="19"/>
          <w:shd w:fill="FFFFFF" w:val="clear"/>
        </w:rPr>
        <w:t xml:space="preserve"> to our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consolidated financial statements are prepared in accordance with GAAP. The preparation of consolidated financial statements requires us to make certain estimates, judgments, and assumptions. We base our estimates on historical experience and on various other assumptions that we believe to be reasonable based upon information available to us at the time that these estimates, judgments, and assumptions are made. Our estimates and related judgments and assumptions are continually evaluated based on available information and experiences. However, actual amounts could differ from those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are the critical accounting policies requiring estimates, judgments, and assumptions that we believe have the most significant impact on our consolidated financial statements.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Revenue Recognition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recognize license revenues as we transfer control of deliverables (software and services) to our customers in an amount reflecting the consideration to which we expect to be entitled. To recognize revenues,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We account for a contract when it has approval and commitment from all parties, the rights of the parties are identified, payment terms are identified, the contract has commercial substance and collectability of consideration is probable. We apply judgment in determining the customer’s ability and intention to pay based on a variety of factors including the customer’s historical payment experience.</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Nature of Products and Services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revenue is primarily derived from licensing intellectual property, licensing software, support and maintenance services, professional services, training services, and royalties.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Design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Considering the nature of the combined license and assisting our customers in applying our IP technology in our customers’ development environment and the relative significance thereof, we have concluded that our promise to provide an Interconnect Solutions IP license is not distinct from our obligation to provide the Application Engineer Support Services and benefits of the RTL. The Interconnect Solutions IP, RTL, and the Application Engineering Support Services serve to fulfill our commitment to the customer, as they represent inputs to a single, combined performance obligation that commences upon the later of the arrangement effective date or transfer of the software license. The design license and the regular two-way interaction between the design license tool, RTL,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Services providers exist in the marketplace that a customer could use with the design license. Consequently, the RTL and Application Engineer Support Services cannot be used on their own or together with any other design license as we do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Engineer Support Services. Therefore, revenue from Interconnect Solutions IP licensing arrangements is recognized over the design term ratably.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Revenues that are derived from the sale of a licensee’s products that incorporate our IP are classified as royalty revenues. Royalty revenues are recognized during the quarter in which the sale of the product incorporating our IP occurs, and are included in variable royalties and other revenue in the consolidated statements of loss. Royalties are calculated either as a percentage of the revenues received by a licensee’s sale of products incorporating our IP or on a per unit basis, as specified in the agreements with the licensees. For a majority of our royalty revenues, we receive the actual sales data from our customers after the quarter ends and account for it as unbilled receivables. In such instances, we recognize royalty revenues based on our estimation of the customer’s sales during the quarter.</w:t>
      </w:r>
    </w:p>
    <w:p>
      <w:pPr>
        <w:pStyle w:val="TextBody"/>
        <w:bidi w:val="0"/>
        <w:spacing w:lineRule="auto" w:line="288" w:before="240" w:after="283"/>
        <w:jc w:val="both"/>
        <w:rPr>
          <w:rFonts w:ascii="Arial;sans-serif" w:hAnsi="Arial;sans-serif"/>
          <w:b w:val="false"/>
          <w:i/>
          <w:color w:val="000000"/>
          <w:sz w:val="19"/>
        </w:rPr>
      </w:pPr>
      <w:r>
        <w:rPr>
          <w:rFonts w:ascii="Arial;sans-serif" w:hAnsi="Arial;sans-serif"/>
          <w:b w:val="false"/>
          <w:i/>
          <w:color w:val="000000"/>
          <w:sz w:val="19"/>
        </w:rPr>
        <w:t>SoC Integration Automation Software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SoC Integration Automation software (SIA) (formerly IP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Professional Services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Multiple Performance Obligations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 is recognized when, or as, control of a promised product or service transfers to a client, in an amount that reflects the consideration to which we expect to be entitled in exchange for transferring those products or services. If the consideration promised in a contract includes a variable amount, we estimate the amount to which we expect to be entitled using either the expected value or most likely amount method, to the extent it is probable that a significant reversal of cumulative revenue recognized will not occur. Generally, the transaction price of our contracts is fixed at the inception of the contract, except for variable royalties. Our contracts generally do not include terms that could cause variability in the 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assess the timing of the transfer of goods or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If the difference in timing arises for reasons other than the provision of finance to either the customer or us , no financing component is deemed to exist. When contracts involve a significant financing component, we adjust the promised amount of consideration for the effects of the time value of money if the timing of payments agreed to by the parties to the contract (either explicitly or implicitly) provide the customer with a significant benefit of financing.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report revenue net of any revenue-based taxes assessed by governmental authorities that are imposed on and concurrent with specific revenue-producing transactions.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instances where foreign licensees withhold and remit taxes to local authorities in accordance with local laws and regulations, we recognize and present revenue on a gross basis, and includes the withholding tax in income tax expense.</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Flexible Spending Accounts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customers enter into a non-cancelable flexible spending account agreements (FSA Agreements) whereby the customer commits to a fixed dollar amount over a specified period of time that can be used to purchase from a list of our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modifications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contracts may be modified to add, remove or change existing performance obligations. The accounting for modifications to our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Our more significant contract modifications include extensions of the design license term and the purchase of additional years of support and maintenance.</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Judgments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Balances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timing of revenue recognition may differ from the timing of invoicing to customers, and these timing differences result in contract assets (unbilled receivables), or contract liabilities (deferred revenue) on our consolidated balance sheets. We record a contract asset when revenue is recognized prior to the right to invoice and we have an unconditional right to invoice and receive payment. We record deferred revenue when we invoice customers and revenue is not yet recognized. Customers are generally invoiced in single or annual amounts, although some customers are invoiced more frequently over time.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capitalize sales commission as costs of obtaining a contract when they are incremental and, if they are expected to be recovered, amortized in a manner consistent with the pattern of transfer of the good or service to which the asset relates.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Income Taxes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account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We provide for a valuation allowance when it is more likely than not that some portion, or all of our deferred tax assets will not be realized. In making such determination, we consider all available positive and negative evidence, including future reversals of existing taxable temporary differences, projected future taxable income, tax-planning strategies, and results of recent operations. As of December 31, 2023 and 2022, we recorded a full valuation allowance against our U.S. federal, state, and certain foreign jurisdiction deferred tax assets.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Business Combinations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allocate the purchase price to the tangible assets acquired, liabilities assumed, and intangible assets acquired based on their estimated fair values. The excess of the purchase price over the fair values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our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we may be required to adjust the value allocated to acquired assets or assumed liabilities.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loss. Acquisition costs, such as legal and consulting fees, are expensed as incurred.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All investments in debt securities have been classified as “available-for-sale” and are carried at estimated fair value as determined based upon quoted market prices or pricing models for similar securities. We determine the appropriate classification of our investments in debt securities at the time of purchase and reevaluate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we expect to sell a debt security within one year, we will classify the investment as a short-term investment regardless of its stated maturity date.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other income (expense), net in the consolidated statements of loss. The cost of securities sold is based on the specific-identification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7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Equity Method 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use the equity method to account for our investments in companies which we do not control but are deemed to have the ability to exercise significant influence over operating and financial decisions of the investee.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generally measure an investment in the common stock of an investee initially at cost. The carrying value of the our equity method investments is reported in equity method investment on the consolidated balance sheets. We record our proportionate share of the income or loss in our equity method investments on a one-quarter lag. The cost is adjusted to recognize our proportionate share of the investee’s net income or loss after the date of investment. We assess investments for impairment whenever events or changes in circumstances indicate that the carrying value of an investment may not be recoverable.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Distributions received from an investee reduce the carrying value of an investment and are recorded in the consolidated statements of cash flows using the nature of distribution approach.</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Goodwill and Intangible Assets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test our goodwill and other indefinite-lived intangible assets for impairment during the last day of the third fiscal quarter each year or more frequently if events or changes in circumstances occur that would more likely than not reduce the fair value below its carrying value. We completed the most recent annual impairment test of goodwill at the reporting unit level. We have one reporting unit. We determined that our reporting unit had significant fair value in excess of carrying value. For the years ended December 31, 2023 and 2022, we did not have any goodwill or other indefinite-lived intangible assets impairment.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Acquired finite-lived intangible assets are amortized on a straight-line basis over the estimated useful lives of the assets, which range from five to eight years, unless the lives are determined to be indefinite. We routinely review the remaining estimated useful lives of finite-lived intangible assets. Amortization expenses are recorded operating expenses on the consolidated statements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Recently Issued and Adopted Accounting Pronouncements</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more information regarding recently issued accounting pronouncements, see </w:t>
      </w:r>
      <w:hyperlink w:anchor="i7b0bd05dc44249ada47b6179d11e803f_121">
        <w:r>
          <w:rPr>
            <w:rStyle w:val="InternetLink"/>
            <w:rFonts w:ascii="Arial;sans-serif" w:hAnsi="Arial;sans-serif"/>
            <w:b w:val="false"/>
            <w:strike w:val="false"/>
            <w:dstrike w:val="false"/>
            <w:color w:val="000000"/>
            <w:sz w:val="19"/>
            <w:u w:val="none"/>
            <w:effect w:val="none"/>
            <w:shd w:fill="FFFFFF" w:val="clear"/>
          </w:rPr>
          <w:t>Note 2</w:t>
        </w:r>
      </w:hyperlink>
      <w:r>
        <w:rPr>
          <w:rFonts w:ascii="Arial;sans-serif" w:hAnsi="Arial;sans-serif"/>
          <w:b w:val="false"/>
          <w:color w:val="000000"/>
          <w:sz w:val="19"/>
          <w:shd w:fill="FFFFFF" w:val="clear"/>
        </w:rPr>
        <w:t xml:space="preserve"> Basis of Presentation and Summary of Significant Accounting Policies to our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JOBS Act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shd w:fill="FFFFFF" w:val="clear"/>
        </w:rPr>
        <w:t xml:space="preserve">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w:t>
      </w:r>
      <w:hyperlink w:anchor="i7b0bd05dc44249ada47b6179d11e803f_121">
        <w:r>
          <w:rPr>
            <w:rStyle w:val="InternetLink"/>
            <w:rFonts w:ascii="Arial;sans-serif" w:hAnsi="Arial;sans-serif"/>
            <w:b w:val="false"/>
            <w:strike w:val="false"/>
            <w:dstrike w:val="false"/>
            <w:color w:val="000000"/>
            <w:sz w:val="19"/>
            <w:u w:val="none"/>
            <w:effect w:val="none"/>
            <w:shd w:fill="FFFFFF" w:val="clear"/>
          </w:rPr>
          <w:t>Note 2</w:t>
        </w:r>
      </w:hyperlink>
      <w:r>
        <w:rPr>
          <w:rFonts w:ascii="Arial;sans-serif" w:hAnsi="Arial;sans-serif"/>
          <w:b w:val="false"/>
          <w:color w:val="000000"/>
          <w:sz w:val="19"/>
          <w:shd w:fill="FFFFFF" w:val="clear"/>
        </w:rPr>
        <w:t>, Basis of Presentation and Summary of Significant Accounting Policies, in the notes to our consolidated financial statements included elsewhere in this Annual Report on Form 10-K.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7A. Quantitative and Qualitative Disclosures About Market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Quantitative and Qualitative Disclosures About Market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Foreign Currency Exchange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Operating in international markets involves exposure to possible volatile movements in currency exchange rates. A majority of our revenue and expenses are transacted in U.S. dollars and our assets and liabilities together with our cash holdings are predominately denominated in U.S. dollars reducing the exposure to currency fluctuations.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the volume of our international operations increases and foreign currency exchange rates change, the impact to our consolidated statements of operations could be significant and may affect the comparability of operating results. The impact from foreign currency remeasurement during the year ended December 31, 2023 and 2022 was approximately $0.4 million and $0.1 million, respectively. We do not believe a 10% increase or decrease in foreign exchange rates would have resulted in a material impact to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7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7215" w:type="dxa"/>
        <w:jc w:val="left"/>
        <w:tblInd w:w="0" w:type="dxa"/>
        <w:tblLayout w:type="fixed"/>
        <w:tblCellMar>
          <w:top w:w="28" w:type="dxa"/>
          <w:left w:w="28" w:type="dxa"/>
          <w:bottom w:w="28" w:type="dxa"/>
          <w:right w:w="28" w:type="dxa"/>
        </w:tblCellMar>
      </w:tblPr>
      <w:tblGrid>
        <w:gridCol w:w="2416"/>
        <w:gridCol w:w="2121"/>
        <w:gridCol w:w="2137"/>
        <w:gridCol w:w="158"/>
        <w:gridCol w:w="158"/>
        <w:gridCol w:w="225"/>
      </w:tblGrid>
      <w:tr>
        <w:trPr/>
        <w:tc>
          <w:tcPr>
            <w:tcW w:w="241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Arteris, Inc.</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97">
              <w:r>
                <w:rPr>
                  <w:rStyle w:val="InternetLink"/>
                  <w:rFonts w:ascii="Arial;sans-serif" w:hAnsi="Arial;sans-serif"/>
                  <w:b w:val="false"/>
                  <w:color w:val="0000FF"/>
                  <w:sz w:val="19"/>
                  <w:u w:val="single"/>
                </w:rPr>
                <w:t>Report of Independent Registered Public Accounting Firm</w:t>
              </w:r>
            </w:hyperlink>
            <w:r>
              <w:rPr>
                <w:color w:val="000000"/>
              </w:rPr>
              <w:t xml:space="preserve"> </w:t>
            </w:r>
            <w:r>
              <w:rPr>
                <w:rFonts w:ascii="Arial;sans-serif" w:hAnsi="Arial;sans-serif"/>
                <w:b w:val="false"/>
                <w:color w:val="000000"/>
                <w:sz w:val="19"/>
              </w:rPr>
              <w:t>(PCAOB ID: 34)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97">
              <w:r>
                <w:rPr>
                  <w:rStyle w:val="InternetLink"/>
                  <w:rFonts w:ascii="Arial;sans-serif" w:hAnsi="Arial;sans-serif"/>
                  <w:b w:val="false"/>
                  <w:strike w:val="false"/>
                  <w:dstrike w:val="false"/>
                  <w:color w:val="000000"/>
                  <w:sz w:val="19"/>
                  <w:u w:val="none"/>
                  <w:effect w:val="none"/>
                </w:rPr>
                <w:t>80</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549755814703">
              <w:r>
                <w:rPr>
                  <w:rStyle w:val="InternetLink"/>
                  <w:rFonts w:ascii="Arial;sans-serif" w:hAnsi="Arial;sans-serif"/>
                  <w:b w:val="false"/>
                  <w:color w:val="0000FF"/>
                  <w:sz w:val="19"/>
                  <w:u w:val="single"/>
                </w:rPr>
                <w:t>Report of Independent Registered Public Accounting Firm</w:t>
              </w:r>
            </w:hyperlink>
            <w:r>
              <w:rPr>
                <w:color w:val="000000"/>
              </w:rPr>
              <w:t xml:space="preserve"> </w:t>
            </w:r>
            <w:r>
              <w:rPr>
                <w:rFonts w:ascii="Arial;sans-serif" w:hAnsi="Arial;sans-serif"/>
                <w:b w:val="false"/>
                <w:color w:val="000000"/>
                <w:sz w:val="19"/>
              </w:rPr>
              <w:t>(PCAOB ID: 659)</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549755814703">
              <w:r>
                <w:rPr>
                  <w:rStyle w:val="InternetLink"/>
                  <w:rFonts w:ascii="Arial;sans-serif" w:hAnsi="Arial;sans-serif"/>
                  <w:b w:val="false"/>
                  <w:strike w:val="false"/>
                  <w:dstrike w:val="false"/>
                  <w:color w:val="000000"/>
                  <w:sz w:val="19"/>
                  <w:u w:val="none"/>
                  <w:effect w:val="none"/>
                </w:rPr>
                <w:t>81</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00">
              <w:r>
                <w:rPr>
                  <w:rStyle w:val="InternetLink"/>
                  <w:rFonts w:ascii="Arial;sans-serif" w:hAnsi="Arial;sans-serif"/>
                  <w:b w:val="false"/>
                  <w:color w:val="0000FF"/>
                  <w:sz w:val="19"/>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00">
              <w:r>
                <w:rPr>
                  <w:rStyle w:val="InternetLink"/>
                  <w:rFonts w:ascii="Arial;sans-serif" w:hAnsi="Arial;sans-serif"/>
                  <w:b w:val="false"/>
                  <w:strike w:val="false"/>
                  <w:dstrike w:val="false"/>
                  <w:color w:val="000000"/>
                  <w:sz w:val="19"/>
                  <w:u w:val="none"/>
                  <w:effect w:val="none"/>
                </w:rPr>
                <w:t>82</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03">
              <w:r>
                <w:rPr>
                  <w:rStyle w:val="InternetLink"/>
                  <w:rFonts w:ascii="Arial;sans-serif" w:hAnsi="Arial;sans-serif"/>
                  <w:b w:val="false"/>
                  <w:color w:val="0000FF"/>
                  <w:sz w:val="19"/>
                  <w:u w:val="single"/>
                </w:rPr>
                <w:t>Consolidated Statements of Loss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03">
              <w:r>
                <w:rPr>
                  <w:rStyle w:val="InternetLink"/>
                  <w:rFonts w:ascii="Arial;sans-serif" w:hAnsi="Arial;sans-serif"/>
                  <w:b w:val="false"/>
                  <w:strike w:val="false"/>
                  <w:dstrike w:val="false"/>
                  <w:color w:val="000000"/>
                  <w:sz w:val="19"/>
                  <w:u w:val="none"/>
                  <w:effect w:val="none"/>
                </w:rPr>
                <w:t>83</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06">
              <w:r>
                <w:rPr>
                  <w:rStyle w:val="InternetLink"/>
                  <w:rFonts w:ascii="Arial;sans-serif" w:hAnsi="Arial;sans-serif"/>
                  <w:b w:val="false"/>
                  <w:color w:val="0000FF"/>
                  <w:sz w:val="19"/>
                  <w:u w:val="single"/>
                </w:rPr>
                <w:t>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06">
              <w:r>
                <w:rPr>
                  <w:rStyle w:val="InternetLink"/>
                  <w:rFonts w:ascii="Arial;sans-serif" w:hAnsi="Arial;sans-serif"/>
                  <w:b w:val="false"/>
                  <w:strike w:val="false"/>
                  <w:dstrike w:val="false"/>
                  <w:color w:val="000000"/>
                  <w:sz w:val="19"/>
                  <w:u w:val="none"/>
                  <w:effect w:val="none"/>
                </w:rPr>
                <w:t>84</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09">
              <w:r>
                <w:rPr>
                  <w:rStyle w:val="InternetLink"/>
                  <w:rFonts w:ascii="Arial;sans-serif" w:hAnsi="Arial;sans-serif"/>
                  <w:b w:val="false"/>
                  <w:color w:val="000080"/>
                  <w:sz w:val="19"/>
                  <w:u w:val="single"/>
                </w:rPr>
                <w:t xml:space="preserve">Consolidated Statements of </w:t>
              </w:r>
            </w:hyperlink>
            <w:hyperlink w:anchor="i7b0bd05dc44249ada47b6179d11e803f_109">
              <w:r>
                <w:rPr>
                  <w:rStyle w:val="InternetLink"/>
                  <w:rFonts w:ascii="Arial;sans-serif" w:hAnsi="Arial;sans-serif"/>
                  <w:b w:val="false"/>
                  <w:color w:val="000080"/>
                  <w:sz w:val="19"/>
                  <w:u w:val="single"/>
                </w:rPr>
                <w:t>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09">
              <w:r>
                <w:rPr>
                  <w:rStyle w:val="InternetLink"/>
                  <w:rFonts w:ascii="Arial;sans-serif" w:hAnsi="Arial;sans-serif"/>
                  <w:b w:val="false"/>
                  <w:strike w:val="false"/>
                  <w:dstrike w:val="false"/>
                  <w:color w:val="000000"/>
                  <w:sz w:val="19"/>
                  <w:u w:val="none"/>
                  <w:effect w:val="none"/>
                </w:rPr>
                <w:t>85</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12">
              <w:r>
                <w:rPr>
                  <w:rStyle w:val="InternetLink"/>
                  <w:rFonts w:ascii="Arial;sans-serif" w:hAnsi="Arial;sans-serif"/>
                  <w:b w:val="false"/>
                  <w:color w:val="0000FF"/>
                  <w:sz w:val="19"/>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12">
              <w:r>
                <w:rPr>
                  <w:rStyle w:val="InternetLink"/>
                  <w:rFonts w:ascii="Arial;sans-serif" w:hAnsi="Arial;sans-serif"/>
                  <w:b w:val="false"/>
                  <w:strike w:val="false"/>
                  <w:dstrike w:val="false"/>
                  <w:color w:val="000000"/>
                  <w:sz w:val="19"/>
                  <w:u w:val="none"/>
                  <w:effect w:val="none"/>
                </w:rPr>
                <w:t>86</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0bd05dc44249ada47b6179d11e803f_115">
              <w:r>
                <w:rPr>
                  <w:rStyle w:val="InternetLink"/>
                  <w:rFonts w:ascii="Arial;sans-serif" w:hAnsi="Arial;sans-serif"/>
                  <w:b w:val="false"/>
                  <w:color w:val="0000FF"/>
                  <w:sz w:val="19"/>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0bd05dc44249ada47b6179d11e803f_115">
              <w:r>
                <w:rPr>
                  <w:rStyle w:val="InternetLink"/>
                  <w:rFonts w:ascii="Arial;sans-serif" w:hAnsi="Arial;sans-serif"/>
                  <w:b w:val="false"/>
                  <w:strike w:val="false"/>
                  <w:dstrike w:val="false"/>
                  <w:color w:val="000000"/>
                  <w:sz w:val="19"/>
                  <w:u w:val="none"/>
                  <w:effect w:val="none"/>
                </w:rPr>
                <w:t>87</w:t>
              </w:r>
            </w:hyperlink>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7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REPORT OF INDEPENDENT REGISTERED PUBLIC ACCOUNTING FIRM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To the stockholders and the Board of Directors of Arteris, Inc.</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Opinion on the Financial Statements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audited the accompanying consolidated balance sheet of Arteris, Inc. and subsidiaries (the "Company") as of December 31, 2023, the related consolidated statements of loss, comprehensive loss, stockholders' equity, and cash flows for the year then ended,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Basis for Opinion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36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 DELOITTE &amp; TOUCHE LLP</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San Jose, California</w:t>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February 20, 2024</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We have served as the Company's auditor since 2023.</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0"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REPORT OF INDEPENDENT REGISTERED PUBLIC ACCOUNTING FIRM </w:t>
      </w:r>
    </w:p>
    <w:p>
      <w:pPr>
        <w:pStyle w:val="TextBody"/>
        <w:bidi w:val="0"/>
        <w:spacing w:before="0" w:after="0"/>
        <w:jc w:val="both"/>
        <w:rPr/>
      </w:pPr>
      <w:r>
        <w:rPr/>
      </w:r>
    </w:p>
    <w:p>
      <w:pPr>
        <w:pStyle w:val="TextBody"/>
        <w:bidi w:val="0"/>
        <w:spacing w:lineRule="auto" w:line="288" w:before="24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Shareholders and the Board of Directors of</w:t>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Arteris, Inc.</w:t>
      </w:r>
    </w:p>
    <w:p>
      <w:pPr>
        <w:pStyle w:val="TextBody"/>
        <w:bidi w:val="0"/>
        <w:spacing w:lineRule="auto" w:line="288" w:before="180" w:after="283"/>
        <w:jc w:val="both"/>
        <w:rPr>
          <w:rFonts w:ascii="Arial;sans-serif" w:hAnsi="Arial;sans-serif"/>
          <w:b/>
          <w:i/>
          <w:color w:val="000000"/>
          <w:sz w:val="19"/>
        </w:rPr>
      </w:pPr>
      <w:r>
        <w:rPr>
          <w:rFonts w:ascii="Arial;sans-serif" w:hAnsi="Arial;sans-serif"/>
          <w:b/>
          <w:i/>
          <w:color w:val="000000"/>
          <w:sz w:val="19"/>
        </w:rPr>
        <w:t>Opinion on the Financial Statements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audited the accompanying consolidated balance sheet of Arteris, Inc. and subsidiaries (the “Company”) as of December 31, 2022, the related consolidated statements of loss, comprehensive loss, stockholders’ equity,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2022, and the consolidated results of its operations and its cash flows for the year then ended, in conformity with accounting principles generally accepted in the United States of America.</w:t>
      </w:r>
    </w:p>
    <w:p>
      <w:pPr>
        <w:pStyle w:val="TextBody"/>
        <w:bidi w:val="0"/>
        <w:spacing w:lineRule="auto" w:line="288" w:before="180" w:after="283"/>
        <w:jc w:val="both"/>
        <w:rPr>
          <w:rFonts w:ascii="Arial;sans-serif" w:hAnsi="Arial;sans-serif"/>
          <w:b/>
          <w:i/>
          <w:color w:val="000000"/>
          <w:sz w:val="19"/>
        </w:rPr>
      </w:pPr>
      <w:r>
        <w:rPr>
          <w:rFonts w:ascii="Arial;sans-serif" w:hAnsi="Arial;sans-serif"/>
          <w:b/>
          <w:i/>
          <w:color w:val="000000"/>
          <w:sz w:val="19"/>
        </w:rPr>
        <w:t>Basis for Opinion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80" w:after="283"/>
        <w:jc w:val="both"/>
        <w:rPr/>
      </w:pPr>
      <w:r>
        <w:rPr>
          <w:rFonts w:ascii="Arial;sans-serif" w:hAnsi="Arial;sans-serif"/>
          <w:b w:val="false"/>
          <w:color w:val="000000"/>
          <w:sz w:val="19"/>
        </w:rPr>
        <w:t>Our audit included performing procedures to assess the risks of material misstatement of the consolidated</w:t>
      </w:r>
      <w:r>
        <w:rPr>
          <w:color w:val="000000"/>
        </w:rPr>
        <w:t xml:space="preserve"> </w:t>
      </w:r>
      <w:r>
        <w:rPr>
          <w:rFonts w:ascii="Arial;sans-serif" w:hAnsi="Arial;sans-serif"/>
          <w:b w:val="false"/>
          <w:color w:val="000000"/>
          <w:sz w:val="19"/>
        </w:rPr>
        <w:t>financial statements, whether due to error or fraud, and performing procedures to respond to those risks. Such procedures included examining, on a test basis, evidence regarding the amounts and disclosures in the consolidated</w:t>
      </w:r>
      <w:r>
        <w:rPr>
          <w:color w:val="000000"/>
        </w:rPr>
        <w:t xml:space="preserve"> </w:t>
      </w:r>
      <w:r>
        <w:rPr>
          <w:rFonts w:ascii="Arial;sans-serif" w:hAnsi="Arial;sans-serif"/>
          <w:b w:val="false"/>
          <w:color w:val="000000"/>
          <w:sz w:val="19"/>
        </w:rPr>
        <w:t>financial statements. Our audit also included evaluating the accounting principles used and significant estimates made by management, as well as evaluating the overall presentation of the consolidated financial statements. We believe that our audit provides</w:t>
      </w:r>
      <w:r>
        <w:rPr>
          <w:color w:val="000000"/>
        </w:rPr>
        <w:t xml:space="preserve"> </w:t>
      </w:r>
      <w:r>
        <w:rPr>
          <w:rFonts w:ascii="Arial;sans-serif" w:hAnsi="Arial;sans-serif"/>
          <w:b w:val="false"/>
          <w:color w:val="000000"/>
          <w:sz w:val="19"/>
        </w:rPr>
        <w:t>a reasonable basis for our opinion.</w:t>
      </w:r>
    </w:p>
    <w:p>
      <w:pPr>
        <w:pStyle w:val="TextBody"/>
        <w:bidi w:val="0"/>
        <w:spacing w:lineRule="auto" w:line="288" w:before="36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 Moss Adams LLP</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San Francisco, California</w:t>
      </w:r>
    </w:p>
    <w:p>
      <w:pPr>
        <w:pStyle w:val="TextBody"/>
        <w:bidi w:val="0"/>
        <w:spacing w:lineRule="auto" w:line="288" w:before="0" w:after="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February 28, 2023</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served as the Company’s auditor from 2020 to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1"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Balance Sheets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65"/>
        <w:gridCol w:w="2328"/>
        <w:gridCol w:w="2147"/>
        <w:gridCol w:w="211"/>
        <w:gridCol w:w="826"/>
        <w:gridCol w:w="109"/>
        <w:gridCol w:w="109"/>
        <w:gridCol w:w="109"/>
        <w:gridCol w:w="109"/>
        <w:gridCol w:w="211"/>
        <w:gridCol w:w="826"/>
        <w:gridCol w:w="155"/>
      </w:tblGrid>
      <w:tr>
        <w:trPr/>
        <w:tc>
          <w:tcPr>
            <w:tcW w:w="3065"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Short-term investments (</w:t>
            </w:r>
            <w:hyperlink w:anchor="i7b0bd05dc44249ada47b6179d11e803f_133">
              <w:r>
                <w:rPr>
                  <w:rStyle w:val="InternetLink"/>
                  <w:rFonts w:ascii="Arial;sans-serif" w:hAnsi="Arial;sans-serif"/>
                  <w:b w:val="false"/>
                  <w:color w:val="000080"/>
                  <w:sz w:val="18"/>
                  <w:u w:val="single"/>
                </w:rPr>
                <w:t xml:space="preserve">Note </w:t>
              </w:r>
            </w:hyperlink>
            <w:hyperlink w:anchor="i7b0bd05dc44249ada47b6179d11e803f_133">
              <w:r>
                <w:rPr>
                  <w:rStyle w:val="InternetLink"/>
                  <w:rFonts w:ascii="Arial;sans-serif" w:hAnsi="Arial;sans-serif"/>
                  <w:b w:val="false"/>
                  <w:color w:val="000080"/>
                  <w:sz w:val="18"/>
                  <w:u w:val="single"/>
                </w:rPr>
                <w:t>5</w:t>
              </w:r>
            </w:hyperlink>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$93 and $250 as of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investments (</w:t>
            </w:r>
            <w:hyperlink w:anchor="i7b0bd05dc44249ada47b6179d11e803f_133">
              <w:r>
                <w:rPr>
                  <w:rStyle w:val="InternetLink"/>
                  <w:rFonts w:ascii="Arial;sans-serif" w:hAnsi="Arial;sans-serif"/>
                  <w:b w:val="false"/>
                  <w:color w:val="000080"/>
                  <w:sz w:val="18"/>
                  <w:u w:val="single"/>
                </w:rPr>
                <w:t xml:space="preserve">Note </w:t>
              </w:r>
            </w:hyperlink>
            <w:hyperlink w:anchor="i7b0bd05dc44249ada47b6179d11e803f_133">
              <w:r>
                <w:rPr>
                  <w:rStyle w:val="InternetLink"/>
                  <w:rFonts w:ascii="Arial;sans-serif" w:hAnsi="Arial;sans-serif"/>
                  <w:b w:val="false"/>
                  <w:color w:val="000080"/>
                  <w:sz w:val="18"/>
                  <w:u w:val="single"/>
                </w:rPr>
                <w:t>5</w:t>
              </w:r>
            </w:hyperlink>
            <w:r>
              <w:rPr>
                <w:rFonts w:ascii="Arial;sans-serif" w:hAnsi="Arial;sans-serif"/>
                <w:b w:val="false"/>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Commitments and contingencies (</w:t>
            </w:r>
            <w:hyperlink w:anchor="i7b0bd05dc44249ada47b6179d11e803f_154">
              <w:r>
                <w:rPr>
                  <w:rStyle w:val="InternetLink"/>
                  <w:rFonts w:ascii="Arial;sans-serif" w:hAnsi="Arial;sans-serif"/>
                  <w:b w:val="false"/>
                  <w:color w:val="0000FF"/>
                  <w:sz w:val="18"/>
                  <w:u w:val="single"/>
                </w:rPr>
                <w:t>Note 12</w:t>
              </w:r>
            </w:hyperlink>
            <w:r>
              <w:rPr>
                <w:rFonts w:ascii="Arial;sans-serif" w:hAnsi="Arial;sans-serif"/>
                <w:b w:val="false"/>
                <w:color w:val="000000"/>
                <w:sz w:val="18"/>
              </w:rPr>
              <w: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par value of $0.001—10,000,000 shares authorized and no shares issued and outstanding as of both December 31, 2023 and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par value of $0.001—300,000,000 shares authorized at December 31, 2023 and 2022; 37,518,583 and 34,625,875 shares issued and outstanding at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Loss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583"/>
        <w:gridCol w:w="2269"/>
        <w:gridCol w:w="2291"/>
        <w:gridCol w:w="246"/>
        <w:gridCol w:w="880"/>
        <w:gridCol w:w="109"/>
        <w:gridCol w:w="109"/>
        <w:gridCol w:w="109"/>
        <w:gridCol w:w="109"/>
        <w:gridCol w:w="246"/>
        <w:gridCol w:w="880"/>
        <w:gridCol w:w="109"/>
        <w:gridCol w:w="109"/>
        <w:gridCol w:w="156"/>
      </w:tblGrid>
      <w:tr>
        <w:trPr/>
        <w:tc>
          <w:tcPr>
            <w:tcW w:w="258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Licensing, support and maintenance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Variable royalties and 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Cost of revenue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profit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Operating expenses: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from operations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before income taxes and loss from equity method investment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 net of tax</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Provision for (benefit from) income taxes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loss per share attributable to common stockholders, basic and diluted</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Weighted average shares used in computing per share amounts, basic and diluted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35,675,689 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32,578,776 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Comprehensive Loss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w:t>
      </w:r>
    </w:p>
    <w:tbl>
      <w:tblPr>
        <w:tblW w:w="8807" w:type="dxa"/>
        <w:jc w:val="left"/>
        <w:tblInd w:w="0" w:type="dxa"/>
        <w:tblLayout w:type="fixed"/>
        <w:tblCellMar>
          <w:top w:w="28" w:type="dxa"/>
          <w:left w:w="28" w:type="dxa"/>
          <w:bottom w:w="28" w:type="dxa"/>
          <w:right w:w="28" w:type="dxa"/>
        </w:tblCellMar>
      </w:tblPr>
      <w:tblGrid>
        <w:gridCol w:w="2152"/>
        <w:gridCol w:w="1893"/>
        <w:gridCol w:w="1910"/>
        <w:gridCol w:w="211"/>
        <w:gridCol w:w="811"/>
        <w:gridCol w:w="109"/>
        <w:gridCol w:w="109"/>
        <w:gridCol w:w="109"/>
        <w:gridCol w:w="109"/>
        <w:gridCol w:w="211"/>
        <w:gridCol w:w="811"/>
        <w:gridCol w:w="109"/>
        <w:gridCol w:w="109"/>
        <w:gridCol w:w="154"/>
      </w:tblGrid>
      <w:tr>
        <w:trPr/>
        <w:tc>
          <w:tcPr>
            <w:tcW w:w="215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Unrealized gains (losses) on available-for-sale securities, net of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Unrealized pension actuarial (loss) gain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Stockholders’ Equity</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 except share data)</w:t>
      </w:r>
    </w:p>
    <w:tbl>
      <w:tblPr>
        <w:tblW w:w="10205" w:type="dxa"/>
        <w:jc w:val="left"/>
        <w:tblInd w:w="0" w:type="dxa"/>
        <w:tblLayout w:type="fixed"/>
        <w:tblCellMar>
          <w:top w:w="28" w:type="dxa"/>
          <w:left w:w="28" w:type="dxa"/>
          <w:bottom w:w="28" w:type="dxa"/>
          <w:right w:w="28" w:type="dxa"/>
        </w:tblCellMar>
      </w:tblPr>
      <w:tblGrid>
        <w:gridCol w:w="866"/>
        <w:gridCol w:w="451"/>
        <w:gridCol w:w="452"/>
        <w:gridCol w:w="109"/>
        <w:gridCol w:w="109"/>
        <w:gridCol w:w="109"/>
        <w:gridCol w:w="480"/>
        <w:gridCol w:w="481"/>
        <w:gridCol w:w="216"/>
        <w:gridCol w:w="109"/>
        <w:gridCol w:w="109"/>
        <w:gridCol w:w="109"/>
        <w:gridCol w:w="231"/>
        <w:gridCol w:w="390"/>
        <w:gridCol w:w="130"/>
        <w:gridCol w:w="109"/>
        <w:gridCol w:w="109"/>
        <w:gridCol w:w="109"/>
        <w:gridCol w:w="196"/>
        <w:gridCol w:w="736"/>
        <w:gridCol w:w="109"/>
        <w:gridCol w:w="109"/>
        <w:gridCol w:w="109"/>
        <w:gridCol w:w="109"/>
        <w:gridCol w:w="364"/>
        <w:gridCol w:w="783"/>
        <w:gridCol w:w="204"/>
        <w:gridCol w:w="109"/>
        <w:gridCol w:w="109"/>
        <w:gridCol w:w="109"/>
        <w:gridCol w:w="214"/>
        <w:gridCol w:w="822"/>
        <w:gridCol w:w="120"/>
        <w:gridCol w:w="109"/>
        <w:gridCol w:w="109"/>
        <w:gridCol w:w="109"/>
        <w:gridCol w:w="196"/>
        <w:gridCol w:w="646"/>
        <w:gridCol w:w="156"/>
      </w:tblGrid>
      <w:tr>
        <w:trPr/>
        <w:tc>
          <w:tcPr>
            <w:tcW w:w="8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Stockholders’ Equity</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Additional</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Paid-In</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Accumulated</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Other</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Comprehensive</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Accumulated</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Total</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BALANCE—December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31,530,682 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(38,991)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1,451,784 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1,223,312 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common stock in connection with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331,569 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restricted common stock in connection with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331,574 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withholding on RSUs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(243,046)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Unrealized losses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BALANCE—December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34,625,875 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(66,378)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932,738 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2,048,939 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withholding on RSUs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(88,969)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pension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BALANCE—December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37,518,583 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(103,247)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9"/>
          <w:shd w:fill="FFFFFF" w:val="clear"/>
        </w:rPr>
      </w:pPr>
      <w:r>
        <w:rPr>
          <w:rFonts w:ascii="Arial;sans-serif" w:hAnsi="Arial;sans-serif"/>
          <w:b/>
          <w:color w:val="000000"/>
          <w:sz w:val="19"/>
          <w:shd w:fill="FFFFFF" w:val="clear"/>
        </w:rPr>
        <w:t>Arteris, Inc.</w:t>
      </w:r>
    </w:p>
    <w:p>
      <w:pPr>
        <w:pStyle w:val="TextBody"/>
        <w:bidi w:val="0"/>
        <w:spacing w:lineRule="auto" w:line="288" w:before="0" w:after="0"/>
        <w:jc w:val="center"/>
        <w:rPr>
          <w:rFonts w:ascii="Arial;sans-serif" w:hAnsi="Arial;sans-serif"/>
          <w:b/>
          <w:color w:val="000000"/>
          <w:sz w:val="19"/>
          <w:shd w:fill="FFFFFF" w:val="clear"/>
        </w:rPr>
      </w:pPr>
      <w:r>
        <w:rPr>
          <w:rFonts w:ascii="Arial;sans-serif" w:hAnsi="Arial;sans-serif"/>
          <w:b/>
          <w:color w:val="000000"/>
          <w:sz w:val="19"/>
          <w:shd w:fill="FFFFFF" w:val="clear"/>
        </w:rPr>
        <w:t>Consolidated Statements of Cash Flows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w:t>
      </w:r>
    </w:p>
    <w:tbl>
      <w:tblPr>
        <w:tblW w:w="9923" w:type="dxa"/>
        <w:jc w:val="center"/>
        <w:tblInd w:w="0" w:type="dxa"/>
        <w:tblLayout w:type="fixed"/>
        <w:tblCellMar>
          <w:top w:w="28" w:type="dxa"/>
          <w:left w:w="28" w:type="dxa"/>
          <w:bottom w:w="28" w:type="dxa"/>
          <w:right w:w="28" w:type="dxa"/>
        </w:tblCellMar>
      </w:tblPr>
      <w:tblGrid>
        <w:gridCol w:w="2740"/>
        <w:gridCol w:w="2407"/>
        <w:gridCol w:w="2412"/>
        <w:gridCol w:w="196"/>
        <w:gridCol w:w="691"/>
        <w:gridCol w:w="109"/>
        <w:gridCol w:w="109"/>
        <w:gridCol w:w="109"/>
        <w:gridCol w:w="109"/>
        <w:gridCol w:w="196"/>
        <w:gridCol w:w="691"/>
        <w:gridCol w:w="154"/>
      </w:tblGrid>
      <w:tr>
        <w:trPr/>
        <w:tc>
          <w:tcPr>
            <w:tcW w:w="274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Year ended December 31,</w:t>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Adjustments to reconcile net loss to net cash used in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Stock-based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Pension plan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Non-cash operating lease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deferred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Gain on deconsolidation of subsidiary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Loss from equity method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Net accretion of discounts on available-for-sale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Changes in operating assets and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Accounts receivable,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Prepaid expenses and 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Accrued expenses and other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Net cash used in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(6,767)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FLOWS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Purchases of property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 of available-for-sale securities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maturities of available-for-sale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Payments relating to investment in equity method investment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principal portion of related party loan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for business combination, net of cash acquired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Net cash used in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(37,481)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of contingent consideration for business combination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Principal payments under vendor financing arrangements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to tax authorities for shares withheld from employees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Proceeds from exercise of stock options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Payments of deferred offering costs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Net cash used in financing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NET DECREASE IN CASH, CASH EQUIVALENTS AND RESTRICTED CASH    </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(48,402)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CASH EQUIVALENTS AND RESTRICTED CASH,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cash equivalents and restricted cash at end of period:</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Restricted cash, noncurrent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Supplemental cash flow information:</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Noncash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 lease right-of-use assets exchanged for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Purchase of property and equipment through vendor financing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Equity obtained in equity method investment in exchange for contribution of license agreement (</w:t>
            </w:r>
            <w:hyperlink w:anchor="i7b0bd05dc44249ada47b6179d11e803f_163">
              <w:r>
                <w:rPr>
                  <w:rStyle w:val="InternetLink"/>
                  <w:rFonts w:ascii="Arial;sans-serif" w:hAnsi="Arial;sans-serif"/>
                  <w:b w:val="false"/>
                  <w:color w:val="0000FF"/>
                  <w:sz w:val="15"/>
                  <w:u w:val="single"/>
                </w:rPr>
                <w:t>Note 15</w:t>
              </w:r>
            </w:hyperlink>
            <w:r>
              <w:rPr>
                <w:rFonts w:ascii="Arial;sans-serif" w:hAnsi="Arial;sans-serif"/>
                <w:b w:val="false"/>
                <w:color w:val="000000"/>
                <w:sz w:val="15"/>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Issuance of common stock for business combination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Contingent consideration for business combination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8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 DESCRIPTION OF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2. BASIS OF PRESENTATION AND SUMMARY OF SIGNIFICANT ACCOUNTING POLICIES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Basis of Presentation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accompanying consolidated financial statements have been prepared in accordance with accounting principles generally accepted in the United States of America (GAAP).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Principles of Consolidation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consolidated financial statements include the accounts of Arteris, Inc. and its wholly-owned subsidiaries. All intercompany transactions and accounts have been eliminated in consolidation.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Segment Information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operates as a single operating segment. The chief operating decision maker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Use of Estimates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consolidated financial statements.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Foreign Currency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and its foreign subsidiaries’ functional currency is the US dollar. Accordingly, monetary assets and liabilities of foreign subsidiaries are remeasured into US dollars at the exchange rates in effect at the balance sheet date, non-monetary assets and liabilities are recorded at historical rates, and revenue and expenses are remeasured at average rates during the period. Remeasurement adjustments are recognized as a component of other income (expense), net within the consolidated statements of loss.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Comprehensive Loss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Comprehensive loss generally represents all changes in stockholders’ equity during the period except those resulting from investments by, or distributions to, stockholders. For the years ended December 31, 2023 and 2022, the components of comprehensive loss consist of net loss, unrealized pension actuarial gain (loss) and unrealized gains (losses) on available-for-sale securities, net of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8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Net Loss per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Basic net loss per share is computed by dividing net loss available to common stockholders by the weighted-average number of shares of common stock outstanding during the period, without consideration of potentially dilutive securities. Diluted net loss per share is computed by dividing net loss by the weighted-average number of shares of common stock during the period, plus the dilutive effects of stock options and restricted stock units (RSU). Dilutive shares of common stock are determined by applying the treasury stock method.</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Cash, Cash Equivalents and Restricted Cash</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December 31, 2023, cash and cash equivalents consisted primarily of checking, savings, money market accounts and highly liquid investments with original maturities of three months or less. Interest earned on cash and cash equivalents is included in other income (expense), net in the consolidated statements of loss.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the Company’s long-term restricted cash balance was $0.4 million, primarily related to a letter of credit for its facility lease agreement. Restricted cash, noncurrent is included in other assets on the consolidated balance sheets.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Accounts Receivable and Allowance for Doubtful Accounts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Accounts receivable, net consist of primarily billed and unbilled trade accounts receivable. Unbilled accounts receivable represents amounts recorded as royalty revenue which will be invoiced within a short period upon receipt of the royalty reports from the licensees. The Company records accounts receivable when it has an unconditional right to consideration. Trade accounts receivable are recorded at the invoiced amount. The Company maintains allowances for doubtful accounts to reduce its receivables to their estimated net realizable value. In general, the Company does not offer extended credit terms and also do not require any security or collateral to support its receivables. The Company performs ongoing credit evaluations of its customers and establishes allowances for potential credit losses by considering factors such as historical experience, credit quality, age of the accounts receivable balances, and current economic conditions that may affect a customer’s ability to pay. The Company’s allowance for doubtful accounts activity has historically not been significant. Probable losses are recorded in general and administrative expense in the consolidated statements of loss.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Account balances are written off against the allowance after all means of collection have been exhausted and the potential for recovery is considered remote.</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Concentrations of Credit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Accounts receivable from the Company’s major customers representing 10% or more of total accounts receivable was as follows:</w:t>
      </w:r>
    </w:p>
    <w:tbl>
      <w:tblPr>
        <w:tblW w:w="3054" w:type="dxa"/>
        <w:jc w:val="left"/>
        <w:tblInd w:w="0" w:type="dxa"/>
        <w:tblLayout w:type="fixed"/>
        <w:tblCellMar>
          <w:top w:w="28" w:type="dxa"/>
          <w:left w:w="28" w:type="dxa"/>
          <w:bottom w:w="28" w:type="dxa"/>
          <w:right w:w="28" w:type="dxa"/>
        </w:tblCellMar>
      </w:tblPr>
      <w:tblGrid>
        <w:gridCol w:w="418"/>
        <w:gridCol w:w="368"/>
        <w:gridCol w:w="369"/>
        <w:gridCol w:w="188"/>
        <w:gridCol w:w="188"/>
        <w:gridCol w:w="348"/>
        <w:gridCol w:w="132"/>
        <w:gridCol w:w="132"/>
        <w:gridCol w:w="132"/>
        <w:gridCol w:w="188"/>
        <w:gridCol w:w="188"/>
        <w:gridCol w:w="40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As of 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A</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B</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88"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 from the Company’s major customers representing 10% or more of total revenue was as follows:</w:t>
      </w:r>
    </w:p>
    <w:tbl>
      <w:tblPr>
        <w:tblW w:w="3382" w:type="dxa"/>
        <w:jc w:val="left"/>
        <w:tblInd w:w="0" w:type="dxa"/>
        <w:tblLayout w:type="fixed"/>
        <w:tblCellMar>
          <w:top w:w="28" w:type="dxa"/>
          <w:left w:w="28" w:type="dxa"/>
          <w:bottom w:w="28" w:type="dxa"/>
          <w:right w:w="28" w:type="dxa"/>
        </w:tblCellMar>
      </w:tblPr>
      <w:tblGrid>
        <w:gridCol w:w="418"/>
        <w:gridCol w:w="368"/>
        <w:gridCol w:w="369"/>
        <w:gridCol w:w="188"/>
        <w:gridCol w:w="188"/>
        <w:gridCol w:w="447"/>
        <w:gridCol w:w="170"/>
        <w:gridCol w:w="170"/>
        <w:gridCol w:w="170"/>
        <w:gridCol w:w="188"/>
        <w:gridCol w:w="188"/>
        <w:gridCol w:w="518"/>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B</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Property and Equipment</w:t>
      </w:r>
    </w:p>
    <w:p>
      <w:pPr>
        <w:pStyle w:val="TextBody"/>
        <w:bidi w:val="0"/>
        <w:spacing w:lineRule="auto" w:line="288" w:before="180" w:after="283"/>
        <w:jc w:val="both"/>
        <w:rPr/>
      </w:pPr>
      <w:r>
        <w:rPr>
          <w:rFonts w:ascii="Arial;sans-serif" w:hAnsi="Arial;sans-serif"/>
          <w:b w:val="false"/>
          <w:color w:val="000000"/>
          <w:sz w:val="19"/>
          <w:shd w:fill="FFFFFF" w:val="clear"/>
        </w:rPr>
        <w:t xml:space="preserve">Property and equipment are stated at cost, less accumulated depreciation. Depreciation is recorded using the straight-line method over the estimated useful lives, generally ranging from one to </w:t>
      </w:r>
      <w:r>
        <w:rPr>
          <w:rFonts w:ascii="Arial;sans-serif" w:hAnsi="Arial;sans-serif"/>
          <w:b w:val="false"/>
          <w:color w:val="000000"/>
          <w:sz w:val="19"/>
        </w:rPr>
        <w:t>ten years</w:t>
      </w:r>
      <w:r>
        <w:rPr>
          <w:rFonts w:ascii="Arial;sans-serif" w:hAnsi="Arial;sans-serif"/>
          <w:b w:val="false"/>
          <w:color w:val="000000"/>
          <w:sz w:val="19"/>
          <w:shd w:fill="FFFFFF" w:val="clear"/>
        </w:rPr>
        <w:t>. Leasehold improvements are amortized over the shorter of the estimated useful life of the asset or the remaining lease term.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Depreciation expenses are recorded in cost of revenue and operating expenses in the consolidated statements of loss. Upon retirement or sale, the cost of assets disposed of and the related accumulated depreciation are removed from the accounts and any resulting gain or loss is recorded as a component of operating expenses. Repairs and maintenance costs are expensed as incurred.</w:t>
      </w:r>
    </w:p>
    <w:p>
      <w:pPr>
        <w:pStyle w:val="TextBody"/>
        <w:bidi w:val="0"/>
        <w:spacing w:lineRule="auto" w:line="288" w:before="180" w:after="283"/>
        <w:jc w:val="both"/>
        <w:rPr/>
      </w:pPr>
      <w:r>
        <w:rPr>
          <w:rFonts w:ascii="Arial;sans-serif" w:hAnsi="Arial;sans-serif"/>
          <w:b w:val="false"/>
          <w:color w:val="000000"/>
          <w:sz w:val="19"/>
          <w:shd w:fill="FFFFFF" w:val="clear"/>
        </w:rPr>
        <w:t>The Company evaluates the recoverability of property and equipment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their carrying amounts to the future undiscounted cash flows the assets are expected to generate. If such review indicates that the carrying amount is not recoverable, the carrying amount of such assets is reduced to fair value.</w:t>
      </w:r>
      <w:r>
        <w:rPr>
          <w:color w:val="000000"/>
        </w:rPr>
        <w:t xml:space="preserve"> </w:t>
      </w:r>
      <w:r>
        <w:rPr>
          <w:rFonts w:ascii="Arial;sans-serif" w:hAnsi="Arial;sans-serif"/>
          <w:b w:val="false"/>
          <w:color w:val="000000"/>
          <w:sz w:val="19"/>
        </w:rPr>
        <w:t>No impairment was recognized during the years ended December 31, 2023 and 2022.</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Business Combinations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allocates the purchase price to the tangible assets acquired, liabilities assumed, and intangible assets acquired based on their estimated fair values. The excess of the purchase price over the fair value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the Company’s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the Company may be required to adjust the value allocated to acquired assets or assumed liabilities.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income (loss). Acquisition costs, such as legal and consulting fees, are expensed as incurred.</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Goodwill and Intangible Assets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tests its goodwill and other indefinite-lived intangible assets for impairment during the last day of the third fiscal quarter each year or more frequently if events or changes in circumstances occur that would more likely than not reduce the fair value below its carrying value. For the years ended December 31, 2023 and 2022, the Company did not have any goodwill or other indefinite-lived intangible assets impairment.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Acquired finite-lived intangible assets are amortized on a straight-line basis over the estimated useful lives of the assets, which range from five to eight years, unless the lives are determined to be indefinite. The Company routinely reviews the remaining estimated useful lives of finite-lived intangible assets. Amortization expenses are recorded in operating expenses on the consolidated statements of loss.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Right-of-use Assets (ROU) and Lease Liabilities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recognizes leases in accordance with Accounting Standard Codification (ASC) Topic 842, Leases, and subsequently issued additional related Accounting Standard Updates (ASU) (Topic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89"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leases its offices at various locations under noncancelable operating lease agreements expiring at various dates through </w:t>
      </w:r>
      <w:r>
        <w:rPr>
          <w:rFonts w:ascii="Arial;sans-serif" w:hAnsi="Arial;sans-serif"/>
          <w:b w:val="false"/>
          <w:color w:val="000000"/>
          <w:sz w:val="19"/>
        </w:rPr>
        <w:t>2032</w:t>
      </w:r>
      <w:r>
        <w:rPr>
          <w:rFonts w:ascii="Arial;sans-serif" w:hAnsi="Arial;sans-serif"/>
          <w:b w:val="false"/>
          <w:color w:val="000000"/>
          <w:sz w:val="19"/>
          <w:shd w:fill="FFFFFF" w:val="clear"/>
        </w:rPr>
        <w:t>.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At lease commencement, the Company measures and records a lease liability equal to the present value of the remaining lease payments, generally discounted using incremental borrowing rate as the implicit rate is not readily determinable on many of its leases. When determining the incremental borrowing rates, the Company considers information including, but not limited to, the lease term, the interest rates on its collateralized debt and incremental borrowing rates for its peer group.</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the lease commencement date, the amount of the ROU assets consists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shd w:fill="FFFFFF" w:val="clear"/>
        </w:rPr>
        <w:t>The amount of the initial measurement of the lease liability;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Any lease payments made at or before the commencement date, minus any lease incentives received;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Any initial direct costs incurred.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assesses the option for lease extensions, renewals, or terminations on individual leases, and generally considers the base term to be the term of lease contracts, unless it is reasonably certain that the Company will exercise such options. Lease agreements may contain other variable costs such as common area maintenance, insurance, real estate taxes or other costs. Variable lease costs are expensed as incurred in the consolidated statements of income (loss). The Company does not include non-lease components with lease payments for the purpose of calculating lease right-of-use assets and lease liabilities. The lease agreements generally do not contain any residual guarantees or restrictive covenants.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Operating leases are included in operating lease ROU assets, operating lease liabilities, current and operating lease liabilities, noncurrent in the consolidated balance sheets. Finance leases are included in property and equipment, accrued expenses and other current liabilities and other liabilities in the consolidated balance sheets.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Revenue Recognition</w:t>
      </w:r>
    </w:p>
    <w:p>
      <w:pPr>
        <w:pStyle w:val="TextBody"/>
        <w:bidi w:val="0"/>
        <w:spacing w:lineRule="auto" w:line="288" w:before="180" w:after="283"/>
        <w:jc w:val="both"/>
        <w:rPr/>
      </w:pPr>
      <w:r>
        <w:rPr>
          <w:rFonts w:ascii="Arial;sans-serif" w:hAnsi="Arial;sans-serif"/>
          <w:b w:val="false"/>
          <w:color w:val="000000"/>
          <w:sz w:val="19"/>
          <w:shd w:fill="FFFFFF" w:val="clear"/>
        </w:rPr>
        <w:t>The Company recognizes revenue in accordance with ASC Topic</w:t>
      </w:r>
      <w:r>
        <w:rPr>
          <w:color w:val="000000"/>
          <w:shd w:fill="FFFFFF" w:val="clear"/>
        </w:rPr>
        <w:t> </w:t>
      </w:r>
      <w:r>
        <w:rPr>
          <w:rFonts w:ascii="Arial;sans-serif" w:hAnsi="Arial;sans-serif"/>
          <w:b w:val="false"/>
          <w:i/>
          <w:color w:val="000000"/>
          <w:sz w:val="19"/>
          <w:shd w:fill="FFFFFF" w:val="clear"/>
        </w:rPr>
        <w:t>606, Revenue from Contracts with Customers,</w:t>
      </w:r>
      <w:r>
        <w:rPr>
          <w:color w:val="000000"/>
          <w:shd w:fill="FFFFFF" w:val="clear"/>
        </w:rPr>
        <w:t> </w:t>
      </w:r>
      <w:r>
        <w:rPr>
          <w:rFonts w:ascii="Arial;sans-serif" w:hAnsi="Arial;sans-serif"/>
          <w:b w:val="false"/>
          <w:color w:val="000000"/>
          <w:sz w:val="19"/>
          <w:shd w:fill="FFFFFF" w:val="clear"/>
        </w:rPr>
        <w:t>and subsequently issued additional related </w:t>
      </w:r>
      <w:r>
        <w:rPr>
          <w:rFonts w:ascii="Arial;sans-serif" w:hAnsi="Arial;sans-serif"/>
          <w:b w:val="false"/>
          <w:i/>
          <w:color w:val="000000"/>
          <w:sz w:val="19"/>
          <w:shd w:fill="FFFFFF" w:val="clear"/>
        </w:rPr>
        <w:t>ASUs (Topic 606). </w:t>
      </w:r>
      <w:r>
        <w:rPr>
          <w:rFonts w:ascii="Arial;sans-serif" w:hAnsi="Arial;sans-serif"/>
          <w:b w:val="false"/>
          <w:color w:val="000000"/>
          <w:sz w:val="19"/>
          <w:shd w:fill="FFFFFF" w:val="clear"/>
        </w:rPr>
        <w:t>The Company recognizes revenues as it transfers control of deliverables (software and services) to its customers in an amount reflecting the consideration to which it expects to be entitled. To recognize revenues,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revenues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Nature of Products and Services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revenue is primarily derived from licensing intellectual property, licensing software, support and maintenance services, professional services, training services, and royalties.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Design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Interconnect Solutions product arrangements provide customers the right to software licenses, services, and support and maintenance. The Company enters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0"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the Company continues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Considering the nature of the combined license and assisting the Company’s customers in applying its IP technology in its customers’ development environment and the relative significance thereof, the Company has concluded that its promise to provide an Interconnect Solutions IP license is not distinct from its obligation to provide the Application Engineer Support Services and benefits of the RTL.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The design license and the regular two-way interaction between the design license tool, RTL,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Services providers exist in the marketplace that a customer could use with the design license. Consequently, the RTL and Application Engineer Support Services cannot be used on their own or together with any other design license as the Company does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Engineer Support Services. Therefore, revenue from Interconnect Solutions IP licensing arrangements is recognized over the design term ratably.</w:t>
      </w:r>
    </w:p>
    <w:p>
      <w:pPr>
        <w:pStyle w:val="TextBody"/>
        <w:bidi w:val="0"/>
        <w:spacing w:lineRule="auto" w:line="288" w:before="180" w:after="283"/>
        <w:jc w:val="both"/>
        <w:rPr/>
      </w:pPr>
      <w:r>
        <w:rPr>
          <w:rFonts w:ascii="Arial;sans-serif" w:hAnsi="Arial;sans-serif"/>
          <w:b w:val="false"/>
          <w:color w:val="000000"/>
          <w:sz w:val="19"/>
        </w:rPr>
        <w:t xml:space="preserve">Revenues that are derived from the sale of a licensee’s products that incorporate the Company’s IP are classified as royalty revenues. Royalty revenues are recognized during the quarter in which the sale of the product incorporating the Company’s IP occurs, and are included in variable royalties and other </w:t>
      </w:r>
      <w:r>
        <w:rPr>
          <w:rFonts w:ascii="Arial;sans-serif" w:hAnsi="Arial;sans-serif"/>
          <w:b w:val="false"/>
          <w:color w:val="000000"/>
          <w:sz w:val="19"/>
          <w:shd w:fill="FFFFFF" w:val="clear"/>
        </w:rPr>
        <w:t>in the consolidated statements of loss.</w:t>
      </w:r>
      <w:r>
        <w:rPr>
          <w:color w:val="000000"/>
        </w:rPr>
        <w:t xml:space="preserve"> </w:t>
      </w:r>
      <w:r>
        <w:rPr>
          <w:rFonts w:ascii="Arial;sans-serif" w:hAnsi="Arial;sans-serif"/>
          <w:b w:val="false"/>
          <w:color w:val="000000"/>
          <w:sz w:val="19"/>
        </w:rPr>
        <w:t>Royalties are calculated either as a percentage of the revenues received by a licensee’s sale of products incorporating the Company’s IP or on a per unit basis, as specified in the agreements with the licensees. For a majority of the Company’s royalty revenues, it receives the actual sales data from its customers after the quarter ends and accounts for it as unbilled receivables. In such instances, the Company recognizes royalty revenues based on its estimation of the customer’s sales during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1"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19"/>
        </w:rPr>
      </w:pPr>
      <w:r>
        <w:rPr>
          <w:rFonts w:ascii="Arial;sans-serif" w:hAnsi="Arial;sans-serif"/>
          <w:b w:val="false"/>
          <w:i/>
          <w:color w:val="000000"/>
          <w:sz w:val="19"/>
        </w:rPr>
        <w:t>SoC Integration Automation Software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SoC Integration Automation software (SIA) (formerly IP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Professional Services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Multiple Performance Obligations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reports revenue net of any revenue-based taxes assessed by governmental authorities that are imposed on and concurrent with specific revenue-producing transactions.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instances where foreign licensees withhold and remit taxes to local authorities in accordance with local laws and regulations, the Company recognizes and presents revenue on a gross basis, and includes the withholding tax in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2"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Flexible Spending Accounts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customers enter into a non-cancelable flexible spending account agreements (FSA Agreements)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modifications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Judgments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Balances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timing of revenue recognition may differ from the timing of invoicing to customers, and these timing differences result in contract assets (unbilled receivables), or contract liabilities (deferred revenue) on the Company’s consolidated balance sheets. The Company records a contract asset when revenue is recognized prior to the right to invoice and it has an unconditional right to invoice and receive payment. The Company records deferred revenue when it invoices customers and revenue is not yet recognized. Customers are generally invoiced in single or annual amounts, although some customers are invoiced more frequently over time.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capitalizes sales commission as costs of obtaining a contract when they are incremental and, if they are expected to be recovered, amortized in a manner consistent with the pattern of transfer of the good or service to which the asset relates.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Cost of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Cost of Revenues relates to costs associated with the Company’s licensing arrangements and support and maintenance, including applicable FAE personnel-related costs such as stock-based compensation, travel, amortization of developed technology acquired intangibles and allocated overhead. </w:t>
      </w:r>
    </w:p>
    <w:p>
      <w:pPr>
        <w:pStyle w:val="TextBody"/>
        <w:bidi w:val="0"/>
        <w:spacing w:lineRule="auto" w:line="288" w:before="180" w:after="283"/>
        <w:jc w:val="left"/>
        <w:rPr/>
      </w:pPr>
      <w:r>
        <w:rPr>
          <w:rFonts w:ascii="Arial;sans-serif" w:hAnsi="Arial;sans-serif"/>
          <w:b/>
          <w:i/>
          <w:color w:val="000000"/>
          <w:sz w:val="19"/>
          <w:shd w:fill="FFFFFF" w:val="clear"/>
        </w:rPr>
        <w:t>Allocation of Overhead Costs</w:t>
      </w:r>
      <w:r>
        <w:rPr>
          <w:color w:val="000000"/>
        </w:rPr>
        <w:t xml:space="preserv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Research and Development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Research and development costs that do not meet the criteria for capitalization are expensed as incurred. Research and development costs consist primarily of compensation, stock-based compensation, and employee benefits of engineering and product development personnel, consulting services, and other direct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3"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Software Development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Software development costs are capitalized beginning when a product’s technological feasibility has been established and ending when a product is available for general release to customers. Arteris has not capitalized any software development costs as of and for the years ended December 31, 2023 and 2022 as the period between establishing technological feasibility and general customer release has historically been short and therefore capitalizable costs have been insignificant.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not capitalized any internal-use software development costs as these costs have historically been insignificant.</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Sales and Marketing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Sales and marketing expenses consist of compensation and employee benefits of marketing and sales personnel and related support teams, and stock-based compensation, as well as travel, trade show sponsorships and events, conferences, and internet advertising costs. Advertising costs, included in sales and marketing expenses, are expensed as incurred. The Company incurred advertising costs of $0.1 million for both the years ended December 31, 2023 and 2022.</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General and Administrative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General and administrative expenses include executive and administrative compensation and employee benefits, depreciation, professional services fees, insurance costs, bad debt, other allocated costs, such as facility-related expenses, supplies, other fixed costs, and stock-based compensation.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Stock-based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measures equity classified stock-based awards, including stock options, RSUs, and RSAs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income (loss).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 As a result, if the Company revises its assumptions and estimates, the Company’s stock-based compensation expense could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RSUs and RSAs granted is measured as the fair value per share of the Company’s common stock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4"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 xml:space="preserve">Income Taxes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accounts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The Company provides for a valuation allowance when it is more likely than not that some portion, or all of its deferred tax assets will not be realized. In making such determination, the Company considers all available positive and negative evidence, including future reversals of existing taxable temporary differences, projected future taxable income, tax-planning strategies, and results of recent operations. As of December 31, 2023 and 2022, the Company recorded a full valuation allowance against its U.S. federal, state, and certain foreign jurisdiction net deferred tax assets. </w:t>
      </w:r>
    </w:p>
    <w:p>
      <w:pPr>
        <w:pStyle w:val="TextBody"/>
        <w:bidi w:val="0"/>
        <w:spacing w:lineRule="auto" w:line="288" w:before="180" w:after="283"/>
        <w:jc w:val="both"/>
        <w:rPr/>
      </w:pPr>
      <w:r>
        <w:rPr>
          <w:rFonts w:ascii="Arial;sans-serif" w:hAnsi="Arial;sans-serif"/>
          <w:b w:val="false"/>
          <w:color w:val="000000"/>
          <w:sz w:val="19"/>
          <w:shd w:fill="FFFFFF" w:val="clear"/>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w:t>
      </w:r>
      <w:r>
        <w:rPr>
          <w:rFonts w:ascii="Arial;sans-serif" w:hAnsi="Arial;sans-serif"/>
          <w:b w:val="false"/>
          <w:color w:val="000000"/>
          <w:sz w:val="19"/>
        </w:rPr>
        <w:t>There were $3.5 million and $2.6 million unrecognized tax benefits as of December 31, 2023 and 2022, respectively. The Company recognizes accrued interest and penalties related to unrecognized tax benefits as income tax expense. The amounts accrued for the payment of interest and penalties were immaterial as of December 31, 2023. No amounts were accrued for the payment of interest and penalties as of December 31, 2022. The Company is currently not aware of any issues under review that could result in significant payments, accruals or material deviation from its position.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Fair value of financials instruments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own assumptions about the factors that market participants would use in valuing the asset or liability developed based on the best information available in the circumstances.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Level 1 applies to assets or liabilities for which there are quoted prices in active markets for identical assets or liabilities that the Company has the ability to access at the measurement date.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Level 3 applies to assets or liabilities for which fair value is derived from valuation techniques in which one or more significant inputs are unobservable, including the Company’s own assumptions.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determined the estimated fair value of financial instruments using available market information and valuation methodologies considered to be appropriate. The carrying amounts of cash and cash equivalents, accounts receivable and accounts payable approximate their fair values due to their short maturities. The Company’s investments are recorded at fair value and vendor financing arrangements are recorded at net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5"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All investments in debt securities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the Company expects to sell a debt security within one year, it will classify the investment as a short-term investment regardless of its stated maturity date.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other income (expense), net in the consolidated statements of loss. The cost of securities sold is based on the specific-identification method.</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Equity Method 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uses the equity method to account for its investments in companies which the Company does not control but is deemed to have the ability to exercise significant influence over operating and financial decisions of the investee.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generally measures an investment in the common stock of an investee initially at cost. The carrying value of the Company’s equity method investments is reported in equity method investment on the consolidated balance sheets. The Company records its proportionate share of the income or loss in its equity method investments on a one-quarter lag. The cost is adjusted to recognize the Company's proportionate share of the investee’s net income or loss after the date of investment. The Company assesses investments for impairment whenever events or changes in circumstances indicate that the carrying value of an investment may not be recoverable.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Distributions received from an investee reduce the carrying value of an investment and are recorded in the consolidated statements of cash flows using the nature of distribution approach.</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Government Assistance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government assistance during the year ended December 31, 2023 and 2022 primarily consists of R&amp;D tax credits granted to the Company’s subsidiary in France. These R&amp;D tax credits are granted to encourage companies to conduct technical and scientific research. For accounting purposes, the foreign R&amp;D tax credits are recorded as an offset to research and development expenses in the Company’s consolidated statements of loss. The Company recorded $1.9 million and $1.8 million of foreign R&amp;D tax credit during the years ended December 31, 2023 and 2022, respectively.</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Recent Accounting Pronouncements</w:t>
      </w:r>
    </w:p>
    <w:p>
      <w:pPr>
        <w:pStyle w:val="TextBody"/>
        <w:bidi w:val="0"/>
        <w:spacing w:lineRule="auto" w:line="288" w:before="12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Recently Adopted Accounting Pronouncements</w:t>
      </w:r>
    </w:p>
    <w:p>
      <w:pPr>
        <w:pStyle w:val="TextBody"/>
        <w:bidi w:val="0"/>
        <w:spacing w:lineRule="auto" w:line="288" w:before="120" w:after="283"/>
        <w:jc w:val="both"/>
        <w:rPr/>
      </w:pPr>
      <w:r>
        <w:rPr>
          <w:rFonts w:ascii="Arial;sans-serif" w:hAnsi="Arial;sans-serif"/>
          <w:b w:val="false"/>
          <w:color w:val="000000"/>
          <w:sz w:val="19"/>
        </w:rPr>
        <w:t xml:space="preserve">In June 2016, the FASB issued ASU No. 2016-13, </w:t>
      </w:r>
      <w:r>
        <w:rPr>
          <w:rFonts w:ascii="Arial;sans-serif" w:hAnsi="Arial;sans-serif"/>
          <w:b w:val="false"/>
          <w:i/>
          <w:color w:val="000000"/>
          <w:sz w:val="19"/>
        </w:rPr>
        <w:t>Financial Instruments-Credit Losses (Topic 326): Measurement of Credit Losses on Financial Instruments and in May 2019 issued ASU No. 2019-05, Credit Losses (Topic 326): Targeted Transition Relief (collectively referred to as Topic 326)</w:t>
      </w:r>
      <w:r>
        <w:rPr>
          <w:rFonts w:ascii="Arial;sans-serif" w:hAnsi="Arial;sans-serif"/>
          <w:b w:val="false"/>
          <w:color w:val="000000"/>
          <w:sz w:val="19"/>
        </w:rPr>
        <w:t>, 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adoption of the new guidance did not have a material impact on the Company’s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96"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pPr>
      <w:r>
        <w:rPr>
          <w:rFonts w:ascii="Arial;sans-serif" w:hAnsi="Arial;sans-serif"/>
          <w:b w:val="false"/>
          <w:color w:val="000000"/>
          <w:sz w:val="19"/>
        </w:rPr>
        <w:t xml:space="preserve">In September 2022, the FASB issued ASU 2022-04, </w:t>
      </w:r>
      <w:r>
        <w:rPr>
          <w:rFonts w:ascii="Arial;sans-serif" w:hAnsi="Arial;sans-serif"/>
          <w:b w:val="false"/>
          <w:i/>
          <w:color w:val="000000"/>
          <w:sz w:val="19"/>
        </w:rPr>
        <w:t>Liabilities - Supplier Finance Programs (Subtopic 405-50): Disclosure of Supplier Finance Program Obligations</w:t>
      </w:r>
      <w:r>
        <w:rPr>
          <w:rFonts w:ascii="Arial;sans-serif" w:hAnsi="Arial;sans-serif"/>
          <w:b w:val="false"/>
          <w:color w:val="000000"/>
          <w:sz w:val="19"/>
        </w:rPr>
        <w:t>, which requires a buyer in a supplier finance program to disclose sufficient information about the program to allow a user of financial statements to understand the program's nature, activity during the period, changes from period to period, and potential magnitude. To achieve that objective, the buyer should disclose qualitative and quantitative information about its supplier finance programs. The amendments in this update do not affect the recognition, measurement, or financial statement presentation of obligations covered by supplier finance program. The guidance is effective for fiscal years beginning after December 15, 2022, except for the amendment on rollforward information which is effective for fiscal years beginning after December 15, 2023, with early adoption permitted. The Company considered key terms of the current vendor financing arrangements and concluded that the current vendor financing arrangements did not have any of the characteristics which would require additional disclosures. As a result, the adoption of the new guidance did not have an impact on the Company’s consolidated financial statements and related disclosures. See Note 11 for disclosures on the Company’s vendor financing arrangements.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Recently Issued Accounting Pronouncements Not Yet Adopted</w:t>
      </w:r>
    </w:p>
    <w:p>
      <w:pPr>
        <w:pStyle w:val="TextBody"/>
        <w:bidi w:val="0"/>
        <w:spacing w:lineRule="auto" w:line="288" w:before="180" w:after="283"/>
        <w:jc w:val="both"/>
        <w:rPr/>
      </w:pPr>
      <w:r>
        <w:rPr>
          <w:rFonts w:ascii="Arial;sans-serif" w:hAnsi="Arial;sans-serif"/>
          <w:b w:val="false"/>
          <w:color w:val="000000"/>
          <w:sz w:val="19"/>
        </w:rPr>
        <w:t xml:space="preserve">In December 2023, the FASB issued ASU 2023-09, </w:t>
      </w:r>
      <w:r>
        <w:rPr>
          <w:rFonts w:ascii="Arial;sans-serif" w:hAnsi="Arial;sans-serif"/>
          <w:b w:val="false"/>
          <w:i/>
          <w:color w:val="000000"/>
          <w:sz w:val="19"/>
        </w:rPr>
        <w:t>Improvements to Income Tax Disclosures</w:t>
      </w:r>
      <w:r>
        <w:rPr>
          <w:rFonts w:ascii="Arial;sans-serif" w:hAnsi="Arial;sans-serif"/>
          <w:b w:val="false"/>
          <w:color w:val="000000"/>
          <w:sz w:val="19"/>
        </w:rPr>
        <w:t>,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either prospectively or retrospectively, the Company will adopt this ASU on a prospective basis.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19"/>
        </w:rPr>
        <w:t xml:space="preserve">In November 2023, the FASB issued ASU No. 2023-07, </w:t>
      </w:r>
      <w:r>
        <w:rPr>
          <w:rFonts w:ascii="Arial;sans-serif" w:hAnsi="Arial;sans-serif"/>
          <w:b w:val="false"/>
          <w:i/>
          <w:color w:val="000000"/>
          <w:sz w:val="19"/>
        </w:rPr>
        <w:t>Segment Reporting (Topic 280): Improvements to Reportable Segment Disclosures</w:t>
      </w:r>
      <w:r>
        <w:rPr>
          <w:rFonts w:ascii="Arial;sans-serif" w:hAnsi="Arial;sans-serif"/>
          <w:b w:val="false"/>
          <w:color w:val="000000"/>
          <w:sz w:val="19"/>
        </w:rPr>
        <w:t>,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of adopting this ASU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3. REVENUE</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Disaggregated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shows revenue by product and services groups (in thousands):</w:t>
      </w:r>
    </w:p>
    <w:tbl>
      <w:tblPr>
        <w:tblW w:w="5986" w:type="dxa"/>
        <w:jc w:val="left"/>
        <w:tblInd w:w="0" w:type="dxa"/>
        <w:tblLayout w:type="fixed"/>
        <w:tblCellMar>
          <w:top w:w="28" w:type="dxa"/>
          <w:left w:w="28" w:type="dxa"/>
          <w:bottom w:w="28" w:type="dxa"/>
          <w:right w:w="28" w:type="dxa"/>
        </w:tblCellMar>
      </w:tblPr>
      <w:tblGrid>
        <w:gridCol w:w="1179"/>
        <w:gridCol w:w="1036"/>
        <w:gridCol w:w="1039"/>
        <w:gridCol w:w="211"/>
        <w:gridCol w:w="751"/>
        <w:gridCol w:w="109"/>
        <w:gridCol w:w="109"/>
        <w:gridCol w:w="109"/>
        <w:gridCol w:w="109"/>
        <w:gridCol w:w="211"/>
        <w:gridCol w:w="751"/>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Licensing, support and maintenance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Variable royalties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Balances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provides information about accounts receivable, net, contract assets and deferred revenue (in thousands):</w:t>
      </w:r>
    </w:p>
    <w:tbl>
      <w:tblPr>
        <w:tblW w:w="4793" w:type="dxa"/>
        <w:jc w:val="left"/>
        <w:tblInd w:w="0" w:type="dxa"/>
        <w:tblLayout w:type="fixed"/>
        <w:tblCellMar>
          <w:top w:w="28" w:type="dxa"/>
          <w:left w:w="28" w:type="dxa"/>
          <w:bottom w:w="28" w:type="dxa"/>
          <w:right w:w="28" w:type="dxa"/>
        </w:tblCellMar>
      </w:tblPr>
      <w:tblGrid>
        <w:gridCol w:w="825"/>
        <w:gridCol w:w="725"/>
        <w:gridCol w:w="729"/>
        <w:gridCol w:w="211"/>
        <w:gridCol w:w="751"/>
        <w:gridCol w:w="109"/>
        <w:gridCol w:w="109"/>
        <w:gridCol w:w="109"/>
        <w:gridCol w:w="109"/>
        <w:gridCol w:w="211"/>
        <w:gridCol w:w="75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During the years ended December 31, 2023 and 2022, the Company recognized revenue of $29.9 million and $28.2 million, respectively, that was included in the deferred revenue balance at the beginning of the fiscal year. Contract assets are included in prepaid expenses and other current assets and other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97"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non-cancelable contracted but unsatisfied or partially satisfied performance obligations that have not yet been recognized is $71.6 million which includes deferred revenue, amounts that will be invoiced and recognized as revenues in future periods and FSA commitments, from customers where actual product selection and quantities of specific products are to be determined by customers at a future period. The Company expects to recognize $33.0 million of this balance over the next 12 months and the remainder thereafter. FSA commitments amounted to $6.2 million and nil at the end of fiscal years 2023 and 2022, respectively. The Company has elected to exclude the potential future royalty receipts from this amount.</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Costs of Obtaining a Contract with a Customer</w:t>
      </w:r>
    </w:p>
    <w:p>
      <w:pPr>
        <w:pStyle w:val="TextBody"/>
        <w:bidi w:val="0"/>
        <w:spacing w:lineRule="auto" w:line="288" w:before="180" w:after="283"/>
        <w:jc w:val="both"/>
        <w:rPr/>
      </w:pPr>
      <w:r>
        <w:rPr>
          <w:rFonts w:ascii="Arial;sans-serif" w:hAnsi="Arial;sans-serif"/>
          <w:b w:val="false"/>
          <w:color w:val="000000"/>
          <w:sz w:val="19"/>
          <w:shd w:fill="FFFFFF" w:val="clear"/>
        </w:rPr>
        <w:t>Incremental costs of obtaining a contract with a customer consist primarily of direct sales commissions incurred upon execution of the contract. These costs are required to be capitalized under ASC 340-40, </w:t>
      </w:r>
      <w:r>
        <w:rPr>
          <w:rFonts w:ascii="Arial;sans-serif" w:hAnsi="Arial;sans-serif"/>
          <w:b w:val="false"/>
          <w:i/>
          <w:color w:val="000000"/>
          <w:sz w:val="19"/>
          <w:shd w:fill="FFFFFF" w:val="clear"/>
        </w:rPr>
        <w:t>Other Assets and Deferred Costs—Contracts With Customers</w:t>
      </w:r>
      <w:r>
        <w:rPr>
          <w:rFonts w:ascii="Arial;sans-serif" w:hAnsi="Arial;sans-serif"/>
          <w:b w:val="false"/>
          <w:color w:val="000000"/>
          <w:sz w:val="19"/>
          <w:shd w:fill="FFFFFF" w:val="clear"/>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tbl>
      <w:tblPr>
        <w:tblW w:w="9414" w:type="dxa"/>
        <w:jc w:val="left"/>
        <w:tblInd w:w="0" w:type="dxa"/>
        <w:tblLayout w:type="fixed"/>
        <w:tblCellMar>
          <w:top w:w="28" w:type="dxa"/>
          <w:left w:w="28" w:type="dxa"/>
          <w:bottom w:w="28" w:type="dxa"/>
          <w:right w:w="28" w:type="dxa"/>
        </w:tblCellMar>
      </w:tblPr>
      <w:tblGrid>
        <w:gridCol w:w="2574"/>
        <w:gridCol w:w="2265"/>
        <w:gridCol w:w="2271"/>
        <w:gridCol w:w="211"/>
        <w:gridCol w:w="646"/>
        <w:gridCol w:w="109"/>
        <w:gridCol w:w="109"/>
        <w:gridCol w:w="109"/>
        <w:gridCol w:w="109"/>
        <w:gridCol w:w="211"/>
        <w:gridCol w:w="646"/>
        <w:gridCol w:w="154"/>
      </w:tblGrid>
      <w:tr>
        <w:trPr/>
        <w:tc>
          <w:tcPr>
            <w:tcW w:w="257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commission capitalized in prepaid expenses and 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commission capitalized in 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Amortization of capitalized sales commissions were $3.7 million and $3.5 million during the years ended December 31, 2023 and 2022, respectively, and are included in sales and marketing expense in the consolidated statements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4. NET LOSS PER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presents the calculation of basic and diluted net loss per share attributable to common stockholders (in thousands, except share and per share data):</w:t>
      </w:r>
    </w:p>
    <w:tbl>
      <w:tblPr>
        <w:tblW w:w="8040" w:type="dxa"/>
        <w:jc w:val="left"/>
        <w:tblInd w:w="0" w:type="dxa"/>
        <w:tblLayout w:type="fixed"/>
        <w:tblCellMar>
          <w:top w:w="28" w:type="dxa"/>
          <w:left w:w="28" w:type="dxa"/>
          <w:bottom w:w="28" w:type="dxa"/>
          <w:right w:w="28" w:type="dxa"/>
        </w:tblCellMar>
      </w:tblPr>
      <w:tblGrid>
        <w:gridCol w:w="1801"/>
        <w:gridCol w:w="1582"/>
        <w:gridCol w:w="1597"/>
        <w:gridCol w:w="246"/>
        <w:gridCol w:w="880"/>
        <w:gridCol w:w="109"/>
        <w:gridCol w:w="109"/>
        <w:gridCol w:w="109"/>
        <w:gridCol w:w="109"/>
        <w:gridCol w:w="246"/>
        <w:gridCol w:w="880"/>
        <w:gridCol w:w="109"/>
        <w:gridCol w:w="109"/>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Numerator:</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Denominator:</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Weighted-average shares outstanding,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35,675,689 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32,578,776 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Net loss per share, basic and diluted</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the Company was in a loss position for the years ended December 31, 2023 and 2022, the diluted earnings per share is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potentially dilutive securities that were excluded from the calculation of diluted earnings per share because they would be anti-dilutive:</w:t>
      </w:r>
    </w:p>
    <w:tbl>
      <w:tblPr>
        <w:tblW w:w="9660" w:type="dxa"/>
        <w:jc w:val="left"/>
        <w:tblInd w:w="0" w:type="dxa"/>
        <w:tblLayout w:type="fixed"/>
        <w:tblCellMar>
          <w:top w:w="28" w:type="dxa"/>
          <w:left w:w="28" w:type="dxa"/>
          <w:bottom w:w="28" w:type="dxa"/>
          <w:right w:w="28" w:type="dxa"/>
        </w:tblCellMar>
      </w:tblPr>
      <w:tblGrid>
        <w:gridCol w:w="2336"/>
        <w:gridCol w:w="2052"/>
        <w:gridCol w:w="2062"/>
        <w:gridCol w:w="517"/>
        <w:gridCol w:w="504"/>
        <w:gridCol w:w="181"/>
        <w:gridCol w:w="181"/>
        <w:gridCol w:w="181"/>
        <w:gridCol w:w="181"/>
        <w:gridCol w:w="517"/>
        <w:gridCol w:w="504"/>
        <w:gridCol w:w="181"/>
        <w:gridCol w:w="109"/>
        <w:gridCol w:w="154"/>
      </w:tblGrid>
      <w:tr>
        <w:trPr/>
        <w:tc>
          <w:tcPr>
            <w:tcW w:w="233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Stock options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2,841,764 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3,542,836 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Restricted stock units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5,732,950 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5,619,013 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Restricted common shares issued for business combination (see Note 9)</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234,859 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331,574 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8,809,573 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9,493,423 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98"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following tables summarize the fair value and amortized cost of the Company’s cash equivalents and available-for-sale securities by major security type (in thousands):</w:t>
      </w:r>
    </w:p>
    <w:p>
      <w:pPr>
        <w:pStyle w:val="TextBody"/>
        <w:bidi w:val="0"/>
        <w:spacing w:before="0" w:after="0"/>
        <w:jc w:val="left"/>
        <w:rPr/>
      </w:pPr>
      <w:r>
        <w:rPr/>
      </w:r>
    </w:p>
    <w:tbl>
      <w:tblPr>
        <w:tblW w:w="9173" w:type="dxa"/>
        <w:jc w:val="left"/>
        <w:tblInd w:w="0" w:type="dxa"/>
        <w:tblLayout w:type="fixed"/>
        <w:tblCellMar>
          <w:top w:w="28" w:type="dxa"/>
          <w:left w:w="28" w:type="dxa"/>
          <w:bottom w:w="28" w:type="dxa"/>
          <w:right w:w="28" w:type="dxa"/>
        </w:tblCellMar>
      </w:tblPr>
      <w:tblGrid>
        <w:gridCol w:w="1148"/>
        <w:gridCol w:w="1009"/>
        <w:gridCol w:w="1023"/>
        <w:gridCol w:w="266"/>
        <w:gridCol w:w="947"/>
        <w:gridCol w:w="137"/>
        <w:gridCol w:w="109"/>
        <w:gridCol w:w="109"/>
        <w:gridCol w:w="109"/>
        <w:gridCol w:w="662"/>
        <w:gridCol w:w="1183"/>
        <w:gridCol w:w="345"/>
        <w:gridCol w:w="109"/>
        <w:gridCol w:w="109"/>
        <w:gridCol w:w="109"/>
        <w:gridCol w:w="340"/>
        <w:gridCol w:w="1211"/>
        <w:gridCol w:w="248"/>
      </w:tblGrid>
      <w:tr>
        <w:trPr/>
        <w:tc>
          <w:tcPr>
            <w:tcW w:w="11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Assets: </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19,490 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Money market funds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Certificate of deposit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Commercial paper</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49,756 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49,796 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542" w:type="dxa"/>
        <w:jc w:val="left"/>
        <w:tblInd w:w="0" w:type="dxa"/>
        <w:tblLayout w:type="fixed"/>
        <w:tblCellMar>
          <w:top w:w="28" w:type="dxa"/>
          <w:left w:w="28" w:type="dxa"/>
          <w:bottom w:w="28" w:type="dxa"/>
          <w:right w:w="28" w:type="dxa"/>
        </w:tblCellMar>
      </w:tblPr>
      <w:tblGrid>
        <w:gridCol w:w="1149"/>
        <w:gridCol w:w="1012"/>
        <w:gridCol w:w="1019"/>
        <w:gridCol w:w="266"/>
        <w:gridCol w:w="947"/>
        <w:gridCol w:w="137"/>
        <w:gridCol w:w="109"/>
        <w:gridCol w:w="109"/>
        <w:gridCol w:w="109"/>
        <w:gridCol w:w="452"/>
        <w:gridCol w:w="872"/>
        <w:gridCol w:w="235"/>
        <w:gridCol w:w="109"/>
        <w:gridCol w:w="109"/>
        <w:gridCol w:w="109"/>
        <w:gridCol w:w="340"/>
        <w:gridCol w:w="1211"/>
        <w:gridCol w:w="248"/>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Assets: </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Money market funds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Commercial paper</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5,707 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18,468 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65,636 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65,583 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maturity dates of the Company’s investments are as follows (in thousands):</w:t>
      </w:r>
    </w:p>
    <w:tbl>
      <w:tblPr>
        <w:tblW w:w="3404" w:type="dxa"/>
        <w:jc w:val="left"/>
        <w:tblInd w:w="0" w:type="dxa"/>
        <w:tblLayout w:type="fixed"/>
        <w:tblCellMar>
          <w:top w:w="28" w:type="dxa"/>
          <w:left w:w="28" w:type="dxa"/>
          <w:bottom w:w="28" w:type="dxa"/>
          <w:right w:w="28" w:type="dxa"/>
        </w:tblCellMar>
      </w:tblPr>
      <w:tblGrid>
        <w:gridCol w:w="647"/>
        <w:gridCol w:w="567"/>
        <w:gridCol w:w="571"/>
        <w:gridCol w:w="306"/>
        <w:gridCol w:w="1090"/>
        <w:gridCol w:w="22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than one year</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37,994 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1-2 years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9"/>
        </w:rPr>
        <w:t xml:space="preserve">As of December 31, 2023 and </w:t>
      </w:r>
      <w:r>
        <w:rPr>
          <w:rFonts w:ascii="Arial;sans-serif" w:hAnsi="Arial;sans-serif"/>
          <w:b w:val="false"/>
          <w:color w:val="000000"/>
          <w:sz w:val="19"/>
          <w:shd w:fill="FFFFFF" w:val="clear"/>
        </w:rPr>
        <w:t>2022</w:t>
      </w:r>
      <w:r>
        <w:rPr>
          <w:rFonts w:ascii="Arial;sans-serif" w:hAnsi="Arial;sans-serif"/>
          <w:b w:val="false"/>
          <w:color w:val="000000"/>
          <w:sz w:val="19"/>
        </w:rPr>
        <w:t>, securities with a fair value of $3.7 million and zero, respectively, were in a continuous net unrealized loss position for more than 12 months. As of December 31,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December 31, 2023 no allowance for credit losses or impairment losses for the Company’s investments were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6. FAIR VALUE MEASUREMENTS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Financial instruments not recorded at fair value on a recurring basis include vendor financing arrangements. The carrying value of the vendor financing agreements was $3.4 million and $1.7 million as of December 31, 2023 and 2022,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99"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p>
      <w:pPr>
        <w:pStyle w:val="TextBody"/>
        <w:bidi w:val="0"/>
        <w:spacing w:before="0" w:after="0"/>
        <w:jc w:val="left"/>
        <w:rPr/>
      </w:pPr>
      <w:r>
        <w:rPr/>
      </w:r>
    </w:p>
    <w:tbl>
      <w:tblPr>
        <w:tblW w:w="8040" w:type="dxa"/>
        <w:jc w:val="left"/>
        <w:tblInd w:w="0" w:type="dxa"/>
        <w:tblLayout w:type="fixed"/>
        <w:tblCellMar>
          <w:top w:w="28" w:type="dxa"/>
          <w:left w:w="28" w:type="dxa"/>
          <w:bottom w:w="28" w:type="dxa"/>
          <w:right w:w="28" w:type="dxa"/>
        </w:tblCellMar>
      </w:tblPr>
      <w:tblGrid>
        <w:gridCol w:w="1148"/>
        <w:gridCol w:w="1010"/>
        <w:gridCol w:w="1022"/>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cash equivalents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Certificate of deposit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Commercial paper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short-term investments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investments: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long-term investments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145" w:type="dxa"/>
        <w:jc w:val="left"/>
        <w:tblInd w:w="0" w:type="dxa"/>
        <w:tblLayout w:type="fixed"/>
        <w:tblCellMar>
          <w:top w:w="28" w:type="dxa"/>
          <w:left w:w="28" w:type="dxa"/>
          <w:bottom w:w="28" w:type="dxa"/>
          <w:right w:w="28" w:type="dxa"/>
        </w:tblCellMar>
      </w:tblPr>
      <w:tblGrid>
        <w:gridCol w:w="1147"/>
        <w:gridCol w:w="1010"/>
        <w:gridCol w:w="102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cash equivalents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Commercial paper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short-term investments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investments: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long-term investments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0"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7. INTANGIBLE ASSETS AND GOODWILL</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Intangible assets, net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Intangible assets, net consisted of the following as of December 31, 2023 (in thousands):</w:t>
      </w:r>
    </w:p>
    <w:tbl>
      <w:tblPr>
        <w:tblW w:w="10205" w:type="dxa"/>
        <w:jc w:val="left"/>
        <w:tblInd w:w="0" w:type="dxa"/>
        <w:tblLayout w:type="fixed"/>
        <w:tblCellMar>
          <w:top w:w="28" w:type="dxa"/>
          <w:left w:w="28" w:type="dxa"/>
          <w:bottom w:w="28" w:type="dxa"/>
          <w:right w:w="28" w:type="dxa"/>
        </w:tblCellMar>
      </w:tblPr>
      <w:tblGrid>
        <w:gridCol w:w="723"/>
        <w:gridCol w:w="611"/>
        <w:gridCol w:w="614"/>
        <w:gridCol w:w="290"/>
        <w:gridCol w:w="888"/>
        <w:gridCol w:w="149"/>
        <w:gridCol w:w="109"/>
        <w:gridCol w:w="109"/>
        <w:gridCol w:w="109"/>
        <w:gridCol w:w="443"/>
        <w:gridCol w:w="1362"/>
        <w:gridCol w:w="230"/>
        <w:gridCol w:w="109"/>
        <w:gridCol w:w="109"/>
        <w:gridCol w:w="109"/>
        <w:gridCol w:w="273"/>
        <w:gridCol w:w="839"/>
        <w:gridCol w:w="141"/>
        <w:gridCol w:w="109"/>
        <w:gridCol w:w="109"/>
        <w:gridCol w:w="109"/>
        <w:gridCol w:w="796"/>
        <w:gridCol w:w="796"/>
        <w:gridCol w:w="798"/>
        <w:gridCol w:w="109"/>
        <w:gridCol w:w="162"/>
      </w:tblGrid>
      <w:tr>
        <w:trPr/>
        <w:tc>
          <w:tcPr>
            <w:tcW w:w="72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Useful Lives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Developed technology</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IPR&amp;D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Trade name and other</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intangibles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Intangible assets, net consisted of the following as of December 31, 2022 (in thousands):</w:t>
      </w:r>
    </w:p>
    <w:tbl>
      <w:tblPr>
        <w:tblW w:w="10205" w:type="dxa"/>
        <w:jc w:val="left"/>
        <w:tblInd w:w="0" w:type="dxa"/>
        <w:tblLayout w:type="fixed"/>
        <w:tblCellMar>
          <w:top w:w="28" w:type="dxa"/>
          <w:left w:w="28" w:type="dxa"/>
          <w:bottom w:w="28" w:type="dxa"/>
          <w:right w:w="28" w:type="dxa"/>
        </w:tblCellMar>
      </w:tblPr>
      <w:tblGrid>
        <w:gridCol w:w="723"/>
        <w:gridCol w:w="611"/>
        <w:gridCol w:w="614"/>
        <w:gridCol w:w="290"/>
        <w:gridCol w:w="888"/>
        <w:gridCol w:w="149"/>
        <w:gridCol w:w="109"/>
        <w:gridCol w:w="109"/>
        <w:gridCol w:w="109"/>
        <w:gridCol w:w="535"/>
        <w:gridCol w:w="1222"/>
        <w:gridCol w:w="277"/>
        <w:gridCol w:w="109"/>
        <w:gridCol w:w="109"/>
        <w:gridCol w:w="109"/>
        <w:gridCol w:w="273"/>
        <w:gridCol w:w="839"/>
        <w:gridCol w:w="141"/>
        <w:gridCol w:w="109"/>
        <w:gridCol w:w="109"/>
        <w:gridCol w:w="109"/>
        <w:gridCol w:w="796"/>
        <w:gridCol w:w="796"/>
        <w:gridCol w:w="798"/>
        <w:gridCol w:w="109"/>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Useful Lives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Developed technology</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years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years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IPR&amp;D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Trade name and other</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intangibles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Amortization expense of intangible assets was $0.8 million and $0.5 million for years ended December 31, 2023 and 2022, respectively.</w:t>
      </w:r>
    </w:p>
    <w:p>
      <w:pPr>
        <w:pStyle w:val="TextBody"/>
        <w:bidi w:val="0"/>
        <w:spacing w:lineRule="auto" w:line="288" w:before="180" w:after="283"/>
        <w:jc w:val="both"/>
        <w:rPr/>
      </w:pPr>
      <w:r>
        <w:rPr>
          <w:rFonts w:ascii="Arial;sans-serif" w:hAnsi="Arial;sans-serif"/>
          <w:b w:val="false"/>
          <w:color w:val="000000"/>
          <w:sz w:val="19"/>
          <w:shd w:fill="FFFFFF" w:val="clear"/>
        </w:rPr>
        <w:t>The expected future amortization expense of these intangible assets as of December 31, 2023 is as follows (in thousands)</w:t>
      </w:r>
      <w:r>
        <w:rPr>
          <w:rFonts w:ascii="Arial;sans-serif" w:hAnsi="Arial;sans-serif"/>
          <w:b w:val="false"/>
          <w:color w:val="000000"/>
          <w:sz w:val="24"/>
        </w:rPr>
        <w:t>:</w:t>
      </w:r>
    </w:p>
    <w:tbl>
      <w:tblPr>
        <w:tblW w:w="4040" w:type="dxa"/>
        <w:jc w:val="left"/>
        <w:tblInd w:w="0" w:type="dxa"/>
        <w:tblLayout w:type="fixed"/>
        <w:tblCellMar>
          <w:top w:w="28" w:type="dxa"/>
          <w:left w:w="28" w:type="dxa"/>
          <w:bottom w:w="28" w:type="dxa"/>
          <w:right w:w="28" w:type="dxa"/>
        </w:tblCellMar>
      </w:tblPr>
      <w:tblGrid>
        <w:gridCol w:w="1096"/>
        <w:gridCol w:w="960"/>
        <w:gridCol w:w="973"/>
        <w:gridCol w:w="211"/>
        <w:gridCol w:w="64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2025</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739</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Goodwill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Goodwill was $4.2 million as of both December 31, 2023 and 2022. No goodwill impairments were recorded during the years ended December 31,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1"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8. BALANCE SHEET COMPONENTS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Certain changes in presentation have been made to conform the prior period presentation to the current period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9"/>
          <w:shd w:fill="FFFFFF" w:val="clear"/>
        </w:rPr>
      </w:pPr>
      <w:r>
        <w:rPr>
          <w:rFonts w:ascii="Arial;sans-serif" w:hAnsi="Arial;sans-serif"/>
          <w:b/>
          <w:i/>
          <w:color w:val="000000"/>
          <w:sz w:val="19"/>
          <w:shd w:fill="FFFFFF" w:val="clear"/>
        </w:rPr>
        <w:t>Accounts Receivable, net</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presents the components of accounts receivable, net, (in thousands):</w:t>
      </w:r>
    </w:p>
    <w:tbl>
      <w:tblPr>
        <w:tblW w:w="5814" w:type="dxa"/>
        <w:jc w:val="left"/>
        <w:tblInd w:w="0" w:type="dxa"/>
        <w:tblLayout w:type="fixed"/>
        <w:tblCellMar>
          <w:top w:w="28" w:type="dxa"/>
          <w:left w:w="28" w:type="dxa"/>
          <w:bottom w:w="28" w:type="dxa"/>
          <w:right w:w="28" w:type="dxa"/>
        </w:tblCellMar>
      </w:tblPr>
      <w:tblGrid>
        <w:gridCol w:w="1232"/>
        <w:gridCol w:w="1083"/>
        <w:gridCol w:w="1090"/>
        <w:gridCol w:w="211"/>
        <w:gridCol w:w="751"/>
        <w:gridCol w:w="109"/>
        <w:gridCol w:w="109"/>
        <w:gridCol w:w="109"/>
        <w:gridCol w:w="109"/>
        <w:gridCol w:w="211"/>
        <w:gridCol w:w="64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Unbilled accounts receivable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accounts receivable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Less: allowance for doubtful accounts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allowance for doubtful accounts was $0.1 million and $0.3 million as of December 31, 2023 and 2022, respectively.</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Prepaid Expenses and Other Current Assets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Prepaid expenses and other current assets consisted of the following (in thousands):</w:t>
      </w:r>
    </w:p>
    <w:tbl>
      <w:tblPr>
        <w:tblW w:w="6623" w:type="dxa"/>
        <w:jc w:val="left"/>
        <w:tblInd w:w="0" w:type="dxa"/>
        <w:tblLayout w:type="fixed"/>
        <w:tblCellMar>
          <w:top w:w="28" w:type="dxa"/>
          <w:left w:w="28" w:type="dxa"/>
          <w:bottom w:w="28" w:type="dxa"/>
          <w:right w:w="28" w:type="dxa"/>
        </w:tblCellMar>
      </w:tblPr>
      <w:tblGrid>
        <w:gridCol w:w="1564"/>
        <w:gridCol w:w="1374"/>
        <w:gridCol w:w="1381"/>
        <w:gridCol w:w="211"/>
        <w:gridCol w:w="646"/>
        <w:gridCol w:w="109"/>
        <w:gridCol w:w="109"/>
        <w:gridCol w:w="109"/>
        <w:gridCol w:w="109"/>
        <w:gridCol w:w="211"/>
        <w:gridCol w:w="64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Capitalized commissions asset,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Software &amp; subscriptions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Contract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Investment interest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Property and Equipment, net</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Property and equipment consisted of the following (in thousands):</w:t>
      </w:r>
    </w:p>
    <w:tbl>
      <w:tblPr>
        <w:tblW w:w="5889" w:type="dxa"/>
        <w:jc w:val="left"/>
        <w:tblInd w:w="0" w:type="dxa"/>
        <w:tblLayout w:type="fixed"/>
        <w:tblCellMar>
          <w:top w:w="28" w:type="dxa"/>
          <w:left w:w="28" w:type="dxa"/>
          <w:bottom w:w="28" w:type="dxa"/>
          <w:right w:w="28" w:type="dxa"/>
        </w:tblCellMar>
      </w:tblPr>
      <w:tblGrid>
        <w:gridCol w:w="1299"/>
        <w:gridCol w:w="1140"/>
        <w:gridCol w:w="1146"/>
        <w:gridCol w:w="211"/>
        <w:gridCol w:w="646"/>
        <w:gridCol w:w="109"/>
        <w:gridCol w:w="109"/>
        <w:gridCol w:w="109"/>
        <w:gridCol w:w="109"/>
        <w:gridCol w:w="211"/>
        <w:gridCol w:w="64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Software and technology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Office furniture and hardware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Leasehold improvements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Construction in progress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Vehicles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property and equipment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Depreciation expenses related to property and equipment for the years ended December 31, 2023 and 2022, was $2.3 million and $1.6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2"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Other Assets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Other assets consisted of the following (in thousands):</w:t>
      </w:r>
    </w:p>
    <w:tbl>
      <w:tblPr>
        <w:tblW w:w="5528" w:type="dxa"/>
        <w:jc w:val="left"/>
        <w:tblInd w:w="0" w:type="dxa"/>
        <w:tblLayout w:type="fixed"/>
        <w:tblCellMar>
          <w:top w:w="28" w:type="dxa"/>
          <w:left w:w="28" w:type="dxa"/>
          <w:bottom w:w="28" w:type="dxa"/>
          <w:right w:w="28" w:type="dxa"/>
        </w:tblCellMar>
      </w:tblPr>
      <w:tblGrid>
        <w:gridCol w:w="1167"/>
        <w:gridCol w:w="1025"/>
        <w:gridCol w:w="1032"/>
        <w:gridCol w:w="211"/>
        <w:gridCol w:w="646"/>
        <w:gridCol w:w="109"/>
        <w:gridCol w:w="109"/>
        <w:gridCol w:w="109"/>
        <w:gridCol w:w="109"/>
        <w:gridCol w:w="211"/>
        <w:gridCol w:w="64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Foreign R&amp;D tax credit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Capitalized commissions asset,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Contract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Security deposit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Accrued Expenses and Other Current Liabilities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Accrued expenses and other current liabilities consisted of the following (in thousands):</w:t>
      </w:r>
    </w:p>
    <w:tbl>
      <w:tblPr>
        <w:tblW w:w="7058" w:type="dxa"/>
        <w:jc w:val="left"/>
        <w:tblInd w:w="0" w:type="dxa"/>
        <w:tblLayout w:type="fixed"/>
        <w:tblCellMar>
          <w:top w:w="28" w:type="dxa"/>
          <w:left w:w="28" w:type="dxa"/>
          <w:bottom w:w="28" w:type="dxa"/>
          <w:right w:w="28" w:type="dxa"/>
        </w:tblCellMar>
      </w:tblPr>
      <w:tblGrid>
        <w:gridCol w:w="1648"/>
        <w:gridCol w:w="1445"/>
        <w:gridCol w:w="1451"/>
        <w:gridCol w:w="211"/>
        <w:gridCol w:w="751"/>
        <w:gridCol w:w="109"/>
        <w:gridCol w:w="109"/>
        <w:gridCol w:w="109"/>
        <w:gridCol w:w="109"/>
        <w:gridCol w:w="211"/>
        <w:gridCol w:w="751"/>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Payroll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Accrued professional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and contingent consideration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refund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accrued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Other Liabilities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Other liabilities consist of the following (in thousands):</w:t>
      </w:r>
    </w:p>
    <w:tbl>
      <w:tblPr>
        <w:tblW w:w="5664" w:type="dxa"/>
        <w:jc w:val="left"/>
        <w:tblInd w:w="0" w:type="dxa"/>
        <w:tblLayout w:type="fixed"/>
        <w:tblCellMar>
          <w:top w:w="28" w:type="dxa"/>
          <w:left w:w="28" w:type="dxa"/>
          <w:bottom w:w="28" w:type="dxa"/>
          <w:right w:w="28" w:type="dxa"/>
        </w:tblCellMar>
      </w:tblPr>
      <w:tblGrid>
        <w:gridCol w:w="1216"/>
        <w:gridCol w:w="1070"/>
        <w:gridCol w:w="1074"/>
        <w:gridCol w:w="211"/>
        <w:gridCol w:w="646"/>
        <w:gridCol w:w="109"/>
        <w:gridCol w:w="109"/>
        <w:gridCol w:w="109"/>
        <w:gridCol w:w="109"/>
        <w:gridCol w:w="211"/>
        <w:gridCol w:w="64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Pension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Long-term income tax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Retirement benefit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Contingent milestone liability (Note 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9. ACQUISITION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Semifore Acquisition</w:t>
      </w:r>
    </w:p>
    <w:p>
      <w:pPr>
        <w:pStyle w:val="TextBody"/>
        <w:bidi w:val="0"/>
        <w:spacing w:lineRule="auto" w:line="288" w:before="180" w:after="283"/>
        <w:jc w:val="both"/>
        <w:rPr/>
      </w:pPr>
      <w:r>
        <w:rPr>
          <w:rFonts w:ascii="Arial;sans-serif" w:hAnsi="Arial;sans-serif"/>
          <w:b w:val="false"/>
          <w:color w:val="000000"/>
          <w:sz w:val="19"/>
          <w:shd w:fill="FFFFFF" w:val="clear"/>
        </w:rPr>
        <w:t>On December 27, 2022, the Company acquired 100% of the issued and outstanding equity securities (the Acquisition) of Semifore, Inc. (Semifore),</w:t>
      </w:r>
      <w:r>
        <w:rPr>
          <w:color w:val="000000"/>
        </w:rPr>
        <w:t xml:space="preserve"> </w:t>
      </w:r>
      <w:r>
        <w:rPr>
          <w:rFonts w:ascii="Arial;sans-serif" w:hAnsi="Arial;sans-serif"/>
          <w:b w:val="false"/>
          <w:color w:val="000000"/>
          <w:sz w:val="19"/>
        </w:rPr>
        <w:t xml:space="preserve">provider of hardware, software interface (HSI) technology. Semifore technologies are used to effectively design, verify, document, and help in the validation of the hardware-software integration that is used in the SoC complex chip market. The addition of Semifore technologies and team expertise augments Arteris System IP and SoC Integration Automation software (SIA) (formerly IP deployment (IPD)) to further enhance software control of the IP and SoC hardware. </w:t>
      </w:r>
      <w:r>
        <w:rPr>
          <w:rFonts w:ascii="Arial;sans-serif" w:hAnsi="Arial;sans-serif"/>
          <w:b w:val="false"/>
          <w:color w:val="000000"/>
          <w:sz w:val="19"/>
          <w:shd w:fill="FFFFFF" w:val="clear"/>
        </w:rPr>
        <w:t xml:space="preserve">The Acquisition closed on December 27, 2022 and has been accounted for in accordance with the acquisition method of accounting for business combinations with the Company as the accounting acquirer.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3"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consideration transferred for the acquisition is as follows (in thousands):</w:t>
      </w:r>
    </w:p>
    <w:tbl>
      <w:tblPr>
        <w:tblW w:w="7649" w:type="dxa"/>
        <w:jc w:val="left"/>
        <w:tblInd w:w="0" w:type="dxa"/>
        <w:tblLayout w:type="fixed"/>
        <w:tblCellMar>
          <w:top w:w="28" w:type="dxa"/>
          <w:left w:w="28" w:type="dxa"/>
          <w:bottom w:w="28" w:type="dxa"/>
          <w:right w:w="28" w:type="dxa"/>
        </w:tblCellMar>
      </w:tblPr>
      <w:tblGrid>
        <w:gridCol w:w="2280"/>
        <w:gridCol w:w="2004"/>
        <w:gridCol w:w="2015"/>
        <w:gridCol w:w="281"/>
        <w:gridCol w:w="862"/>
        <w:gridCol w:w="207"/>
      </w:tblGrid>
      <w:tr>
        <w:trPr/>
        <w:tc>
          <w:tcPr>
            <w:tcW w:w="2280"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27,</w:t>
              <w:br/>
              <w:t>2022</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Cash consideration paid at closing</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 consideration (331,569 shares of the Company’s common stock)</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consideration</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9"/>
          <w:shd w:fill="FFFFFF" w:val="clear"/>
        </w:rPr>
        <w:t xml:space="preserve">In connection with the Acquisition, key employees and former owners of Semifore were issued a total of 663,143 shares of the Company’s common stock and </w:t>
      </w:r>
      <w:r>
        <w:rPr>
          <w:rFonts w:ascii="Arial;sans-serif" w:hAnsi="Arial;sans-serif"/>
          <w:b w:val="false"/>
          <w:color w:val="000000"/>
          <w:sz w:val="19"/>
        </w:rPr>
        <w:t xml:space="preserve">obtained the right to additional cash payment totaling </w:t>
      </w:r>
      <w:r>
        <w:rPr>
          <w:rFonts w:ascii="Arial;sans-serif" w:hAnsi="Arial;sans-serif"/>
          <w:b w:val="false"/>
          <w:color w:val="000000"/>
          <w:sz w:val="19"/>
          <w:shd w:fill="FFFFFF" w:val="clear"/>
        </w:rPr>
        <w:t xml:space="preserve">$1.8 million. Out of the 663,143 shares issued, 331,569 shares of common stock vested as of the closing date and </w:t>
      </w:r>
      <w:r>
        <w:rPr>
          <w:rFonts w:ascii="Arial;sans-serif" w:hAnsi="Arial;sans-serif"/>
          <w:b w:val="false"/>
          <w:color w:val="000000"/>
          <w:sz w:val="19"/>
        </w:rPr>
        <w:t>96,715 shares of common stock vested on the first anniversary of the closing date. The remaining 234,859 shares of common stock remain unvested as of December 31, 2023 and will vest on the third anniversary of the closing of the Acquisition, contingent on the continued employment of certain key employees.</w:t>
      </w:r>
      <w:r>
        <w:rPr>
          <w:color w:val="000000"/>
          <w:shd w:fill="FFFFFF" w:val="clear"/>
        </w:rPr>
        <w:t xml:space="preserve"> </w:t>
      </w:r>
      <w:r>
        <w:rPr>
          <w:rFonts w:ascii="Arial;sans-serif" w:hAnsi="Arial;sans-serif"/>
          <w:b w:val="false"/>
          <w:color w:val="000000"/>
          <w:sz w:val="19"/>
          <w:shd w:fill="FFFFFF" w:val="clear"/>
        </w:rPr>
        <w:t xml:space="preserve">Out of the $1.8 million right to additional cash payment, $0.5 million was paid upon the first anniversary of the closing during the year ended December 31, 2023, and the remaining $1.3 million will vest on the third anniversary of the closing date, </w:t>
      </w:r>
      <w:r>
        <w:rPr>
          <w:rFonts w:ascii="Arial;sans-serif" w:hAnsi="Arial;sans-serif"/>
          <w:b w:val="false"/>
          <w:color w:val="000000"/>
          <w:sz w:val="19"/>
        </w:rPr>
        <w:t>contingent on the continued employment of certain key employees</w:t>
      </w:r>
      <w:r>
        <w:rPr>
          <w:rFonts w:ascii="Arial;sans-serif" w:hAnsi="Arial;sans-serif"/>
          <w:b w:val="false"/>
          <w:color w:val="000000"/>
          <w:sz w:val="19"/>
          <w:shd w:fill="FFFFFF" w:val="clear"/>
        </w:rPr>
        <w:t>. The contingent cash payments and equity awards have been accounted for separately from the business combination and will be recognized by the Company as compensation costs in the subsequent periods as related services are provided. Refer to Note 14 for additional information about the equity awards.</w:t>
      </w:r>
    </w:p>
    <w:p>
      <w:pPr>
        <w:pStyle w:val="TextBody"/>
        <w:bidi w:val="0"/>
        <w:spacing w:lineRule="auto" w:line="288" w:before="180" w:after="283"/>
        <w:jc w:val="both"/>
        <w:rPr/>
      </w:pPr>
      <w:r>
        <w:rPr>
          <w:rFonts w:ascii="Arial;sans-serif" w:hAnsi="Arial;sans-serif"/>
          <w:b w:val="false"/>
          <w:color w:val="000000"/>
          <w:sz w:val="19"/>
        </w:rPr>
        <w:t xml:space="preserve">The Company incurred acquisition-related expenses associated with the Acquisition in a total amount of </w:t>
      </w:r>
      <w:r>
        <w:rPr>
          <w:rFonts w:ascii="Arial;sans-serif" w:hAnsi="Arial;sans-serif"/>
          <w:b w:val="false"/>
          <w:color w:val="000000"/>
          <w:sz w:val="19"/>
          <w:shd w:fill="FFFFFF" w:val="clear"/>
        </w:rPr>
        <w:t>$0.5 million</w:t>
      </w:r>
      <w:r>
        <w:rPr>
          <w:rFonts w:ascii="Arial;sans-serif" w:hAnsi="Arial;sans-serif"/>
          <w:b w:val="false"/>
          <w:color w:val="000000"/>
          <w:sz w:val="19"/>
        </w:rPr>
        <w:t>, which were expensed as incurred and included in general and administrative expenses in the consolidated statements of income (loss) for the year ended December 31, 2022. These acquisition-related costs included legal, accounting, and other professional and consulting fees.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Under the acquisition method of accounting, the purchase price is allocated to identifiable assets acquired and liabilities assumed based on their fair values on the acquisition date. The following table provides the fair values of the identifiable assets acquired and liabilities assumed as of the acquisition date (in thousands):</w:t>
      </w:r>
    </w:p>
    <w:p>
      <w:pPr>
        <w:pStyle w:val="TextBody"/>
        <w:bidi w:val="0"/>
        <w:spacing w:before="0" w:after="0"/>
        <w:jc w:val="left"/>
        <w:rPr/>
      </w:pPr>
      <w:r>
        <w:rPr/>
      </w:r>
    </w:p>
    <w:tbl>
      <w:tblPr>
        <w:tblW w:w="4866" w:type="dxa"/>
        <w:jc w:val="left"/>
        <w:tblInd w:w="0" w:type="dxa"/>
        <w:tblLayout w:type="fixed"/>
        <w:tblCellMar>
          <w:top w:w="28" w:type="dxa"/>
          <w:left w:w="28" w:type="dxa"/>
          <w:bottom w:w="28" w:type="dxa"/>
          <w:right w:w="28" w:type="dxa"/>
        </w:tblCellMar>
      </w:tblPr>
      <w:tblGrid>
        <w:gridCol w:w="1395"/>
        <w:gridCol w:w="1218"/>
        <w:gridCol w:w="1242"/>
        <w:gridCol w:w="211"/>
        <w:gridCol w:w="64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identifiable net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Goodwill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ASC 805 establishes a measurement period to provide companies with a reasonable amount of time to obtain the information necessary to identify and measure various items in a business combination and cannot extend beyond one year from the acquisition date. The measurement period adjustments had an immaterial offsetting impact to Goodwill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4"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fair value of the identifiable intangible assets acquired (in thousands) and weighted-average useful life:</w:t>
      </w:r>
    </w:p>
    <w:tbl>
      <w:tblPr>
        <w:tblW w:w="6647" w:type="dxa"/>
        <w:jc w:val="left"/>
        <w:tblInd w:w="0" w:type="dxa"/>
        <w:tblLayout w:type="fixed"/>
        <w:tblCellMar>
          <w:top w:w="28" w:type="dxa"/>
          <w:left w:w="28" w:type="dxa"/>
          <w:bottom w:w="28" w:type="dxa"/>
          <w:right w:w="28" w:type="dxa"/>
        </w:tblCellMar>
      </w:tblPr>
      <w:tblGrid>
        <w:gridCol w:w="989"/>
        <w:gridCol w:w="869"/>
        <w:gridCol w:w="872"/>
        <w:gridCol w:w="211"/>
        <w:gridCol w:w="646"/>
        <w:gridCol w:w="109"/>
        <w:gridCol w:w="109"/>
        <w:gridCol w:w="109"/>
        <w:gridCol w:w="109"/>
        <w:gridCol w:w="768"/>
        <w:gridCol w:w="768"/>
        <w:gridCol w:w="1088"/>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Useful Lives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years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Fair value of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9"/>
          <w:shd w:fill="FFFFFF" w:val="clear"/>
        </w:rPr>
        <w:t>Goodwill generated from this business combination is attributed to synergies between the Company’s and Semifore’s respective products and services and is housed within the Company’s single operating segment. In 2022, t</w:t>
      </w:r>
      <w:r>
        <w:rPr>
          <w:rFonts w:ascii="Arial;sans-serif" w:hAnsi="Arial;sans-serif"/>
          <w:b w:val="false"/>
          <w:color w:val="000000"/>
          <w:sz w:val="19"/>
        </w:rPr>
        <w:t>he Company recorded $0.5 million deferred tax liability as a result of the Acquisition. The Company does not have any tax basis in the total goodwill of $1.5 million and the goodwill is non-deductible for income tax purposes. T</w:t>
      </w:r>
      <w:r>
        <w:rPr>
          <w:rFonts w:ascii="Arial;sans-serif" w:hAnsi="Arial;sans-serif"/>
          <w:b w:val="false"/>
          <w:color w:val="000000"/>
          <w:sz w:val="19"/>
          <w:shd w:fill="FFFFFF" w:val="clear"/>
        </w:rPr>
        <w:t>he revenue and earnings of the acquired business have been included in the Company’s results since the acquisition date and are not material to the Company’s consolidated financial results.</w:t>
      </w:r>
    </w:p>
    <w:p>
      <w:pPr>
        <w:pStyle w:val="TextBody"/>
        <w:bidi w:val="0"/>
        <w:spacing w:lineRule="auto" w:line="288" w:before="180" w:after="283"/>
        <w:jc w:val="both"/>
        <w:rPr/>
      </w:pPr>
      <w:r>
        <w:rPr>
          <w:rFonts w:ascii="Arial;sans-serif" w:hAnsi="Arial;sans-serif"/>
          <w:b w:val="false"/>
          <w:color w:val="000000"/>
          <w:sz w:val="19"/>
          <w:shd w:fill="FFFFFF" w:val="clear"/>
        </w:rPr>
        <w:t>Pro forma results of operations for the acquisition have not been presented because they are not material to the Company's consolidated results of operations.</w:t>
      </w:r>
      <w:r>
        <w:rPr>
          <w:color w:val="000000"/>
        </w:rPr>
        <w:t xml:space="preserve">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Magillem Acquisition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November 30, 2020, the Company, through Arteris IP SAS, its wholly owned subsidiary, completed the acquisition of Magillem Design Services SA (Magillem), by acquiring certain assets and assumed liabilities of Magillem in an all-cash transaction to expand the Company’s SIA technology. Magillem is a leading provider of complex design flow and content management software solutions.</w:t>
      </w:r>
    </w:p>
    <w:p>
      <w:pPr>
        <w:pStyle w:val="TextBody"/>
        <w:bidi w:val="0"/>
        <w:spacing w:lineRule="auto" w:line="288" w:before="180" w:after="283"/>
        <w:jc w:val="both"/>
        <w:rPr/>
      </w:pPr>
      <w:r>
        <w:rPr>
          <w:rFonts w:ascii="Arial;sans-serif" w:hAnsi="Arial;sans-serif"/>
          <w:b w:val="false"/>
          <w:color w:val="000000"/>
          <w:sz w:val="19"/>
        </w:rPr>
        <w:t xml:space="preserve">The total purchase consideration was </w:t>
      </w:r>
      <w:r>
        <w:rPr>
          <w:rFonts w:ascii="Arial;sans-serif" w:hAnsi="Arial;sans-serif"/>
          <w:b w:val="false"/>
          <w:color w:val="000000"/>
          <w:sz w:val="19"/>
          <w:shd w:fill="FFFFFF" w:val="clear"/>
        </w:rPr>
        <w:t>$7.8 million</w:t>
      </w:r>
      <w:r>
        <w:rPr>
          <w:rFonts w:ascii="Arial;sans-serif" w:hAnsi="Arial;sans-serif"/>
          <w:b w:val="false"/>
          <w:color w:val="000000"/>
          <w:sz w:val="19"/>
        </w:rPr>
        <w:t xml:space="preserve">, of which </w:t>
      </w:r>
      <w:r>
        <w:rPr>
          <w:rFonts w:ascii="Arial;sans-serif" w:hAnsi="Arial;sans-serif"/>
          <w:b w:val="false"/>
          <w:color w:val="000000"/>
          <w:sz w:val="19"/>
          <w:shd w:fill="FFFFFF" w:val="clear"/>
        </w:rPr>
        <w:t>$2.8 million</w:t>
      </w:r>
      <w:r>
        <w:rPr>
          <w:color w:val="000000"/>
        </w:rPr>
        <w:t xml:space="preserve"> </w:t>
      </w:r>
      <w:r>
        <w:rPr>
          <w:rFonts w:ascii="Arial;sans-serif" w:hAnsi="Arial;sans-serif"/>
          <w:b w:val="false"/>
          <w:color w:val="000000"/>
          <w:sz w:val="19"/>
        </w:rPr>
        <w:t xml:space="preserve">was the estimated contingent consideration which represents the fair value of additional consideration payable to the seller upon (a) the achievement of specified milestones, estimated using the income approach and (b) in relation to potential indemnity claims. The contingent consideration payments are tied to a number of metrics, including claims received by the Company and certain product development, customer and revenue metrics in the one to three years after acquisition. As of </w:t>
      </w:r>
      <w:r>
        <w:rPr>
          <w:rFonts w:ascii="Arial;sans-serif" w:hAnsi="Arial;sans-serif"/>
          <w:b w:val="false"/>
          <w:color w:val="000000"/>
          <w:sz w:val="19"/>
          <w:shd w:fill="FFFFFF" w:val="clear"/>
        </w:rPr>
        <w:t>December 31, 2023</w:t>
      </w:r>
      <w:r>
        <w:rPr>
          <w:rFonts w:ascii="Arial;sans-serif" w:hAnsi="Arial;sans-serif"/>
          <w:b w:val="false"/>
          <w:color w:val="000000"/>
          <w:sz w:val="19"/>
        </w:rPr>
        <w:t>, there were zero contingent consideration payments remaining relating to Magillem</w:t>
      </w:r>
      <w:r>
        <w:rPr>
          <w:color w:val="000000"/>
          <w:shd w:fill="FFFFFF" w:val="clear"/>
        </w:rPr>
        <w:t xml:space="preserve"> </w:t>
      </w:r>
      <w:r>
        <w:rPr>
          <w:rFonts w:ascii="Arial;sans-serif" w:hAnsi="Arial;sans-serif"/>
          <w:b w:val="false"/>
          <w:color w:val="000000"/>
          <w:sz w:val="19"/>
          <w:shd w:fill="FFFFFF" w:val="clear"/>
        </w:rPr>
        <w:t>after the settlement of $1.5 million liability in 2022 and $1.3 million in 2023</w:t>
      </w:r>
      <w:r>
        <w:rPr>
          <w:rFonts w:ascii="Arial;sans-serif" w:hAnsi="Arial;sans-serif"/>
          <w:b w:val="false"/>
          <w:color w:val="000000"/>
          <w:sz w:val="19"/>
        </w:rPr>
        <w:t>, recorded as part of accrued expenses and other current liabilities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10. LEASES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leases its offices and data center hosting space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Total operating lease related costs were as follows (in thousands):</w:t>
      </w:r>
    </w:p>
    <w:tbl>
      <w:tblPr>
        <w:tblW w:w="4516" w:type="dxa"/>
        <w:jc w:val="left"/>
        <w:tblInd w:w="0" w:type="dxa"/>
        <w:tblLayout w:type="fixed"/>
        <w:tblCellMar>
          <w:top w:w="28" w:type="dxa"/>
          <w:left w:w="28" w:type="dxa"/>
          <w:bottom w:w="28" w:type="dxa"/>
          <w:right w:w="28" w:type="dxa"/>
        </w:tblCellMar>
      </w:tblPr>
      <w:tblGrid>
        <w:gridCol w:w="722"/>
        <w:gridCol w:w="635"/>
        <w:gridCol w:w="637"/>
        <w:gridCol w:w="211"/>
        <w:gridCol w:w="646"/>
        <w:gridCol w:w="109"/>
        <w:gridCol w:w="109"/>
        <w:gridCol w:w="109"/>
        <w:gridCol w:w="109"/>
        <w:gridCol w:w="211"/>
        <w:gridCol w:w="646"/>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Short-term lease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weighted-average remaining term of the Company’s operating leases was 4.8 years and 3.1 years as of December 31, 2023 and 2022, respectively, and the weighted-average discount rate used to measure the present value of the operating lease liabilities was 10.0% and 7.5% as of December 31, 2023 and 2022, respectively. Cash payments made related to operating lease liabilities were $1.0 million and $1.1 million for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5"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Maturities of operating lease liabilities as of December 31, 2023 were as follows (in thousands):</w:t>
      </w:r>
    </w:p>
    <w:tbl>
      <w:tblPr>
        <w:tblW w:w="4161" w:type="dxa"/>
        <w:jc w:val="left"/>
        <w:tblInd w:w="0" w:type="dxa"/>
        <w:tblLayout w:type="fixed"/>
        <w:tblCellMar>
          <w:top w:w="28" w:type="dxa"/>
          <w:left w:w="28" w:type="dxa"/>
          <w:bottom w:w="28" w:type="dxa"/>
          <w:right w:w="28" w:type="dxa"/>
        </w:tblCellMar>
      </w:tblPr>
      <w:tblGrid>
        <w:gridCol w:w="1142"/>
        <w:gridCol w:w="1001"/>
        <w:gridCol w:w="1007"/>
        <w:gridCol w:w="211"/>
        <w:gridCol w:w="646"/>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Fiscal year ending December 31,</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Present value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Lease liabilities, noncurrent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May 2023, the Company entered into an operating lease agreement for a new headquarter facility in Campbell, California with future lease payments of $2.6 million. The lease commenced in October 2023 with a lease term of approximately 5.4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11. BORROWINGS</w:t>
      </w:r>
    </w:p>
    <w:p>
      <w:pPr>
        <w:pStyle w:val="TextBody"/>
        <w:bidi w:val="0"/>
        <w:spacing w:lineRule="auto" w:line="288" w:before="180" w:after="283"/>
        <w:jc w:val="both"/>
        <w:rPr/>
      </w:pPr>
      <w:r>
        <w:rPr>
          <w:rFonts w:ascii="Arial;sans-serif" w:hAnsi="Arial;sans-serif"/>
          <w:b/>
          <w:color w:val="000000"/>
          <w:sz w:val="19"/>
          <w:shd w:fill="FFFFFF" w:val="clear"/>
        </w:rPr>
        <w:t>Vendor financing arrangements</w:t>
      </w:r>
      <w:r>
        <w:rPr>
          <w:color w:val="000000"/>
          <w:shd w:fill="FFFFFF" w:val="clear"/>
        </w:rPr>
        <w:t>—</w:t>
      </w:r>
      <w:r>
        <w:rPr>
          <w:rFonts w:ascii="Arial;sans-serif" w:hAnsi="Arial;sans-serif"/>
          <w:b w:val="false"/>
          <w:color w:val="000000"/>
          <w:sz w:val="19"/>
          <w:shd w:fill="FFFFFF" w:val="clear"/>
        </w:rPr>
        <w:t xml:space="preserve">The Company has various vendor financing arrangements with extended payment terms on the purchase of software licenses and equipment. In order to determine the present value of the commitments, the Company used an imputed interest rate of 10.0%, which is an estimate based on the Company’s collateralized borrowing rate.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Expected cash flows related to vendor financing arrangements as of December 31, 2023 were as follows (in thousands):</w:t>
      </w:r>
    </w:p>
    <w:tbl>
      <w:tblPr>
        <w:tblW w:w="5286" w:type="dxa"/>
        <w:jc w:val="left"/>
        <w:tblInd w:w="0" w:type="dxa"/>
        <w:tblLayout w:type="fixed"/>
        <w:tblCellMar>
          <w:top w:w="28" w:type="dxa"/>
          <w:left w:w="28" w:type="dxa"/>
          <w:bottom w:w="28" w:type="dxa"/>
          <w:right w:w="28" w:type="dxa"/>
        </w:tblCellMar>
      </w:tblPr>
      <w:tblGrid>
        <w:gridCol w:w="1548"/>
        <w:gridCol w:w="1357"/>
        <w:gridCol w:w="1370"/>
        <w:gridCol w:w="211"/>
        <w:gridCol w:w="64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Imputed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Present value of vendor financing arrangements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Vendor financing arrangements, current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Vendor financing arrangements, noncurrent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expense from vendor financing arrangements was $0.2 million and $0.1 million 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12. COMMITMENTS AND CONTINGENCIES</w:t>
      </w:r>
    </w:p>
    <w:p>
      <w:pPr>
        <w:pStyle w:val="TextBody"/>
        <w:bidi w:val="0"/>
        <w:spacing w:lineRule="auto" w:line="288" w:before="180" w:after="283"/>
        <w:jc w:val="both"/>
        <w:rPr/>
      </w:pPr>
      <w:r>
        <w:rPr>
          <w:rFonts w:ascii="Arial;sans-serif" w:hAnsi="Arial;sans-serif"/>
          <w:b/>
          <w:color w:val="000000"/>
          <w:sz w:val="19"/>
          <w:shd w:fill="FFFFFF" w:val="clear"/>
        </w:rPr>
        <w:t>Letter of Credit—</w:t>
      </w:r>
      <w:r>
        <w:rPr>
          <w:rFonts w:ascii="Arial;sans-serif" w:hAnsi="Arial;sans-serif"/>
          <w:b w:val="false"/>
          <w:color w:val="000000"/>
          <w:sz w:val="19"/>
          <w:shd w:fill="FFFFFF" w:val="clear"/>
        </w:rPr>
        <w:t>In conjunction with the execution of the operating lease for the Company’s new headquarter facility, a letter of credit in the amount of $0.4 million was issued and outstanding as of December 31, 2023. No draws have been made under such letter of credit. There was no letter of credit issued and outstanding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06"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color w:val="000000"/>
          <w:sz w:val="19"/>
          <w:shd w:fill="FFFFFF" w:val="clear"/>
        </w:rPr>
        <w:t>Indemnifications</w:t>
      </w:r>
      <w:r>
        <w:rPr>
          <w:color w:val="000000"/>
          <w:shd w:fill="FFFFFF" w:val="clear"/>
        </w:rPr>
        <w:t>—</w:t>
      </w:r>
      <w:r>
        <w:rPr>
          <w:rFonts w:ascii="Arial;sans-serif" w:hAnsi="Arial;sans-serif"/>
          <w:b w:val="false"/>
          <w:color w:val="000000"/>
          <w:sz w:val="19"/>
          <w:shd w:fill="FFFFFF" w:val="clear"/>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incurred no actual payment obligations from these above-noted indemnification provisions and director and officer indemnity agreements during 2023 and 2022, and the consolidated financial statements do not include liabilities for any potential indemnity-related obligations as of December 31, 2023 and 2022.</w:t>
      </w:r>
    </w:p>
    <w:p>
      <w:pPr>
        <w:pStyle w:val="TextBody"/>
        <w:bidi w:val="0"/>
        <w:spacing w:lineRule="auto" w:line="288" w:before="180" w:after="283"/>
        <w:jc w:val="both"/>
        <w:rPr/>
      </w:pPr>
      <w:r>
        <w:rPr>
          <w:rFonts w:ascii="Arial;sans-serif" w:hAnsi="Arial;sans-serif"/>
          <w:b/>
          <w:color w:val="000000"/>
          <w:sz w:val="19"/>
          <w:shd w:fill="FFFFFF" w:val="clear"/>
        </w:rPr>
        <w:t>Legal</w:t>
      </w:r>
      <w:r>
        <w:rPr>
          <w:color w:val="000000"/>
          <w:shd w:fill="FFFFFF" w:val="clear"/>
        </w:rPr>
        <w:t>—</w:t>
      </w:r>
      <w:r>
        <w:rPr>
          <w:rFonts w:ascii="Arial;sans-serif" w:hAnsi="Arial;sans-serif"/>
          <w:b w:val="false"/>
          <w:color w:val="000000"/>
          <w:sz w:val="19"/>
          <w:shd w:fill="FFFFFF" w:val="clear"/>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normal course of business, the Company may receive inquiries or become involved in legal disputes regarding such litigation matters.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December 2022, the Company received notice of a complaint filed against the Company and another defendant in the semiconductor industry, by Network System Technologies, LLC in the United States District Court for the Western District of Texas, and additional complaints were filed in the Eastern District of Texas against certain companies, including some customers of the Company, asserting among other things patent infringement relating to the Company’s technology seeking damages and injunctive relief. The Company filed a Motion to Dismiss the indirect and willful infringement claims in the Amended Complaint on September 5, 2023 which remains pending in the Western District of Texas, and an initial Claim Construction hearing was held on December 21, 2023. These complaints and claims are still in early and varying stages among the courts in which complaints were filed, are multiple in number, complex in subject matter, and indeterminate as to the amount of damages sought. The Company continues to vigorously defend itself in respect to these complaints and anticipates an increase in legal expenses to do so.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Due to the inherent uncertainties and complex technical issues arising from such intellectual property litigation, the Company cannot predict or guarantee any result of such intellectual property litigation. As with any such litigation at its initial stages, the Company cannot comment on the possible final litigation results of ongoing litigation or the risk whether the Company may not prevail in such intellectual property litigation. In addition, such litigation may make it necessary to support or defend the Company or the Company’s customers relating to the claims in the litigation.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ultimate outcome of the litigation, like any litigation, is uncertain and, regardless of outcome, litigation can have an adverse impact on the Company because of defense costs, potential negative publicity, diversion of management resources and other factors, which in turn may have a material adverse impact on the Company’s business, consolidated financial position, results of operations, or cash flows. As intellectual property claims are inherently unpredictable, the Company is currently evaluating whether such matters may have a material adverse effect on the Company’s financial position, results of operations, or cash flows.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significant judgement is required in both the determination of probability and determination as to whether a loss is reasonably estimable. Future revisions to such estimates could materially impact the Company’s results. Accordingly, there can be no assurance that existing or any future legal proceedings for liability estimates arising in the ordinary course of business or otherwise will not have a material adverse effect on the Company’s business, consolidated financial position, results of operations or cash flows.</w:t>
      </w:r>
    </w:p>
    <w:p>
      <w:pPr>
        <w:pStyle w:val="TextBody"/>
        <w:bidi w:val="0"/>
        <w:spacing w:lineRule="auto" w:line="26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no other material contractual noncancelable commitments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07"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13. COMMON STOCK AND STOCKHOLDERS’ EQUITY</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its Initial Public Offering in October 2021, the Company amended and restated its certificate of incorporation to authorize 300,000,000 shares of common stock.</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Stock Repurchases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were no repurchased shares for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14. STOCK-BASED COMPENSATION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2016 Stock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 </w:t>
      </w:r>
    </w:p>
    <w:p>
      <w:pPr>
        <w:pStyle w:val="TextBody"/>
        <w:bidi w:val="0"/>
        <w:spacing w:lineRule="auto" w:line="288" w:before="180" w:after="283"/>
        <w:jc w:val="both"/>
        <w:rPr/>
      </w:pPr>
      <w:r>
        <w:rPr>
          <w:rFonts w:ascii="Arial;sans-serif" w:hAnsi="Arial;sans-serif"/>
          <w:b w:val="false"/>
          <w:color w:val="000000"/>
          <w:sz w:val="19"/>
          <w:shd w:fill="FFFFFF" w:val="clear"/>
        </w:rPr>
        <w:t>The 2016 Plan provides for the granting of the following types of stock awards: incentive stock options, non-statutory stock options, stock appreciation rights (SARs), restricted stock awards, restricted stock unit awards (RSUs)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w:t>
      </w:r>
      <w:r>
        <w:rPr>
          <w:rFonts w:ascii="Arial;sans-serif" w:hAnsi="Arial;sans-serif"/>
          <w:b w:val="false"/>
          <w:color w:val="000000"/>
          <w:sz w:val="19"/>
        </w:rPr>
        <w:t xml:space="preserve">ith none remaining </w:t>
      </w:r>
      <w:r>
        <w:rPr>
          <w:rFonts w:ascii="Arial;sans-serif" w:hAnsi="Arial;sans-serif"/>
          <w:b w:val="false"/>
          <w:color w:val="000000"/>
          <w:sz w:val="19"/>
          <w:shd w:fill="FFFFFF" w:val="clear"/>
        </w:rPr>
        <w:t>available for future grant under the 2016 Plan.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2021 Stock Plan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2021 Employee stock purchase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adopted the 2021 Employee Stock Purchase Plan (the 2021 ESPP) effective on October 26, 2021. The 2021 ESPP would enable eligible employees of the Company to purchase shares of common stock at a discount to fair market value. As of December 31, 2023, there had been no offering period under the ESPP.</w:t>
      </w:r>
    </w:p>
    <w:p>
      <w:pPr>
        <w:pStyle w:val="TextBody"/>
        <w:bidi w:val="0"/>
        <w:spacing w:lineRule="auto" w:line="288" w:before="180" w:after="283"/>
        <w:jc w:val="both"/>
        <w:rPr>
          <w:rFonts w:ascii="Arial;sans-serif" w:hAnsi="Arial;sans-serif"/>
          <w:b/>
          <w:i/>
          <w:color w:val="000000"/>
          <w:sz w:val="19"/>
        </w:rPr>
      </w:pPr>
      <w:r>
        <w:rPr>
          <w:rFonts w:ascii="Arial;sans-serif" w:hAnsi="Arial;sans-serif"/>
          <w:b/>
          <w:i/>
          <w:color w:val="000000"/>
          <w:sz w:val="19"/>
        </w:rPr>
        <w:t>2022 Employment Inducement Incentive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or other stock or cash based awards. Awards under the 2022 Inducement Plan can only be made to newly hired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08"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Shares Available for Future Grant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available for future grant consisted of the following:</w:t>
      </w:r>
    </w:p>
    <w:tbl>
      <w:tblPr>
        <w:tblW w:w="8781" w:type="dxa"/>
        <w:jc w:val="left"/>
        <w:tblInd w:w="0" w:type="dxa"/>
        <w:tblLayout w:type="fixed"/>
        <w:tblCellMar>
          <w:top w:w="28" w:type="dxa"/>
          <w:left w:w="28" w:type="dxa"/>
          <w:bottom w:w="28" w:type="dxa"/>
          <w:right w:w="28" w:type="dxa"/>
        </w:tblCellMar>
      </w:tblPr>
      <w:tblGrid>
        <w:gridCol w:w="2093"/>
        <w:gridCol w:w="1838"/>
        <w:gridCol w:w="1844"/>
        <w:gridCol w:w="510"/>
        <w:gridCol w:w="511"/>
        <w:gridCol w:w="178"/>
        <w:gridCol w:w="178"/>
        <w:gridCol w:w="178"/>
        <w:gridCol w:w="178"/>
        <w:gridCol w:w="510"/>
        <w:gridCol w:w="511"/>
        <w:gridCol w:w="252"/>
      </w:tblGrid>
      <w:tr>
        <w:trPr/>
        <w:tc>
          <w:tcPr>
            <w:tcW w:w="209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Shares available for future grant under the 2021 Plan</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3,230,183 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3,318,979 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Shares available for future grant under the 2021 ESPP</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1,268,564 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922,306 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Shares available for future grant under the 2022 Inducement Plan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1,003,680 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1,489,163 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issues new shares upon a share option exercise or release of restricted stock units.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Stock Options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stock option activities under the Company’s 2016 Plan:</w:t>
      </w:r>
    </w:p>
    <w:tbl>
      <w:tblPr>
        <w:tblW w:w="10205" w:type="dxa"/>
        <w:jc w:val="left"/>
        <w:tblInd w:w="0" w:type="dxa"/>
        <w:tblLayout w:type="fixed"/>
        <w:tblCellMar>
          <w:top w:w="28" w:type="dxa"/>
          <w:left w:w="28" w:type="dxa"/>
          <w:bottom w:w="28" w:type="dxa"/>
          <w:right w:w="28" w:type="dxa"/>
        </w:tblCellMar>
      </w:tblPr>
      <w:tblGrid>
        <w:gridCol w:w="1653"/>
        <w:gridCol w:w="1451"/>
        <w:gridCol w:w="1460"/>
        <w:gridCol w:w="510"/>
        <w:gridCol w:w="511"/>
        <w:gridCol w:w="500"/>
        <w:gridCol w:w="109"/>
        <w:gridCol w:w="109"/>
        <w:gridCol w:w="109"/>
        <w:gridCol w:w="224"/>
        <w:gridCol w:w="575"/>
        <w:gridCol w:w="117"/>
        <w:gridCol w:w="109"/>
        <w:gridCol w:w="109"/>
        <w:gridCol w:w="109"/>
        <w:gridCol w:w="367"/>
        <w:gridCol w:w="367"/>
        <w:gridCol w:w="369"/>
        <w:gridCol w:w="109"/>
        <w:gridCol w:w="109"/>
        <w:gridCol w:w="109"/>
        <w:gridCol w:w="211"/>
        <w:gridCol w:w="751"/>
        <w:gridCol w:w="158"/>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Values</w:t>
              <w:br/>
              <w:t>($‘000s)</w:t>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Balance—December 31, 2022</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3,542,836 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420,000 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(932,738)</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Canceled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(188,334)</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Balance—December 31,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2,841,764 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Options vested and exercisable—December 31, 2023</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2,351,656 </w:t>
            </w:r>
          </w:p>
        </w:tc>
        <w:tc>
          <w:tcPr>
            <w:tcW w:w="5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Options vested and exercisable—December 31, 2022</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2,752,055 </w:t>
            </w:r>
          </w:p>
        </w:tc>
        <w:tc>
          <w:tcPr>
            <w:tcW w:w="5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aggregate intrinsic value of the options exercised for the years ended December 31, 2023 and 2022 was $5.0 million and $11.7 million, respectively. The total grant-date fair value of options vested was $0.4 million and $0.3 million for the years ended December 31, 2023 and 2022, respectively.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amount of cash received by the Company for the exercise of stock options was $0.5 million and $0.9 million for the years ended December 31, 2023 and 2022, respectively.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there was $1.1 million of unamortized stock-based compensation cost related to unvested stock options, which is expected to be recognized over a weighted-average period of 3.0 years.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Stock options granted generally have a maximum term of ten years from the grant date and generally vest over a period of four years with 25% vesting after one year and then monthly or quarterly thereafter for three years.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each stock option granted is estimated using the Black-Scholes option-pricing model. The Company determines valuation assumptions for Black-Scholes as follows:</w:t>
      </w:r>
    </w:p>
    <w:p>
      <w:pPr>
        <w:pStyle w:val="TextBody"/>
        <w:bidi w:val="0"/>
        <w:spacing w:lineRule="auto" w:line="288" w:before="180" w:after="283"/>
        <w:jc w:val="left"/>
        <w:rPr/>
      </w:pPr>
      <w:r>
        <w:rPr>
          <w:rFonts w:ascii="Arial;sans-serif" w:hAnsi="Arial;sans-serif"/>
          <w:b/>
          <w:i/>
          <w:color w:val="000000"/>
          <w:sz w:val="19"/>
          <w:shd w:fill="FFFFFF" w:val="clear"/>
        </w:rPr>
        <w:t>Risk-Free Interest Rate</w:t>
      </w:r>
      <w:r>
        <w:rPr>
          <w:color w:val="000000"/>
          <w:shd w:fill="FFFFFF" w:val="clear"/>
        </w:rPr>
        <w:t>—</w:t>
      </w:r>
      <w:r>
        <w:rPr>
          <w:rFonts w:ascii="Arial;sans-serif" w:hAnsi="Arial;sans-serif"/>
          <w:b w:val="false"/>
          <w:color w:val="000000"/>
          <w:sz w:val="19"/>
          <w:shd w:fill="FFFFFF" w:val="clear"/>
        </w:rPr>
        <w:t>The Company bases the risk-free interest rate used in the Black-Scholes option-pricing model on the implied yield available on US Treasury zero coupon issues with an equivalent expected term of the options for each option group.</w:t>
      </w:r>
    </w:p>
    <w:p>
      <w:pPr>
        <w:pStyle w:val="TextBody"/>
        <w:bidi w:val="0"/>
        <w:spacing w:lineRule="auto" w:line="288" w:before="180" w:after="283"/>
        <w:jc w:val="both"/>
        <w:rPr/>
      </w:pPr>
      <w:r>
        <w:rPr>
          <w:rFonts w:ascii="Arial;sans-serif" w:hAnsi="Arial;sans-serif"/>
          <w:b/>
          <w:i/>
          <w:color w:val="000000"/>
          <w:sz w:val="19"/>
          <w:shd w:fill="FFFFFF" w:val="clear"/>
        </w:rPr>
        <w:t>Expected Term</w:t>
      </w:r>
      <w:r>
        <w:rPr>
          <w:color w:val="000000"/>
          <w:shd w:fill="FFFFFF" w:val="clear"/>
        </w:rPr>
        <w:t>—</w:t>
      </w:r>
      <w:r>
        <w:rPr>
          <w:rFonts w:ascii="Arial;sans-serif" w:hAnsi="Arial;sans-serif"/>
          <w:b w:val="false"/>
          <w:color w:val="000000"/>
          <w:sz w:val="19"/>
          <w:shd w:fill="FFFFFF" w:val="clear"/>
        </w:rPr>
        <w:t>The expected term represents the period that the Company’s stock-based awards are expected to be outstanding. The expected term assumption is based on the simplified method. The Company expects to continue using the simplified method until sufficient information about the Company’s historical behavior is available.</w:t>
      </w:r>
    </w:p>
    <w:p>
      <w:pPr>
        <w:pStyle w:val="TextBody"/>
        <w:bidi w:val="0"/>
        <w:spacing w:lineRule="auto" w:line="288" w:before="180" w:after="283"/>
        <w:jc w:val="both"/>
        <w:rPr/>
      </w:pPr>
      <w:r>
        <w:rPr>
          <w:rFonts w:ascii="Arial;sans-serif" w:hAnsi="Arial;sans-serif"/>
          <w:b/>
          <w:i/>
          <w:color w:val="000000"/>
          <w:sz w:val="19"/>
          <w:shd w:fill="FFFFFF" w:val="clear"/>
        </w:rPr>
        <w:t>Volatility</w:t>
      </w:r>
      <w:r>
        <w:rPr>
          <w:color w:val="000000"/>
          <w:shd w:fill="FFFFFF" w:val="clear"/>
        </w:rPr>
        <w:t>—</w:t>
      </w:r>
      <w:r>
        <w:rPr>
          <w:rFonts w:ascii="Arial;sans-serif" w:hAnsi="Arial;sans-serif"/>
          <w:b w:val="false"/>
          <w:color w:val="000000"/>
          <w:sz w:val="19"/>
          <w:shd w:fill="FFFFFF" w:val="clear"/>
        </w:rPr>
        <w:t>The Company determines the price volatility factor based on the historical volatilities of the Company’s peer group as the Company does not have sufficient trading history for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09"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Dividend Yield</w:t>
      </w:r>
      <w:r>
        <w:rPr>
          <w:color w:val="000000"/>
          <w:shd w:fill="FFFFFF" w:val="clear"/>
        </w:rPr>
        <w:t>—</w:t>
      </w:r>
      <w:r>
        <w:rPr>
          <w:rFonts w:ascii="Arial;sans-serif" w:hAnsi="Arial;sans-serif"/>
          <w:b w:val="false"/>
          <w:color w:val="000000"/>
          <w:sz w:val="19"/>
          <w:shd w:fill="FFFFFF" w:val="clear"/>
        </w:rPr>
        <w:t>The Company has never declared or paid any cash dividend and does not currently plan to pay a cash dividend in the foreseeable future. Consequently, the Company used an expected dividend yield of zero.</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Options Valuation Assumptions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valuation assumptions:</w:t>
      </w:r>
    </w:p>
    <w:tbl>
      <w:tblPr>
        <w:tblW w:w="4309"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389"/>
        <w:gridCol w:w="389"/>
        <w:gridCol w:w="391"/>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Year Ended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$6.54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granted 420,000 stock options during the year ended December 31, 2023 and had no stock option grants during the year ended December 31, 2022.</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Restricted Stock Units and Awards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restricted stock unit activities under the Company’s 2016 and 2021 Plan and the 2022 Inducement Plan:</w:t>
      </w:r>
    </w:p>
    <w:tbl>
      <w:tblPr>
        <w:tblW w:w="8952" w:type="dxa"/>
        <w:jc w:val="left"/>
        <w:tblInd w:w="0" w:type="dxa"/>
        <w:tblLayout w:type="fixed"/>
        <w:tblCellMar>
          <w:top w:w="28" w:type="dxa"/>
          <w:left w:w="28" w:type="dxa"/>
          <w:bottom w:w="28" w:type="dxa"/>
          <w:right w:w="28" w:type="dxa"/>
        </w:tblCellMar>
      </w:tblPr>
      <w:tblGrid>
        <w:gridCol w:w="1027"/>
        <w:gridCol w:w="902"/>
        <w:gridCol w:w="906"/>
        <w:gridCol w:w="539"/>
        <w:gridCol w:w="541"/>
        <w:gridCol w:w="511"/>
        <w:gridCol w:w="134"/>
        <w:gridCol w:w="134"/>
        <w:gridCol w:w="134"/>
        <w:gridCol w:w="960"/>
        <w:gridCol w:w="2461"/>
        <w:gridCol w:w="703"/>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 Per Share</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Unvested—December 31, 2022</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5,619,013 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2,914,948 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Vested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(2,048,939)</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6.86 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Canceled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(752,072)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Unvested—December 31, 2023</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5,732,950 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6.56 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total grant-date fair value of restricted stock units vested was $15.0 million and $7.4 million during the years ended December 31, 2023 and 2022, respectively.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there was $30.4 million of unamortized stock-based compensation cost related to unvested restricted stock units, which is expected to be recognized over a weighted-average period of 2.7 years.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For RSUs granted under the 2016 Stock Plan, they contain both a service-based vesting condition and a performance-based vesting condition. The service-based vesting condition for these awards is generally satisfied by rendering continuous service for approximately four years, during which time the grants will vest periodically. The performance-based vesting condition of certain awards is satisfied in connection with the Company becoming a publicly listed company or a change in control.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RSUs granted under the 2021 Stock Plan and 2022 Inducement Plan, they contain the service-based vesting condition for these awards and it is generally satisfied by rendering continuous service typically satisfied over four years with a cliff vesting period of one year and continued vesting quarterly thereafter.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Restricted Common Stock</w:t>
      </w:r>
    </w:p>
    <w:p>
      <w:pPr>
        <w:pStyle w:val="TextBody"/>
        <w:bidi w:val="0"/>
        <w:spacing w:lineRule="auto" w:line="288" w:before="180" w:after="283"/>
        <w:jc w:val="both"/>
        <w:rPr/>
      </w:pPr>
      <w:r>
        <w:rPr>
          <w:rFonts w:ascii="Arial;sans-serif" w:hAnsi="Arial;sans-serif"/>
          <w:b w:val="false"/>
          <w:color w:val="000000"/>
          <w:sz w:val="19"/>
        </w:rPr>
        <w:t xml:space="preserve">In connection with the Semifore Acquisition (see Note 9), the Company issued 331,574 shares of common stock, out of which 96,715 shares of common stock vested on the first anniversary of the closing of the Acquisition. The remaining 234,859 shares of common stock remain unvested as of December 31, 2023 and will vest on the third anniversary of the closing of the Acquisition contingent on the continued employment of certain key employees. These shares had a grant date fair value of </w:t>
      </w:r>
      <w:r>
        <w:rPr>
          <w:rFonts w:ascii="Arial;sans-serif" w:hAnsi="Arial;sans-serif"/>
          <w:b w:val="false"/>
          <w:color w:val="000000"/>
          <w:sz w:val="19"/>
          <w:shd w:fill="FFFFFF" w:val="clear"/>
        </w:rPr>
        <w:t>$1.3 million</w:t>
      </w:r>
      <w:r>
        <w:rPr>
          <w:color w:val="000000"/>
        </w:rPr>
        <w:t xml:space="preserve"> </w:t>
      </w:r>
      <w:r>
        <w:rPr>
          <w:rFonts w:ascii="Arial;sans-serif" w:hAnsi="Arial;sans-serif"/>
          <w:b w:val="false"/>
          <w:color w:val="000000"/>
          <w:sz w:val="19"/>
        </w:rPr>
        <w:t xml:space="preserve">based on the closing stock price on the acquisition date. The Company will recognize total compensation cost of </w:t>
      </w:r>
      <w:r>
        <w:rPr>
          <w:rFonts w:ascii="Arial;sans-serif" w:hAnsi="Arial;sans-serif"/>
          <w:b w:val="false"/>
          <w:color w:val="000000"/>
          <w:sz w:val="19"/>
          <w:shd w:fill="FFFFFF" w:val="clear"/>
        </w:rPr>
        <w:t>$1.3 million</w:t>
      </w:r>
      <w:r>
        <w:rPr>
          <w:color w:val="000000"/>
        </w:rPr>
        <w:t xml:space="preserve"> </w:t>
      </w:r>
      <w:r>
        <w:rPr>
          <w:rFonts w:ascii="Arial;sans-serif" w:hAnsi="Arial;sans-serif"/>
          <w:b w:val="false"/>
          <w:color w:val="000000"/>
          <w:sz w:val="19"/>
        </w:rPr>
        <w:t xml:space="preserve">to be amortized on a straight-line basis over the total vesting period of three years. As of </w:t>
      </w:r>
      <w:r>
        <w:rPr>
          <w:rFonts w:ascii="Arial;sans-serif" w:hAnsi="Arial;sans-serif"/>
          <w:b w:val="false"/>
          <w:color w:val="000000"/>
          <w:sz w:val="19"/>
          <w:shd w:fill="FFFFFF" w:val="clear"/>
        </w:rPr>
        <w:t>December 31, 2023</w:t>
      </w:r>
      <w:r>
        <w:rPr>
          <w:rFonts w:ascii="Arial;sans-serif" w:hAnsi="Arial;sans-serif"/>
          <w:b w:val="false"/>
          <w:color w:val="000000"/>
          <w:sz w:val="19"/>
        </w:rPr>
        <w:t xml:space="preserve">, the total unamortized compensation cost was </w:t>
      </w:r>
      <w:r>
        <w:rPr>
          <w:rFonts w:ascii="Arial;sans-serif" w:hAnsi="Arial;sans-serif"/>
          <w:b w:val="false"/>
          <w:color w:val="000000"/>
          <w:sz w:val="19"/>
          <w:shd w:fill="FFFFFF" w:val="clear"/>
        </w:rPr>
        <w:t>$0.9 million</w:t>
      </w:r>
      <w:r>
        <w:rPr>
          <w:rFonts w:ascii="Arial;sans-serif" w:hAnsi="Arial;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0"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Stock-based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Stock-based compensation expense is recorded on a departmental basis, based on the classification of the award holder. The following table presents the amount of stock-based compensation related to stock-based awards to employees on the Company’s consolidated statements of loss (in thousands):</w:t>
      </w:r>
    </w:p>
    <w:tbl>
      <w:tblPr>
        <w:tblW w:w="5686" w:type="dxa"/>
        <w:jc w:val="left"/>
        <w:tblInd w:w="0" w:type="dxa"/>
        <w:tblLayout w:type="fixed"/>
        <w:tblCellMar>
          <w:top w:w="28" w:type="dxa"/>
          <w:left w:w="28" w:type="dxa"/>
          <w:bottom w:w="28" w:type="dxa"/>
          <w:right w:w="28" w:type="dxa"/>
        </w:tblCellMar>
      </w:tblPr>
      <w:tblGrid>
        <w:gridCol w:w="1071"/>
        <w:gridCol w:w="940"/>
        <w:gridCol w:w="943"/>
        <w:gridCol w:w="211"/>
        <w:gridCol w:w="751"/>
        <w:gridCol w:w="109"/>
        <w:gridCol w:w="109"/>
        <w:gridCol w:w="109"/>
        <w:gridCol w:w="109"/>
        <w:gridCol w:w="211"/>
        <w:gridCol w:w="751"/>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19"/>
          <w:shd w:fill="FFFFFF" w:val="clear"/>
        </w:rPr>
        <w:t xml:space="preserve">During the years ended December 31, 2023 and 2022, the Company recognized $0.4 million and </w:t>
      </w:r>
      <w:r>
        <w:rPr>
          <w:rFonts w:ascii="Arial;sans-serif" w:hAnsi="Arial;sans-serif"/>
          <w:b w:val="false"/>
          <w:color w:val="000000"/>
          <w:sz w:val="19"/>
        </w:rPr>
        <w:t>zero</w:t>
      </w:r>
      <w:r>
        <w:rPr>
          <w:rFonts w:ascii="Arial;sans-serif" w:hAnsi="Arial;sans-serif"/>
          <w:b w:val="false"/>
          <w:color w:val="000000"/>
          <w:sz w:val="19"/>
          <w:shd w:fill="FFFFFF" w:val="clear"/>
        </w:rPr>
        <w:t>, respectively as stock-based compensation expense for common stock issued as part of the Semifore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9"/>
        </w:rPr>
      </w:pPr>
      <w:r>
        <w:rPr>
          <w:rFonts w:ascii="Arial;sans-serif" w:hAnsi="Arial;sans-serif"/>
          <w:b/>
          <w:color w:val="000000"/>
          <w:sz w:val="19"/>
        </w:rPr>
        <w:t>15.    EQUITY METHOD INVESTMENT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On February 21, 2022, Arteris IP (Hong Kong) Ltd. (AHK), a wholly-owned subsidiary of the Company, entered into a Share Purchase and Shareholders Agreement (the SPA) with certain investors and Ningbo Transchip Information Consulting Partnership (Limited Partnership) (Management Co). The transaction closed on June 20, 2022. </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the investors and Management Co, pursuant to the SPA, subscribed to the registered capital of Transchip Technology (Nanjing) Co., Ltd. (Transchip), a formerly wholly-owned subsidiary of the Company. As a result, the registered capital of Transchip increased to </w:t>
      </w:r>
      <w:r>
        <w:rPr>
          <w:rFonts w:ascii="Arial;sans-serif" w:hAnsi="Arial;sans-serif"/>
          <w:b w:val="false"/>
          <w:color w:val="000000"/>
          <w:sz w:val="19"/>
        </w:rPr>
        <w:t>$29.4 million</w:t>
      </w:r>
      <w:r>
        <w:rPr>
          <w:rFonts w:ascii="Arial;sans-serif" w:hAnsi="Arial;sans-serif"/>
          <w:b w:val="false"/>
          <w:color w:val="000000"/>
          <w:sz w:val="19"/>
          <w:shd w:fill="FFFFFF" w:val="clear"/>
        </w:rPr>
        <w:t xml:space="preserve">. </w:t>
      </w:r>
      <w:r>
        <w:rPr>
          <w:rFonts w:ascii="Arial;sans-serif" w:hAnsi="Arial;sans-serif"/>
          <w:b w:val="false"/>
          <w:color w:val="000000"/>
          <w:sz w:val="19"/>
        </w:rPr>
        <w:t xml:space="preserve">The Company subscribed for the registered capital of approximately $11.9 million, of which $11.6 million </w:t>
      </w:r>
      <w:r>
        <w:rPr>
          <w:rFonts w:ascii="Arial;sans-serif" w:hAnsi="Arial;sans-serif"/>
          <w:b w:val="false"/>
          <w:color w:val="000000"/>
          <w:sz w:val="19"/>
          <w:shd w:fill="FFFFFF" w:val="clear"/>
        </w:rPr>
        <w:t xml:space="preserve">of the contribution was contributed in-kind by way of an interconnect solutions technology license by the Company pursuant to </w:t>
      </w:r>
      <w:r>
        <w:rPr>
          <w:rFonts w:ascii="Arial;sans-serif" w:hAnsi="Arial;sans-serif"/>
          <w:b w:val="false"/>
          <w:color w:val="000000"/>
          <w:sz w:val="19"/>
        </w:rPr>
        <w:t xml:space="preserve">a </w:t>
      </w:r>
      <w:r>
        <w:rPr>
          <w:rFonts w:ascii="Arial;sans-serif" w:hAnsi="Arial;sans-serif"/>
          <w:b w:val="false"/>
          <w:color w:val="000000"/>
          <w:sz w:val="19"/>
          <w:shd w:fill="FFFFFF" w:val="clear"/>
        </w:rPr>
        <w:t>five</w:t>
      </w:r>
      <w:r>
        <w:rPr>
          <w:rFonts w:ascii="Arial;sans-serif" w:hAnsi="Arial;sans-serif"/>
          <w:b w:val="false"/>
          <w:color w:val="000000"/>
          <w:sz w:val="19"/>
        </w:rPr>
        <w:t>-year</w:t>
      </w:r>
      <w:r>
        <w:rPr>
          <w:color w:val="000000"/>
          <w:shd w:fill="FFFFFF" w:val="clear"/>
        </w:rPr>
        <w:t xml:space="preserve"> </w:t>
      </w:r>
      <w:r>
        <w:rPr>
          <w:rFonts w:ascii="Arial;sans-serif" w:hAnsi="Arial;sans-serif"/>
          <w:b w:val="false"/>
          <w:color w:val="000000"/>
          <w:sz w:val="19"/>
          <w:shd w:fill="FFFFFF" w:val="clear"/>
        </w:rPr>
        <w:t>technology license and services agreement which can be extended automatically for another five-year term, and the remaining was paid in cash. Following the consummation of the foregoing transactions, the Company held 40.3% common stock of Transchip on a fully diluted basis.</w:t>
      </w:r>
    </w:p>
    <w:p>
      <w:pPr>
        <w:pStyle w:val="TextBody"/>
        <w:bidi w:val="0"/>
        <w:spacing w:lineRule="auto" w:line="288" w:before="180" w:after="283"/>
        <w:jc w:val="both"/>
        <w:rPr/>
      </w:pPr>
      <w:r>
        <w:rPr>
          <w:rFonts w:ascii="Arial;sans-serif" w:hAnsi="Arial;sans-serif"/>
          <w:b w:val="false"/>
          <w:color w:val="000000"/>
          <w:sz w:val="19"/>
        </w:rPr>
        <w:t xml:space="preserve">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other income (expense), net over a period of ten years on a straight line basis after delivery of the license. The license was delivered to Transchip on September 2, 2022. For the year ended December 31, 2023, the Company recognized income </w:t>
      </w:r>
      <w:r>
        <w:rPr>
          <w:rFonts w:ascii="Arial;sans-serif" w:hAnsi="Arial;sans-serif"/>
          <w:b w:val="false"/>
          <w:color w:val="000000"/>
          <w:sz w:val="19"/>
          <w:shd w:fill="FFFFFF" w:val="clear"/>
        </w:rPr>
        <w:t>of</w:t>
      </w:r>
      <w:r>
        <w:rPr>
          <w:color w:val="000000"/>
        </w:rPr>
        <w:t xml:space="preserve"> </w:t>
      </w:r>
      <w:r>
        <w:rPr>
          <w:rFonts w:ascii="Arial;sans-serif" w:hAnsi="Arial;sans-serif"/>
          <w:b w:val="false"/>
          <w:color w:val="000000"/>
          <w:sz w:val="19"/>
        </w:rPr>
        <w:t>$1.2 million for the license agreement.</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Deconsolidation of Transchip as a subsidiary</w:t>
      </w:r>
    </w:p>
    <w:p>
      <w:pPr>
        <w:pStyle w:val="TextBody"/>
        <w:bidi w:val="0"/>
        <w:spacing w:lineRule="auto" w:line="288" w:before="180" w:after="283"/>
        <w:jc w:val="both"/>
        <w:rPr/>
      </w:pPr>
      <w:r>
        <w:rPr>
          <w:rFonts w:ascii="Arial;sans-serif" w:hAnsi="Arial;sans-serif"/>
          <w:b w:val="false"/>
          <w:color w:val="000000"/>
          <w:sz w:val="19"/>
        </w:rPr>
        <w:t xml:space="preserve">Prior to closing of the Transchip transaction, Transchip was a wholly-owned subsidiary of the Company with limited operations. Upon closing of the Transchip transaction, the Company no longer has control, and therefore deconsolidated Transchip. Accordingly, the Company derecognized all the assets and liabilities of Transchip and recognized a disposal gain of </w:t>
      </w:r>
      <w:r>
        <w:rPr>
          <w:rFonts w:ascii="Arial;sans-serif" w:hAnsi="Arial;sans-serif"/>
          <w:b w:val="false"/>
          <w:color w:val="000000"/>
          <w:sz w:val="19"/>
          <w:shd w:fill="FFFFFF" w:val="clear"/>
        </w:rPr>
        <w:t>$0.1 million</w:t>
      </w:r>
      <w:r>
        <w:rPr>
          <w:rFonts w:ascii="Arial;sans-serif" w:hAnsi="Arial;sans-serif"/>
          <w:b w:val="false"/>
          <w:color w:val="000000"/>
          <w:sz w:val="19"/>
        </w:rPr>
        <w:t>, included in other income (expense), net in the consolidated statements of loss and comprehensive loss for the year ended December 31, 2022.</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ownership interest of Transchip’s registered capital was 35.0% on a fully diluted basis as of December 31, 2023. The Company accounts for its common stock investment in Transchip as an equity method investment as it does not control but has significant influence over operating and financing policies of Transchip. Transchip is the Company’s only equity method investment.</w:t>
      </w:r>
    </w:p>
    <w:p>
      <w:pPr>
        <w:pStyle w:val="TextBody"/>
        <w:bidi w:val="0"/>
        <w:spacing w:lineRule="auto" w:line="288" w:before="180" w:after="283"/>
        <w:jc w:val="both"/>
        <w:rPr/>
      </w:pPr>
      <w:r>
        <w:rPr>
          <w:rFonts w:ascii="Arial;sans-serif" w:hAnsi="Arial;sans-serif"/>
          <w:b w:val="false"/>
          <w:color w:val="000000"/>
          <w:sz w:val="19"/>
        </w:rPr>
        <w:t xml:space="preserve">As of December 31, 2023, the carrying value of the investment in Transchip was $8.5 million. </w:t>
      </w:r>
      <w:r>
        <w:rPr>
          <w:rFonts w:ascii="Arial;sans-serif" w:hAnsi="Arial;sans-serif"/>
          <w:b w:val="false"/>
          <w:color w:val="000000"/>
          <w:sz w:val="19"/>
          <w:shd w:fill="FFFFFF" w:val="clear"/>
        </w:rPr>
        <w:t>There was no significant difference between the Company’s carrying value of the investment in Transchip and its share of underlying equity in net assets of Transchip. T</w:t>
      </w:r>
      <w:r>
        <w:rPr>
          <w:rFonts w:ascii="Arial;sans-serif" w:hAnsi="Arial;sans-serif"/>
          <w:b w:val="false"/>
          <w:color w:val="000000"/>
          <w:sz w:val="19"/>
        </w:rPr>
        <w:t xml:space="preserve">he Company’s loss from its proportionate share of its equity method investment in Transchip was $3.4 million for the year ended December 31, 2023. </w:t>
      </w:r>
      <w:r>
        <w:rPr>
          <w:rFonts w:ascii="Arial;sans-serif" w:hAnsi="Arial;sans-serif"/>
          <w:b w:val="false"/>
          <w:color w:val="000000"/>
          <w:sz w:val="19"/>
          <w:shd w:fill="FFFFFF" w:val="clear"/>
        </w:rPr>
        <w:t>The Company concluded that t</w:t>
      </w:r>
      <w:r>
        <w:rPr>
          <w:rFonts w:ascii="Arial;sans-serif" w:hAnsi="Arial;sans-serif"/>
          <w:b w:val="false"/>
          <w:color w:val="000000"/>
          <w:sz w:val="19"/>
        </w:rPr>
        <w:t>here were no indicators of impairment related to the Company’s equity method investment in Transchip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1"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16. INCOME TAXES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financial reporting purposes, loss before provision for income taxes, includes the following components (in thousands):</w:t>
      </w:r>
    </w:p>
    <w:tbl>
      <w:tblPr>
        <w:tblW w:w="6406" w:type="dxa"/>
        <w:jc w:val="left"/>
        <w:tblInd w:w="0" w:type="dxa"/>
        <w:tblLayout w:type="fixed"/>
        <w:tblCellMar>
          <w:top w:w="28" w:type="dxa"/>
          <w:left w:w="28" w:type="dxa"/>
          <w:bottom w:w="28" w:type="dxa"/>
          <w:right w:w="28" w:type="dxa"/>
        </w:tblCellMar>
      </w:tblPr>
      <w:tblGrid>
        <w:gridCol w:w="1285"/>
        <w:gridCol w:w="1131"/>
        <w:gridCol w:w="1138"/>
        <w:gridCol w:w="211"/>
        <w:gridCol w:w="811"/>
        <w:gridCol w:w="109"/>
        <w:gridCol w:w="109"/>
        <w:gridCol w:w="109"/>
        <w:gridCol w:w="109"/>
        <w:gridCol w:w="211"/>
        <w:gridCol w:w="811"/>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 xml:space="preserve">Loss before 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Provision for (benefit from) Income Taxes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provision for (benefit from) income taxes consists of the following (in thousands):</w:t>
      </w:r>
    </w:p>
    <w:tbl>
      <w:tblPr>
        <w:tblW w:w="6076" w:type="dxa"/>
        <w:jc w:val="left"/>
        <w:tblInd w:w="0" w:type="dxa"/>
        <w:tblLayout w:type="fixed"/>
        <w:tblCellMar>
          <w:top w:w="28" w:type="dxa"/>
          <w:left w:w="28" w:type="dxa"/>
          <w:bottom w:w="28" w:type="dxa"/>
          <w:right w:w="28" w:type="dxa"/>
        </w:tblCellMar>
      </w:tblPr>
      <w:tblGrid>
        <w:gridCol w:w="1325"/>
        <w:gridCol w:w="1166"/>
        <w:gridCol w:w="1168"/>
        <w:gridCol w:w="211"/>
        <w:gridCol w:w="646"/>
        <w:gridCol w:w="109"/>
        <w:gridCol w:w="109"/>
        <w:gridCol w:w="109"/>
        <w:gridCol w:w="109"/>
        <w:gridCol w:w="211"/>
        <w:gridCol w:w="541"/>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Current: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current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Deferred:</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Deferred tax</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Income tax provision (benefit) related to continuing operations differ from the amounts computed by applying the statutory income tax rate of 21% to pretax loss as follows:</w:t>
      </w:r>
    </w:p>
    <w:tbl>
      <w:tblPr>
        <w:tblW w:w="6005" w:type="dxa"/>
        <w:jc w:val="left"/>
        <w:tblInd w:w="0" w:type="dxa"/>
        <w:tblLayout w:type="fixed"/>
        <w:tblCellMar>
          <w:top w:w="28" w:type="dxa"/>
          <w:left w:w="28" w:type="dxa"/>
          <w:bottom w:w="28" w:type="dxa"/>
          <w:right w:w="28" w:type="dxa"/>
        </w:tblCellMar>
      </w:tblPr>
      <w:tblGrid>
        <w:gridCol w:w="1130"/>
        <w:gridCol w:w="992"/>
        <w:gridCol w:w="998"/>
        <w:gridCol w:w="299"/>
        <w:gridCol w:w="301"/>
        <w:gridCol w:w="453"/>
        <w:gridCol w:w="172"/>
        <w:gridCol w:w="172"/>
        <w:gridCol w:w="172"/>
        <w:gridCol w:w="299"/>
        <w:gridCol w:w="301"/>
        <w:gridCol w:w="453"/>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U.S. Federal (provision) benefit</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At Statutory Rate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 Taxes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Valuation Allowance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Tax Differential</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Tax Credits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 Based Compensation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M&amp;A Transaction Costs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Earnings and Adjustments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Withholding Tax</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Deferred Tax Assets and Liabilities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Significant components of the Company’s deferred tax assets and liabilities are as follows (in thousands):</w:t>
      </w:r>
    </w:p>
    <w:tbl>
      <w:tblPr>
        <w:tblW w:w="5499" w:type="dxa"/>
        <w:jc w:val="left"/>
        <w:tblInd w:w="0" w:type="dxa"/>
        <w:tblLayout w:type="fixed"/>
        <w:tblCellMar>
          <w:top w:w="28" w:type="dxa"/>
          <w:left w:w="28" w:type="dxa"/>
          <w:bottom w:w="28" w:type="dxa"/>
          <w:right w:w="28" w:type="dxa"/>
        </w:tblCellMar>
      </w:tblPr>
      <w:tblGrid>
        <w:gridCol w:w="1113"/>
        <w:gridCol w:w="979"/>
        <w:gridCol w:w="983"/>
        <w:gridCol w:w="211"/>
        <w:gridCol w:w="706"/>
        <w:gridCol w:w="109"/>
        <w:gridCol w:w="109"/>
        <w:gridCol w:w="109"/>
        <w:gridCol w:w="109"/>
        <w:gridCol w:w="211"/>
        <w:gridCol w:w="70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 &amp; State NOL carryforward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Research &amp; Other credits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Capitalized R&amp;D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Reserves and accruals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Gross Deferred tax asset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Deferred Tax Liabilities: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Prepaid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Right-of-use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Gross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provisions of ASC Topic 740, Accounting for Income Taxes (ASC 740), require an assessment of both positive and negative evidence when determining whether it is more likely than not that deferred tax assets are recoverable. For the years ended December 31, 2023 and 2022, based on all available objective evidence, including the existence of cumulative losses, the Company determined that it was not more likely than not that the net deferred tax assets were fully realizable. Accordingly, the Company determined that a full valuation allowance against its U.S. (federal and state), French and China deferred tax assets is appropriate. The Company intends to maintain a full valuation allowance on net deferred tax assets until sufficient positive evidence exists to support reversal of the valuation allowance. During the years ended December 31, 2023 and 2022, the valuation allowance was $33.8 million and $24.6 million, respectively.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valuation allowance increased by $9.1 million and $8.2 million during the years ended December 31, 2023 and 2022, respectively, primarily due to changes in the U.S. research and development tax credits, stock compensation deferred tax assets, and capitalized research and experimental expenses. The Company recorded an income tax benefit as a result of release of a portion of its valuation allowance for the year ended December 31, 2022 related to the acquisition of Semifore.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Net Operating Loss and Tax Credit Carryforwards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As of December 31, 2023, the Company had $5.0 million net operating loss carryforward for federal income tax purposes, all of which have an indefinite carryforward. The Company had a total state net operating loss carryforward of approximately $14.5 million, which will begin to expire in 2030.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has federal research and development tax credits of approximately $5.0 million, which will begin to expire in 2035 and California research and development tax credits of approximately $3.9 million which can be carried forward indefinitely. These tax credits are subject to the same limitations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3"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113</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Unrecognized Tax Benefits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the following activity relating to unrecognized tax benefits (in thousands):</w:t>
      </w:r>
    </w:p>
    <w:tbl>
      <w:tblPr>
        <w:tblW w:w="7937" w:type="dxa"/>
        <w:jc w:val="left"/>
        <w:tblInd w:w="0" w:type="dxa"/>
        <w:tblLayout w:type="fixed"/>
        <w:tblCellMar>
          <w:top w:w="28" w:type="dxa"/>
          <w:left w:w="28" w:type="dxa"/>
          <w:bottom w:w="28" w:type="dxa"/>
          <w:right w:w="28" w:type="dxa"/>
        </w:tblCellMar>
      </w:tblPr>
      <w:tblGrid>
        <w:gridCol w:w="1958"/>
        <w:gridCol w:w="1727"/>
        <w:gridCol w:w="1730"/>
        <w:gridCol w:w="211"/>
        <w:gridCol w:w="646"/>
        <w:gridCol w:w="109"/>
        <w:gridCol w:w="109"/>
        <w:gridCol w:w="109"/>
        <w:gridCol w:w="109"/>
        <w:gridCol w:w="211"/>
        <w:gridCol w:w="646"/>
        <w:gridCol w:w="109"/>
        <w:gridCol w:w="109"/>
        <w:gridCol w:w="154"/>
      </w:tblGrid>
      <w:tr>
        <w:trPr/>
        <w:tc>
          <w:tcPr>
            <w:tcW w:w="195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increases (decreases)—Tax Positions in Prior Periods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increases—Tax Positions in Current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2023, the total amount of gross unrecognized tax benefits was $3.5 million, of which $0.5 million, if recognized, would impact the Company’s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files federal and state income tax returns. For U.S. federal and state income tax purposes, the statute of limitations currently remains open for the years ending December 31, 2020 to present and December 31, 2019 to present, respectively. In addition, all of the net operating losses and research and development credit carryforwards since inception that could be utilized in future years may be subject to examination. There are currently no pending income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17. DEFINED CONTRIBUTION PLAN AND BENEFIT PLANS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a 401(k) plan to provide defined contribution retirement benefits for all of its US based employees. Employees may elect to contribute a portion of their pretax compensation to the 401(k) plan, subject to the U.S. Internal Revenue Service annual contribution limit. Employee contributions are fully vested at all times. For both the years ended December 31, 2023 and 2022, the Company contributed $0.8 million to the 401(k)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two defined benefit pension plans (the Plans), and both Plans are outside the United States. One of the defined benefit plans was assumed as a result of the acquisition of Magillem during the year ended December 31, 2021. The Plans cover all employees of the Company’s French subsidiary in accordance with French regulations. The Plans are unfunded and accounted for under the credit method and is subject to an actuarial measurement of what the Company needs at the present time to cover the future pension liabilities, including expected future salary increases.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Components of the net periodic pension costs and changes in benefit obligations under the Plan were as follows (in thousands):</w:t>
      </w:r>
    </w:p>
    <w:tbl>
      <w:tblPr>
        <w:tblW w:w="5163" w:type="dxa"/>
        <w:jc w:val="left"/>
        <w:tblInd w:w="0" w:type="dxa"/>
        <w:tblLayout w:type="fixed"/>
        <w:tblCellMar>
          <w:top w:w="28" w:type="dxa"/>
          <w:left w:w="28" w:type="dxa"/>
          <w:bottom w:w="28" w:type="dxa"/>
          <w:right w:w="28" w:type="dxa"/>
        </w:tblCellMar>
      </w:tblPr>
      <w:tblGrid>
        <w:gridCol w:w="1011"/>
        <w:gridCol w:w="886"/>
        <w:gridCol w:w="892"/>
        <w:gridCol w:w="231"/>
        <w:gridCol w:w="527"/>
        <w:gridCol w:w="119"/>
        <w:gridCol w:w="119"/>
        <w:gridCol w:w="119"/>
        <w:gridCol w:w="119"/>
        <w:gridCol w:w="231"/>
        <w:gridCol w:w="527"/>
        <w:gridCol w:w="11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Service costs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Interest costs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Prior service costs (credit)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net periodic pension cost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4"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114</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tbl>
      <w:tblPr>
        <w:tblW w:w="7719" w:type="dxa"/>
        <w:jc w:val="left"/>
        <w:tblInd w:w="0" w:type="dxa"/>
        <w:tblLayout w:type="fixed"/>
        <w:tblCellMar>
          <w:top w:w="28" w:type="dxa"/>
          <w:left w:w="28" w:type="dxa"/>
          <w:bottom w:w="28" w:type="dxa"/>
          <w:right w:w="28" w:type="dxa"/>
        </w:tblCellMar>
      </w:tblPr>
      <w:tblGrid>
        <w:gridCol w:w="2079"/>
        <w:gridCol w:w="1828"/>
        <w:gridCol w:w="1838"/>
        <w:gridCol w:w="211"/>
        <w:gridCol w:w="481"/>
        <w:gridCol w:w="109"/>
        <w:gridCol w:w="109"/>
        <w:gridCol w:w="109"/>
        <w:gridCol w:w="109"/>
        <w:gridCol w:w="211"/>
        <w:gridCol w:w="481"/>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Benefit obligation,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Service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Interest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Prior service costs (credit)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actuarial (gain)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exchange (gain)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Benefit obligation, end of year, included as part of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Weighted-average assumptions used to determine benefit obligations were as follows:</w:t>
      </w:r>
    </w:p>
    <w:tbl>
      <w:tblPr>
        <w:tblW w:w="5048" w:type="dxa"/>
        <w:jc w:val="left"/>
        <w:tblInd w:w="0" w:type="dxa"/>
        <w:tblLayout w:type="fixed"/>
        <w:tblCellMar>
          <w:top w:w="28" w:type="dxa"/>
          <w:left w:w="28" w:type="dxa"/>
          <w:bottom w:w="28" w:type="dxa"/>
          <w:right w:w="28" w:type="dxa"/>
        </w:tblCellMar>
      </w:tblPr>
      <w:tblGrid>
        <w:gridCol w:w="1021"/>
        <w:gridCol w:w="897"/>
        <w:gridCol w:w="901"/>
        <w:gridCol w:w="270"/>
        <w:gridCol w:w="271"/>
        <w:gridCol w:w="348"/>
        <w:gridCol w:w="132"/>
        <w:gridCol w:w="132"/>
        <w:gridCol w:w="132"/>
        <w:gridCol w:w="270"/>
        <w:gridCol w:w="271"/>
        <w:gridCol w:w="403"/>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Discount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Rate of compensation increase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18. RELATED PARTY TRANSACTIONS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defines related parties as directors, executive officers, nominees for director, stockholders that have significant influence over the Company, or are a greater than 10% beneficial owner of the Company’s capital and their affiliates or immediate family members.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November 2020, the Company entered into a lease agreement with Isabelle Geday, a member of the Board of Directors. The lease payments were $0.2 million for both the years ended December 31, 2023 and 2022, respectively.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the years ended December 31, 2023 and 2022, the Company paid Ms. Geday $0.2 million and $0.3 million for consulting services, respectively. Lastly, the 455,000 stock options and 62,200 RSUs granted in connection with Ms. Geday’s prior employment continue to vest.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December 2022, the Company entered into a no-fee non-exclusive evaluation license agreement of Magillem products with Transchip. The evaluation was extended and is ongoing as of December 31, 2023. Commencing August 2023, Transchip is carrying out a no-fee evaluation of additional Company products. See Note 15 Equity Method Investment to our consolidated financial statements included elsewhere in this Annual Report on Form 10-K for additional discussion of the Company’s transactions with Transchip.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19. SEGMENT AND GEOGRAPHIC INFORMATION</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Company’s CODM, reviews operating results on an aggregate basis and manages the Company’s operations as a whole for the purpose of evaluating financial performance and allocating resources. The Company thus operates in one reportable segment which, as more fully described in </w:t>
      </w:r>
      <w:hyperlink w:anchor="i7b0bd05dc44249ada47b6179d11e803f_121">
        <w:r>
          <w:rPr>
            <w:rStyle w:val="InternetLink"/>
            <w:rFonts w:ascii="Arial;sans-serif" w:hAnsi="Arial;sans-serif"/>
            <w:b w:val="false"/>
            <w:strike w:val="false"/>
            <w:dstrike w:val="false"/>
            <w:color w:val="000000"/>
            <w:sz w:val="19"/>
            <w:u w:val="none"/>
            <w:effect w:val="none"/>
            <w:shd w:fill="FFFFFF" w:val="clear"/>
          </w:rPr>
          <w:t>Note 2</w:t>
        </w:r>
      </w:hyperlink>
      <w:r>
        <w:rPr>
          <w:rFonts w:ascii="Arial;sans-serif" w:hAnsi="Arial;sans-serif"/>
          <w:b w:val="false"/>
          <w:color w:val="000000"/>
          <w:sz w:val="19"/>
          <w:shd w:fill="FFFFFF" w:val="clear"/>
        </w:rPr>
        <w:t>, provides NoC interconnect semiconductor IP and SIA technology for a wide range of applications.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Refer to </w:t>
      </w:r>
      <w:hyperlink w:anchor="i7b0bd05dc44249ada47b6179d11e803f_121">
        <w:r>
          <w:rPr>
            <w:rStyle w:val="InternetLink"/>
          </w:rPr>
          <w:t>Note 2</w:t>
        </w:r>
      </w:hyperlink>
      <w:hyperlink w:anchor="i7b0bd05dc44249ada47b6179d11e803f_121">
        <w:r>
          <w:rPr>
            <w:rStyle w:val="InternetLink"/>
          </w:rPr>
          <w:t xml:space="preserve"> </w:t>
        </w:r>
      </w:hyperlink>
      <w:r>
        <w:rPr>
          <w:rFonts w:ascii="Arial;sans-serif" w:hAnsi="Arial;sans-serif"/>
          <w:b w:val="false"/>
          <w:color w:val="000000"/>
          <w:sz w:val="19"/>
          <w:shd w:fill="FFFFFF" w:val="clear"/>
        </w:rPr>
        <w:t xml:space="preserve">for information about customers which account for more than 10% of total revenue. Refer to </w:t>
      </w:r>
      <w:hyperlink w:anchor="i7b0bd05dc44249ada47b6179d11e803f_124">
        <w:r>
          <w:rPr>
            <w:rStyle w:val="InternetLink"/>
            <w:rFonts w:ascii="Arial;sans-serif" w:hAnsi="Arial;sans-serif"/>
            <w:b w:val="false"/>
            <w:strike w:val="false"/>
            <w:dstrike w:val="false"/>
            <w:color w:val="000000"/>
            <w:sz w:val="19"/>
            <w:u w:val="none"/>
            <w:effect w:val="none"/>
            <w:shd w:fill="FFFFFF" w:val="clear"/>
          </w:rPr>
          <w:t>Note 3</w:t>
        </w:r>
      </w:hyperlink>
      <w:r>
        <w:rPr>
          <w:rFonts w:ascii="Arial;sans-serif" w:hAnsi="Arial;sans-serif"/>
          <w:b w:val="false"/>
          <w:color w:val="000000"/>
          <w:sz w:val="19"/>
          <w:shd w:fill="FFFFFF" w:val="clear"/>
        </w:rPr>
        <w:t xml:space="preserve"> for a summary of revenue by major product and service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5"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115</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revenues by geographic area based on customer location (in thousands):</w:t>
      </w:r>
    </w:p>
    <w:tbl>
      <w:tblPr>
        <w:tblW w:w="7864" w:type="dxa"/>
        <w:jc w:val="left"/>
        <w:tblInd w:w="0" w:type="dxa"/>
        <w:tblLayout w:type="fixed"/>
        <w:tblCellMar>
          <w:top w:w="28" w:type="dxa"/>
          <w:left w:w="28" w:type="dxa"/>
          <w:bottom w:w="28" w:type="dxa"/>
          <w:right w:w="28" w:type="dxa"/>
        </w:tblCellMar>
      </w:tblPr>
      <w:tblGrid>
        <w:gridCol w:w="747"/>
        <w:gridCol w:w="658"/>
        <w:gridCol w:w="664"/>
        <w:gridCol w:w="211"/>
        <w:gridCol w:w="751"/>
        <w:gridCol w:w="109"/>
        <w:gridCol w:w="109"/>
        <w:gridCol w:w="109"/>
        <w:gridCol w:w="109"/>
        <w:gridCol w:w="322"/>
        <w:gridCol w:w="324"/>
        <w:gridCol w:w="286"/>
        <w:gridCol w:w="109"/>
        <w:gridCol w:w="109"/>
        <w:gridCol w:w="109"/>
        <w:gridCol w:w="211"/>
        <w:gridCol w:w="751"/>
        <w:gridCol w:w="109"/>
        <w:gridCol w:w="109"/>
        <w:gridCol w:w="109"/>
        <w:gridCol w:w="109"/>
        <w:gridCol w:w="322"/>
        <w:gridCol w:w="324"/>
        <w:gridCol w:w="286"/>
        <w:gridCol w:w="109"/>
        <w:gridCol w:w="109"/>
        <w:gridCol w:w="109"/>
        <w:gridCol w:w="109"/>
        <w:gridCol w:w="109"/>
        <w:gridCol w:w="109"/>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Asia Pacific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Europe, Middle East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(1) United States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(1) Other Americas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 China</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 Korea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 Other Asia Pacific*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Other countries individually less than 10%</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 Individually less than 10% and is included in the Other Asia Pacific amount and percentage for the year ended December 31, 2022</w: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property and equipment, net by geographic area (in thousands):</w:t>
      </w:r>
    </w:p>
    <w:tbl>
      <w:tblPr>
        <w:tblW w:w="6126" w:type="dxa"/>
        <w:jc w:val="left"/>
        <w:tblInd w:w="0" w:type="dxa"/>
        <w:tblLayout w:type="fixed"/>
        <w:tblCellMar>
          <w:top w:w="28" w:type="dxa"/>
          <w:left w:w="28" w:type="dxa"/>
          <w:bottom w:w="28" w:type="dxa"/>
          <w:right w:w="28" w:type="dxa"/>
        </w:tblCellMar>
      </w:tblPr>
      <w:tblGrid>
        <w:gridCol w:w="472"/>
        <w:gridCol w:w="415"/>
        <w:gridCol w:w="417"/>
        <w:gridCol w:w="211"/>
        <w:gridCol w:w="646"/>
        <w:gridCol w:w="109"/>
        <w:gridCol w:w="109"/>
        <w:gridCol w:w="109"/>
        <w:gridCol w:w="109"/>
        <w:gridCol w:w="322"/>
        <w:gridCol w:w="324"/>
        <w:gridCol w:w="286"/>
        <w:gridCol w:w="109"/>
        <w:gridCol w:w="109"/>
        <w:gridCol w:w="109"/>
        <w:gridCol w:w="211"/>
        <w:gridCol w:w="646"/>
        <w:gridCol w:w="109"/>
        <w:gridCol w:w="109"/>
        <w:gridCol w:w="109"/>
        <w:gridCol w:w="109"/>
        <w:gridCol w:w="322"/>
        <w:gridCol w:w="324"/>
        <w:gridCol w:w="331"/>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France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16"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116</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Item 9A. Controls and Procedures</w:t>
      </w:r>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Evaluation of Disclosure Controls and Procedures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Management’s Annual Report on Internal Control over Financial Reporting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at the reasonable assurance level as of December 31, 2023. This Annual Report does not include an attestation report by our independent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Changes in Internal Control over Financial Reporting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were no changes in our internal control over financial reporting identified in connection with the evaluation required by Rules 13a-15(d) and 15d-15(d) of the Exchange Act that occurred during the quarter ended December 31, 2023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17"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Inherent Limitations on Effectiveness of Controls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 Not applicable</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(b) Insider Trading Arrangements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February 27, 2023 the Company adopted an insider trading policy governing the purchase, sale, and other dispositions of its securities by directors, senior management, and employees.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November 10, 2023, Wayne Cantwell, Director, terminated a Rule 10b5-1 trading arrangement intended to satisfy the affirmative defense of Rule 10b5-1(c) and originally adopted on March 6, 2023 for the sale of up to 71,161 shares of the Company’s common stock until June 30, 2024.</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November 13, 2023, Antonio Viana, Director, as the trustee of Viana Family Trust, adopted a Rule 10b5-1 trading arrangement of Viana Family Trust that is intended to satisfy the affirmative defense of Rule 10b5-1(c) for the sale of up to 227,777 shares of the Company’s common stock until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18"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10. Directors, Executive Officers and Corporate Governance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ir.arteris.com under the Corporate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arteris.com or in a Current Report on Form 8-K filed with the SEC.</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 xml:space="preserve">The remaining information required by this item, including information about our Directors, Executive Officers and Audit Committee, is incorporated by reference to the definitive Proxy Statement for our 2024 Annual Meeting of Stockholders, which will be filed with the SEC no later than 120 days after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11. Executive Compensation</w:t>
      </w:r>
    </w:p>
    <w:p>
      <w:pPr>
        <w:pStyle w:val="TextBody"/>
        <w:bidi w:val="0"/>
        <w:spacing w:lineRule="auto" w:line="268" w:before="180" w:after="283"/>
        <w:jc w:val="both"/>
        <w:rPr>
          <w:rFonts w:ascii="Arial;sans-serif" w:hAnsi="Arial;sans-serif"/>
          <w:b w:val="false"/>
          <w:color w:val="000000"/>
          <w:sz w:val="19"/>
        </w:rPr>
      </w:pPr>
      <w:r>
        <w:rPr>
          <w:rFonts w:ascii="Arial;sans-serif" w:hAnsi="Arial;sans-serif"/>
          <w:b w:val="false"/>
          <w:color w:val="000000"/>
          <w:sz w:val="19"/>
        </w:rPr>
        <w:t xml:space="preserve">The information required by this Item will be set forth in the section headed “Executive Compensation”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12. Security Ownership of Certain Beneficial Owner and Management and Related Stockholder Matters</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The information required by this Item will be set forth in the section headed “Security Ownership of Certain Beneficial Owners and Management” in our Proxy Statement and is incorporated in this Annual Report by reference.</w:t>
      </w:r>
    </w:p>
    <w:p>
      <w:pPr>
        <w:pStyle w:val="TextBody"/>
        <w:bidi w:val="0"/>
        <w:spacing w:lineRule="auto" w:line="268" w:before="180" w:after="283"/>
        <w:jc w:val="left"/>
        <w:rPr>
          <w:rFonts w:ascii="Arial;sans-serif" w:hAnsi="Arial;sans-serif"/>
          <w:b w:val="false"/>
          <w:color w:val="000000"/>
          <w:sz w:val="19"/>
        </w:rPr>
      </w:pPr>
      <w:r>
        <w:rPr>
          <w:rFonts w:ascii="Arial;sans-serif" w:hAnsi="Arial;sans-serif"/>
          <w:b w:val="false"/>
          <w:color w:val="000000"/>
          <w:sz w:val="19"/>
        </w:rPr>
        <w:t xml:space="preserve">Information regarding our equity compensation plans will be set forth in the section headed “Executive Compensation”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13. Certain Relationships and Related Party Transactions</w:t>
      </w:r>
    </w:p>
    <w:p>
      <w:pPr>
        <w:pStyle w:val="TextBody"/>
        <w:bidi w:val="0"/>
        <w:spacing w:lineRule="auto" w:line="268" w:before="180" w:after="283"/>
        <w:jc w:val="left"/>
        <w:rPr>
          <w:rFonts w:ascii="Arial;sans-serif" w:hAnsi="Arial;sans-serif"/>
          <w:b w:val="false"/>
          <w:color w:val="000000"/>
          <w:sz w:val="19"/>
        </w:rPr>
      </w:pPr>
      <w:r>
        <w:rPr>
          <w:rFonts w:ascii="Arial;sans-serif" w:hAnsi="Arial;sans-serif"/>
          <w:b w:val="false"/>
          <w:color w:val="000000"/>
          <w:sz w:val="19"/>
        </w:rPr>
        <w:t xml:space="preserve">The information required by this Item will be set forth in the section headed “Transactions with Related Persons”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68" w:before="180" w:after="283"/>
        <w:jc w:val="left"/>
        <w:rPr>
          <w:rFonts w:ascii="Arial;sans-serif" w:hAnsi="Arial;sans-serif"/>
          <w:b w:val="false"/>
          <w:color w:val="000000"/>
          <w:sz w:val="19"/>
        </w:rPr>
      </w:pPr>
      <w:r>
        <w:rPr>
          <w:rFonts w:ascii="Arial;sans-serif" w:hAnsi="Arial;sans-serif"/>
          <w:b w:val="false"/>
          <w:color w:val="000000"/>
          <w:sz w:val="19"/>
        </w:rPr>
        <w:t xml:space="preserve">The information required by this Item will be set forth in the section headed “—Ratification of Selection of Independent Registered Public Accounting Firm”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19"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119</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Item 15. Exhibits and financial statements.</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The following documents are filed as part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(a)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The consolidated financial statements are filed as part of this Annual Report on Form 10-K under “Item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(b) Financial Statement Schedules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The financial statement schedules are omitted because they are either not applicable or the information required is presented in the financial statements and notes thereto under “Item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(c) Exhibits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documents are filed, furnished, or incorporated by reference as part of this Annual Report on Form 10-K.</w:t>
      </w:r>
    </w:p>
    <w:tbl>
      <w:tblPr>
        <w:tblW w:w="10205" w:type="dxa"/>
        <w:jc w:val="left"/>
        <w:tblInd w:w="0" w:type="dxa"/>
        <w:tblLayout w:type="fixed"/>
        <w:tblCellMar>
          <w:top w:w="28" w:type="dxa"/>
          <w:left w:w="28" w:type="dxa"/>
          <w:bottom w:w="28" w:type="dxa"/>
          <w:right w:w="28" w:type="dxa"/>
        </w:tblCellMar>
      </w:tblPr>
      <w:tblGrid>
        <w:gridCol w:w="402"/>
        <w:gridCol w:w="354"/>
        <w:gridCol w:w="355"/>
        <w:gridCol w:w="2287"/>
        <w:gridCol w:w="1889"/>
        <w:gridCol w:w="1895"/>
        <w:gridCol w:w="175"/>
        <w:gridCol w:w="175"/>
        <w:gridCol w:w="176"/>
        <w:gridCol w:w="109"/>
        <w:gridCol w:w="220"/>
        <w:gridCol w:w="220"/>
        <w:gridCol w:w="221"/>
        <w:gridCol w:w="234"/>
        <w:gridCol w:w="234"/>
        <w:gridCol w:w="235"/>
        <w:gridCol w:w="299"/>
        <w:gridCol w:w="299"/>
        <w:gridCol w:w="426"/>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FILED</w:t>
            </w:r>
            <w:r>
              <w:rPr>
                <w:rFonts w:ascii="Arial;sans-serif" w:hAnsi="Arial;sans-serif"/>
                <w:b w:val="false"/>
                <w:color w:val="000000"/>
                <w:sz w:val="16"/>
              </w:rPr>
              <w:br/>
            </w:r>
            <w:r>
              <w:rPr>
                <w:rFonts w:ascii="Arial;sans-serif" w:hAnsi="Arial;sans-serif"/>
                <w:b/>
                <w:color w:val="000000"/>
                <w:sz w:val="16"/>
              </w:rPr>
              <w:t>HEREWITH</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6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16"/>
                  <w:u w:val="single"/>
                </w:rPr>
                <w:t>Amended and Restated Certificate of Incorporation of Arteris, Inc.</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10-29-2021</w:t>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16"/>
                  <w:u w:val="single"/>
                </w:rPr>
                <w:t>Amended and Restated Bylaws of Arteris, Inc.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Specimen Stock Certificate evidencing the shares of common stock.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Investors’ Rights Agreement, dated February 5, 2016, by and among Arteris, Inc. and the investors listed therein.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Amended and Restated Business Financing Agreement, by and between Arteris, Inc. and Western Alliance Bank dated as of December 16, 2020.</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License Agreement, dated as of October 11, 2013, by and between Arteris, Inc. and Qualcomm Technologies, Inc.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Asset Purchase Agreement, dated as of October 9, 2013, by and among Qualcomm Technologies, Inc., Qualcomm France SARL, Arteris Holdings, Inc., Arteris, Inc. and Arteris, SAS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10.5#</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Employment Agreement, by and between Arteris, Inc. and K. Charles Janac.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Employment Agreement, by and between Arteris IP SAS and Isabelle Geday.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6"/>
                  <w:u w:val="single"/>
                </w:rPr>
                <w:t>Arteris, Inc. 2016 Equity Incentive Plan and related form agreements, as amended.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S-8</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99.1(a)</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16"/>
                  <w:u w:val="single"/>
                </w:rPr>
                <w:t>Arteris, Inc. 2016 Equity Incentive Plan for the Grant of Restricted Stock Unit Awards to Employees in France.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6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2021 Incentive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S-8</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99.2(a)</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16"/>
                  <w:u w:val="single"/>
                </w:rPr>
                <w:t>Form of Stock Option Award Agreement under Arteris, Inc. 2021 Incentive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16"/>
                  <w:u w:val="single"/>
                </w:rPr>
                <w:t>Form of Restricted Stock Unit Award Agreement under Arteris, Inc. 2021 Incentive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16"/>
                  <w:u w:val="single"/>
                </w:rPr>
                <w:t>2021 Employee Stock Purchase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S-8</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10.13#</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16"/>
                  <w:u w:val="single"/>
                </w:rPr>
                <w:t>Form of Executive Change in Control Severance Agreement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10.14#</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16"/>
                  <w:u w:val="single"/>
                </w:rPr>
                <w:t>Arteris, Inc. Non-Employee Director Compensation Policy.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16"/>
                  <w:u w:val="single"/>
                </w:rPr>
                <w:t>Form of Indemnification Agreement between Arteris, Inc. and its directors and officers.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10.16#</w:t>
            </w:r>
          </w:p>
        </w:tc>
        <w:tc>
          <w:tcPr>
            <w:tcW w:w="6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6"/>
                  <w:u w:val="single"/>
                </w:rPr>
                <w:t>Amended and Restated Project Assignment 1 to Independent Contractor Services Agreement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0"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120</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02"/>
        <w:gridCol w:w="354"/>
        <w:gridCol w:w="355"/>
        <w:gridCol w:w="2056"/>
        <w:gridCol w:w="2007"/>
        <w:gridCol w:w="2013"/>
        <w:gridCol w:w="175"/>
        <w:gridCol w:w="175"/>
        <w:gridCol w:w="176"/>
        <w:gridCol w:w="109"/>
        <w:gridCol w:w="220"/>
        <w:gridCol w:w="220"/>
        <w:gridCol w:w="221"/>
        <w:gridCol w:w="232"/>
        <w:gridCol w:w="232"/>
        <w:gridCol w:w="234"/>
        <w:gridCol w:w="299"/>
        <w:gridCol w:w="299"/>
        <w:gridCol w:w="426"/>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0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6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FILED</w:t>
            </w:r>
            <w:r>
              <w:rPr>
                <w:rFonts w:ascii="Arial;sans-serif" w:hAnsi="Arial;sans-serif"/>
                <w:b w:val="false"/>
                <w:color w:val="000000"/>
                <w:sz w:val="16"/>
              </w:rPr>
              <w:br/>
            </w:r>
            <w:r>
              <w:rPr>
                <w:rFonts w:ascii="Arial;sans-serif" w:hAnsi="Arial;sans-serif"/>
                <w:b/>
                <w:color w:val="000000"/>
                <w:sz w:val="16"/>
              </w:rPr>
              <w:t>HEREWITH</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10.17#</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6"/>
                  <w:u w:val="single"/>
                </w:rPr>
                <w:t>Contractor’s Assignment of Independent Contractor Services Agreement as Amended, from Isabelle Geday to Magillem Design Services S.A., effective as of January 10,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03-07-2022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10.18</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6"/>
                  <w:u w:val="single"/>
                </w:rPr>
                <w:t>Transchip Share Purchase and Shareholders Agreement, dated February 21,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05-10-2022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10.19</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6"/>
                  <w:u w:val="single"/>
                </w:rPr>
                <w:t>Transchip Share Purchase and Shareholders Agreement, dated September 15,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10.20#</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6"/>
                  <w:u w:val="single"/>
                </w:rPr>
                <w:t>2022 Employment Inducement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10.21#</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6"/>
                  <w:u w:val="single"/>
                </w:rPr>
                <w:t>Form of Stock Option Grant Notice and Stock Option Agreement under the 2022 Employment Inducement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10.22#</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6"/>
                  <w:u w:val="single"/>
                </w:rPr>
                <w:t>Form of Restricted Stock Unit Award Grant Notice and Restricted Stock Unit Award Agreement under the 2022 Employment Inducement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fy2310-k.htm">
              <w:r>
                <w:rPr>
                  <w:rStyle w:val="InternetLink"/>
                  <w:rFonts w:ascii="Arial;sans-serif" w:hAnsi="Arial;sans-serif"/>
                  <w:b w:val="false"/>
                  <w:color w:val="0000FF"/>
                  <w:sz w:val="16"/>
                  <w:u w:val="single"/>
                </w:rPr>
                <w:t>Subsidiaries of Arteris, Inc.</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310-k.htm">
              <w:r>
                <w:rPr>
                  <w:rStyle w:val="InternetLink"/>
                  <w:rFonts w:ascii="Arial;sans-serif" w:hAnsi="Arial;sans-serif"/>
                  <w:b w:val="false"/>
                  <w:color w:val="0000FF"/>
                  <w:sz w:val="16"/>
                  <w:u w:val="single"/>
                </w:rPr>
                <w:t>Consent of Deloitte &amp; Touche LLP</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23.2</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fy2310-k.htm">
              <w:r>
                <w:rPr>
                  <w:rStyle w:val="InternetLink"/>
                  <w:rFonts w:ascii="Arial;sans-serif" w:hAnsi="Arial;sans-serif"/>
                  <w:b w:val="false"/>
                  <w:color w:val="0000FF"/>
                  <w:sz w:val="16"/>
                  <w:u w:val="single"/>
                </w:rPr>
                <w:t>Consent of Moss Adams LLP.</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w:t>
            </w:r>
          </w:p>
        </w:tc>
        <w:tc>
          <w:tcPr>
            <w:tcW w:w="6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b0bd05dc44249ada47b6179d11e803f_220">
              <w:r>
                <w:rPr>
                  <w:rStyle w:val="InternetLink"/>
                  <w:rFonts w:ascii="Arial;sans-serif" w:hAnsi="Arial;sans-serif"/>
                  <w:b w:val="false"/>
                  <w:color w:val="0000FF"/>
                  <w:sz w:val="16"/>
                  <w:u w:val="single"/>
                </w:rPr>
                <w:t>Power of Attorney (included on signature page).</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fy2310-k.htm">
              <w:r>
                <w:rPr>
                  <w:rStyle w:val="InternetLink"/>
                  <w:rFonts w:ascii="Arial;sans-serif" w:hAnsi="Arial;sans-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fy2310-k.htm">
              <w:r>
                <w:rPr>
                  <w:rStyle w:val="InternetLink"/>
                  <w:rFonts w:ascii="Arial;sans-serif" w:hAnsi="Arial;sans-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fy2310-k.htm">
              <w:r>
                <w:rPr>
                  <w:rStyle w:val="InternetLink"/>
                  <w:rFonts w:ascii="Arial;sans-serif" w:hAnsi="Arial;sans-serif"/>
                  <w:b w:val="false"/>
                  <w:color w:val="0000FF"/>
                  <w:sz w:val="16"/>
                  <w:u w:val="single"/>
                </w:rPr>
                <w:t>Certification of Principal Executive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fy2310-k.htm">
              <w:r>
                <w:rPr>
                  <w:rStyle w:val="InternetLink"/>
                  <w:rFonts w:ascii="Arial;sans-serif" w:hAnsi="Arial;sans-serif"/>
                  <w:b w:val="false"/>
                  <w:color w:val="0000FF"/>
                  <w:sz w:val="16"/>
                  <w:u w:val="single"/>
                </w:rPr>
                <w:t>Certification of Principal Financial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97.1</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fy2310-k.htm">
              <w:r>
                <w:rPr>
                  <w:rStyle w:val="InternetLink"/>
                  <w:rFonts w:ascii="Arial;sans-serif" w:hAnsi="Arial;sans-serif"/>
                  <w:b w:val="false"/>
                  <w:color w:val="0000FF"/>
                  <w:sz w:val="16"/>
                  <w:u w:val="single"/>
                </w:rPr>
                <w:t>Policy Relating to Recovery of Erroneously Awarded Compensation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Exhibits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bl>
    <w:p>
      <w:pPr>
        <w:pStyle w:val="TextBody"/>
        <w:bidi w:val="0"/>
        <w:spacing w:lineRule="auto" w:line="268" w:before="0" w:after="0"/>
        <w:ind w:left="0" w:right="0" w:hanging="360"/>
        <w:jc w:val="left"/>
        <w:rPr>
          <w:rFonts w:ascii="Arial;sans-serif" w:hAnsi="Arial;sans-serif"/>
          <w:b w:val="false"/>
          <w:color w:val="000000"/>
          <w:sz w:val="19"/>
        </w:rPr>
      </w:pPr>
      <w:r>
        <w:rPr>
          <w:rFonts w:ascii="Arial;sans-serif" w:hAnsi="Arial;sans-serif"/>
          <w:b w:val="false"/>
          <w:color w:val="000000"/>
          <w:sz w:val="19"/>
        </w:rPr>
        <w:t>*The certifications attached as Exhibits 32.1 and 32.2 that accompany this Annual Report on Form 10-K,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lineRule="auto" w:line="288" w:before="0" w:after="0"/>
        <w:ind w:left="0" w:right="0" w:hanging="360"/>
        <w:jc w:val="left"/>
        <w:rPr>
          <w:rFonts w:ascii="Arial;sans-serif" w:hAnsi="Arial;sans-serif"/>
          <w:b w:val="false"/>
          <w:color w:val="000000"/>
          <w:sz w:val="19"/>
        </w:rPr>
      </w:pPr>
      <w:r>
        <w:rPr>
          <w:rFonts w:ascii="Arial;sans-serif" w:hAnsi="Arial;sans-serif"/>
          <w:b w:val="false"/>
          <w:color w:val="000000"/>
          <w:sz w:val="19"/>
        </w:rPr>
        <w:t>#    Indicates a management contract or compensatory plan or arrangement.</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9"/>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1"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121</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2" name="Frame1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122</w:t>
                      </w:r>
                    </w:p>
                  </w:txbxContent>
                </v:textbox>
                <w10:wrap type="none"/>
              </v:rect>
            </w:pict>
          </mc:Fallback>
        </mc:AlternateContent>
      </w:r>
    </w:p>
    <w:p>
      <w:pPr>
        <w:pStyle w:val="TextBody"/>
        <w:bidi w:val="0"/>
        <w:spacing w:lineRule="auto" w:line="288" w:before="0" w:after="0"/>
        <w:jc w:val="left"/>
        <w:rPr/>
      </w:pPr>
      <w:hyperlink w:anchor="i7b0bd05dc44249ada47b6179d11e803f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SIGNATURES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Pursuant to the requirements of the Securities Act of 1933, as amended, Arteris, Inc. has duly caused this report to be signed on its behalf by the undersigned, thereunto duly authorized, in Campbell, California, on this 20th day of February, 2024.</w:t>
      </w:r>
    </w:p>
    <w:tbl>
      <w:tblPr>
        <w:tblW w:w="4512"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995"/>
        <w:gridCol w:w="995"/>
        <w:gridCol w:w="14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Arteris,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3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K. Charles Janac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Name: </w:t>
              <w:br/>
              <w:t>Title:</w:t>
            </w:r>
          </w:p>
        </w:tc>
        <w:tc>
          <w:tcPr>
            <w:tcW w:w="3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K. Charles Janac</w:t>
              <w:br/>
              <w:t>President and Chief Executive Officer</w:t>
            </w:r>
          </w:p>
          <w:p>
            <w:pPr>
              <w:pStyle w:val="TableContents"/>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POWER OF ATTORNEY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 undersigned officers and directors of Arteris, Inc. hereby constitutes and appoints K. Charles Janac and Nicholas B. Hawkins,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Pursuant to the requirements of the Securities Act of 1933, as amended, this Annual Report on Form 10-K has been signed by the following persons in the capacities set forth opposite their names and on the date indicated.</w:t>
      </w:r>
    </w:p>
    <w:tbl>
      <w:tblPr>
        <w:tblW w:w="10205" w:type="dxa"/>
        <w:jc w:val="left"/>
        <w:tblInd w:w="0" w:type="dxa"/>
        <w:tblLayout w:type="fixed"/>
        <w:tblCellMar>
          <w:top w:w="28" w:type="dxa"/>
          <w:left w:w="28" w:type="dxa"/>
          <w:bottom w:w="28" w:type="dxa"/>
          <w:right w:w="28" w:type="dxa"/>
        </w:tblCellMar>
      </w:tblPr>
      <w:tblGrid>
        <w:gridCol w:w="675"/>
        <w:gridCol w:w="593"/>
        <w:gridCol w:w="594"/>
        <w:gridCol w:w="2281"/>
        <w:gridCol w:w="2281"/>
        <w:gridCol w:w="2303"/>
        <w:gridCol w:w="431"/>
        <w:gridCol w:w="431"/>
        <w:gridCol w:w="616"/>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K. Charles Janac</w:t>
            </w:r>
          </w:p>
        </w:tc>
        <w:tc>
          <w:tcPr>
            <w:tcW w:w="6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 xml:space="preserve">President and Chief Executive Officer </w:t>
            </w:r>
            <w:r>
              <w:rPr>
                <w:rFonts w:ascii="Arial;sans-serif" w:hAnsi="Arial;sans-serif"/>
                <w:b w:val="false"/>
                <w:i/>
                <w:color w:val="000000"/>
                <w:sz w:val="19"/>
              </w:rPr>
              <w:t>(Principal Executive Officer)</w:t>
            </w:r>
            <w:r>
              <w:rPr>
                <w:color w:val="000000"/>
              </w:rPr>
              <w:t xml:space="preserve"> </w:t>
            </w:r>
            <w:r>
              <w:rPr>
                <w:rFonts w:ascii="Arial;sans-serif" w:hAnsi="Arial;sans-serif"/>
                <w:b w:val="false"/>
                <w:color w:val="000000"/>
                <w:sz w:val="19"/>
              </w:rPr>
              <w:t>and Chairman of the Board of Directors</w:t>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K. Charles Janac</w:t>
            </w:r>
          </w:p>
        </w:tc>
        <w:tc>
          <w:tcPr>
            <w:tcW w:w="6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Nicholas B. Hawkins</w:t>
            </w:r>
          </w:p>
        </w:tc>
        <w:tc>
          <w:tcPr>
            <w:tcW w:w="6865"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Vice President and Chief Financial Officer</w:t>
              <w:br/>
            </w:r>
            <w:r>
              <w:rPr>
                <w:rFonts w:ascii="Arial;sans-serif" w:hAnsi="Arial;sans-serif"/>
                <w:b w:val="false"/>
                <w:i/>
                <w:color w:val="000000"/>
                <w:sz w:val="19"/>
              </w:rPr>
              <w:t>(Principal Financial and Accounting Officer)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Nicholas B. Hawkins</w:t>
            </w:r>
          </w:p>
        </w:tc>
        <w:tc>
          <w:tcPr>
            <w:tcW w:w="6865" w:type="dxa"/>
            <w:gridSpan w:val="3"/>
            <w:vMerge w:val="continue"/>
            <w:tcBorders/>
            <w:tcMar>
              <w:top w:w="0" w:type="dxa"/>
              <w:left w:w="0" w:type="dxa"/>
              <w:bottom w:w="0" w:type="dxa"/>
              <w:right w:w="0" w:type="dxa"/>
            </w:tcMar>
            <w:vAlign w:val="center"/>
          </w:tcPr>
          <w:p>
            <w:pPr>
              <w:pStyle w:val="Normal"/>
              <w:bidi w:val="0"/>
              <w:jc w:val="left"/>
              <w:rPr/>
            </w:pPr>
            <w:r>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Wayne C. Cantwell</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Wayne C. Cantwell</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Claudia Fan Munce</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Claudia Fan Munce</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Raman K. Chitkara</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Raman K. Chitkara</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Isabelle F. Geday</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Isabelle F. Geday</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S. Atiq Raza</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S. Atiq Raza</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Antonio J. Viana</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 2024</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Antonio J. Viana</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21.1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3"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Subsidiaries of Arteris, Inc.</w:t>
      </w:r>
    </w:p>
    <w:p>
      <w:pPr>
        <w:pStyle w:val="TextBody"/>
        <w:bidi w:val="0"/>
        <w:spacing w:before="0" w:after="0"/>
        <w:jc w:val="center"/>
        <w:rPr/>
      </w:pPr>
      <w:r>
        <w:rPr/>
      </w:r>
    </w:p>
    <w:tbl>
      <w:tblPr>
        <w:tblW w:w="7842" w:type="dxa"/>
        <w:jc w:val="center"/>
        <w:tblInd w:w="0" w:type="dxa"/>
        <w:tblLayout w:type="fixed"/>
        <w:tblCellMar>
          <w:top w:w="28" w:type="dxa"/>
          <w:left w:w="28" w:type="dxa"/>
          <w:bottom w:w="28" w:type="dxa"/>
          <w:right w:w="28" w:type="dxa"/>
        </w:tblCellMar>
      </w:tblPr>
      <w:tblGrid>
        <w:gridCol w:w="1723"/>
        <w:gridCol w:w="1511"/>
        <w:gridCol w:w="1521"/>
        <w:gridCol w:w="109"/>
        <w:gridCol w:w="109"/>
        <w:gridCol w:w="109"/>
        <w:gridCol w:w="807"/>
        <w:gridCol w:w="807"/>
        <w:gridCol w:w="1146"/>
      </w:tblGrid>
      <w:tr>
        <w:trPr/>
        <w:tc>
          <w:tcPr>
            <w:tcW w:w="172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Name of 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Jurisdiction of Organization</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Semiconductor Technology (Nanjing) Co., Ltd.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People’s Republic of China</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IP Korea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K.K.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IP SAS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HK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Sauternes Merger Sub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4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Registration Statement No. 333-268257 on Form S-3 and Registration Statement Nos. 333-260620, 333-263352, 333-268258, and 333-270173 on Form S-8 of our report dated February 20, 2024, relating to the financial statements of Arteris, Inc. appearing in the Annual Report on Form 10-K for the year ended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Jose, California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23.2</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4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on Form S-3 (No. 333-268257) and Form S-8 (Nos. 333-260620; 333-263352; 333-268258; 333-270173) of Arteris, Inc. (the “Company”), of our report dated February 28, 2023, relating to the consolidated financial statements as of and for the year ended December 31, 2022 of the Company, appearing in this Annual Report on Form 10-K of the Company for the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 Charles Janac, certify that:</w:t>
      </w:r>
    </w:p>
    <w:tbl>
      <w:tblPr>
        <w:tblW w:w="5771" w:type="dxa"/>
        <w:jc w:val="left"/>
        <w:tblInd w:w="0" w:type="dxa"/>
        <w:tblLayout w:type="fixed"/>
        <w:tblCellMar>
          <w:top w:w="28" w:type="dxa"/>
          <w:left w:w="28" w:type="dxa"/>
          <w:bottom w:w="28" w:type="dxa"/>
          <w:right w:w="28" w:type="dxa"/>
        </w:tblCellMar>
      </w:tblPr>
      <w:tblGrid>
        <w:gridCol w:w="124"/>
        <w:gridCol w:w="109"/>
        <w:gridCol w:w="109"/>
        <w:gridCol w:w="1587"/>
        <w:gridCol w:w="1587"/>
        <w:gridCol w:w="22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Arteris,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0"/>
        <w:gridCol w:w="2778"/>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602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938"/>
        <w:gridCol w:w="938"/>
        <w:gridCol w:w="13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 Charles Janac</w:t>
            </w:r>
          </w:p>
        </w:tc>
      </w:tr>
      <w:tr>
        <w:trPr/>
        <w:tc>
          <w:tcPr>
            <w:tcW w:w="2085"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 Charles Janac</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Nicholas B. Hawkins, certify that:</w:t>
      </w:r>
    </w:p>
    <w:tbl>
      <w:tblPr>
        <w:tblW w:w="5771" w:type="dxa"/>
        <w:jc w:val="left"/>
        <w:tblInd w:w="0" w:type="dxa"/>
        <w:tblLayout w:type="fixed"/>
        <w:tblCellMar>
          <w:top w:w="28" w:type="dxa"/>
          <w:left w:w="28" w:type="dxa"/>
          <w:bottom w:w="28" w:type="dxa"/>
          <w:right w:w="28" w:type="dxa"/>
        </w:tblCellMar>
      </w:tblPr>
      <w:tblGrid>
        <w:gridCol w:w="124"/>
        <w:gridCol w:w="109"/>
        <w:gridCol w:w="109"/>
        <w:gridCol w:w="1587"/>
        <w:gridCol w:w="1587"/>
        <w:gridCol w:w="22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Arteris,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0"/>
        <w:gridCol w:w="2778"/>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686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279"/>
        <w:gridCol w:w="1279"/>
        <w:gridCol w:w="182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B. Hawkins</w:t>
            </w:r>
          </w:p>
        </w:tc>
      </w:tr>
      <w:tr>
        <w:trPr/>
        <w:tc>
          <w:tcPr>
            <w:tcW w:w="2085"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Nicholas B. Hawkins</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Chief Financial Officer</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and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40"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Arteris, Inc. (the “Company”) on Form 10-K for the period ended December 31,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tbl>
      <w:tblPr>
        <w:tblW w:w="6025"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9"/>
        <w:gridCol w:w="109"/>
        <w:gridCol w:w="109"/>
        <w:gridCol w:w="938"/>
        <w:gridCol w:w="938"/>
        <w:gridCol w:w="13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 Charles Janac</w:t>
            </w:r>
          </w:p>
        </w:tc>
      </w:tr>
      <w:tr>
        <w:trPr/>
        <w:tc>
          <w:tcPr>
            <w:tcW w:w="2085"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 Charles Janac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40"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Arteris, Inc. (the “Company”) on Form 10-K for the period ended December 31, 2023 as filed with the Securities and Exchange Commission on the date hereof (the “Report”), I certify, pursuant to 18 U.S.C. § 1350, as adopted pursuant to § 906 of the Sarbanes-Oxley Act of 2002, that: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tbl>
      <w:tblPr>
        <w:tblW w:w="6581"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9"/>
        <w:gridCol w:w="109"/>
        <w:gridCol w:w="109"/>
        <w:gridCol w:w="1100"/>
        <w:gridCol w:w="1100"/>
        <w:gridCol w:w="156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B. Hawkins</w:t>
            </w:r>
          </w:p>
        </w:tc>
      </w:tr>
      <w:tr>
        <w:trPr/>
        <w:tc>
          <w:tcPr>
            <w:tcW w:w="2085"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Nicholas B. Hawkins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97.1</w:t>
      </w:r>
    </w:p>
    <w:p>
      <w:pPr>
        <w:pStyle w:val="TextBody"/>
        <w:bidi w:val="0"/>
        <w:spacing w:lineRule="auto" w:line="240" w:before="79" w:after="283"/>
        <w:ind w:left="0" w:right="0" w:hanging="3107"/>
        <w:jc w:val="left"/>
        <w:rPr>
          <w:rFonts w:ascii="Times New Roman;sans-serif" w:hAnsi="Times New Roman;sans-serif"/>
          <w:b/>
          <w:color w:val="000000"/>
          <w:sz w:val="24"/>
        </w:rPr>
      </w:pPr>
      <w:r>
        <w:rPr>
          <w:rFonts w:ascii="Times New Roman;sans-serif" w:hAnsi="Times New Roman;sans-serif"/>
          <w:b/>
          <w:color w:val="000000"/>
          <w:sz w:val="24"/>
        </w:rPr>
        <w:t>ARTERIS, INC. POLICY FOR RECOVERY OF ERRONEOUSLY AWARDED COMPENSATION</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Arteris,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Capitalized terms used in this Policy but not otherwise defined herein are defined in Section 11.</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Persons Subject to Policy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2.</w:t>
      </w:r>
      <w:r>
        <w:rPr>
          <w:rFonts w:ascii="Times New Roman;sans-serif" w:hAnsi="Times New Roman;sans-serif"/>
          <w:b/>
          <w:color w:val="000000"/>
          <w:sz w:val="24"/>
          <w:u w:val="single"/>
        </w:rPr>
        <w:t>Compensation Subject to Policy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3.</w:t>
      </w:r>
      <w:r>
        <w:rPr>
          <w:rFonts w:ascii="Times New Roman;sans-serif" w:hAnsi="Times New Roman;sans-serif"/>
          <w:b/>
          <w:color w:val="000000"/>
          <w:sz w:val="24"/>
          <w:u w:val="single"/>
        </w:rPr>
        <w:t>Recovery of Compensation</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4.</w:t>
      </w:r>
      <w:r>
        <w:rPr>
          <w:rFonts w:ascii="Times New Roman;sans-serif" w:hAnsi="Times New Roman;sans-serif"/>
          <w:b/>
          <w:color w:val="000000"/>
          <w:sz w:val="24"/>
          <w:u w:val="single"/>
        </w:rPr>
        <w:t>Manner of Recovery; Limitation on Duplicative Recovery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w:t>
      </w:r>
    </w:p>
    <w:p>
      <w:pPr>
        <w:pStyle w:val="TextBody"/>
        <w:bidi w:val="0"/>
        <w:spacing w:before="0" w:after="0"/>
        <w:jc w:val="left"/>
        <w:rPr/>
      </w:pPr>
      <w:r>
        <w:rPr/>
      </w:r>
    </w:p>
    <w:p>
      <w:pPr>
        <w:pStyle w:val="TextBody"/>
        <w:bidi w:val="0"/>
        <w:spacing w:before="6" w:after="283"/>
        <w:jc w:val="left"/>
        <w:rPr/>
      </w:pPr>
      <w:r>
        <w:rPr/>
      </w:r>
    </w:p>
    <w:p>
      <w:pPr>
        <w:pStyle w:val="TextBody"/>
        <w:bidi w:val="0"/>
        <w:spacing w:before="92"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97.1</w:t>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5.</w:t>
      </w:r>
      <w:r>
        <w:rPr>
          <w:rFonts w:ascii="Times New Roman;sans-serif" w:hAnsi="Times New Roman;sans-serif"/>
          <w:b/>
          <w:color w:val="000000"/>
          <w:sz w:val="24"/>
          <w:u w:val="single"/>
        </w:rPr>
        <w:t>Administration</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Interpretation</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7.</w:t>
      </w:r>
      <w:r>
        <w:rPr>
          <w:rFonts w:ascii="Times New Roman;sans-serif" w:hAnsi="Times New Roman;sans-serif"/>
          <w:b/>
          <w:color w:val="000000"/>
          <w:sz w:val="24"/>
          <w:u w:val="single"/>
        </w:rPr>
        <w:t>No Indemnification; No Liability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color w:val="000000"/>
          <w:sz w:val="24"/>
        </w:rPr>
        <w:t>8.</w:t>
      </w:r>
      <w:r>
        <w:rPr>
          <w:rFonts w:ascii="Times New Roman;sans-serif" w:hAnsi="Times New Roman;sans-serif"/>
          <w:b/>
          <w:color w:val="000000"/>
          <w:sz w:val="24"/>
          <w:u w:val="single"/>
        </w:rPr>
        <w:t>Application; Enforceability</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97.1</w: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remedy specified in this Policy shall not be exclusive and shall be in addition to every other right or remedy at law or in equity that may be available to the Company or an affiliate of the Company.</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9.</w:t>
      </w:r>
      <w:r>
        <w:rPr>
          <w:rFonts w:ascii="Times New Roman;sans-serif" w:hAnsi="Times New Roman;sans-serif"/>
          <w:b/>
          <w:color w:val="000000"/>
          <w:sz w:val="24"/>
          <w:u w:val="single"/>
        </w:rPr>
        <w:t>Severability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color w:val="000000"/>
          <w:sz w:val="24"/>
        </w:rPr>
        <w:t>10.</w:t>
      </w:r>
      <w:r>
        <w:rPr>
          <w:rFonts w:ascii="Times New Roman;sans-serif" w:hAnsi="Times New Roman;sans-serif"/>
          <w:b/>
          <w:color w:val="000000"/>
          <w:sz w:val="24"/>
          <w:u w:val="single"/>
        </w:rPr>
        <w:t>Amendment and Termination</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11.</w:t>
      </w:r>
      <w:r>
        <w:rPr>
          <w:rFonts w:ascii="Times New Roman;sans-serif" w:hAnsi="Times New Roman;sans-serif"/>
          <w:b/>
          <w:color w:val="000000"/>
          <w:sz w:val="24"/>
          <w:u w:val="single"/>
        </w:rPr>
        <w:t>Definitions</w:t>
      </w:r>
    </w:p>
    <w:p>
      <w:pPr>
        <w:pStyle w:val="TextBody"/>
        <w:bidi w:val="0"/>
        <w:spacing w:lineRule="auto" w:line="300" w:before="183" w:after="283"/>
        <w:ind w:left="0" w:right="0" w:firstLine="719"/>
        <w:jc w:val="both"/>
        <w:rPr/>
      </w:pPr>
      <w:r>
        <w:rPr>
          <w:color w:val="000000"/>
        </w:rPr>
        <w:t>“</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40" w:before="159" w:after="283"/>
        <w:ind w:left="0" w:right="0" w:firstLine="719"/>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before="0" w:after="0"/>
        <w:jc w:val="left"/>
        <w:rPr/>
      </w:pPr>
      <w:r>
        <w:rPr/>
      </w:r>
    </w:p>
    <w:p>
      <w:pPr>
        <w:pStyle w:val="TextBody"/>
        <w:bidi w:val="0"/>
        <w:spacing w:lineRule="auto" w:line="240" w:before="90" w:after="283"/>
        <w:jc w:val="left"/>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before="11"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97.1</w:t>
      </w:r>
    </w:p>
    <w:p>
      <w:pPr>
        <w:pStyle w:val="TextBody"/>
        <w:bidi w:val="0"/>
        <w:spacing w:lineRule="auto" w:line="240" w:before="79" w:after="283"/>
        <w:ind w:left="0" w:right="0" w:firstLine="719"/>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before="9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97.1</w:t>
      </w:r>
    </w:p>
    <w:p>
      <w:pPr>
        <w:pStyle w:val="TextBody"/>
        <w:bidi w:val="0"/>
        <w:spacing w:lineRule="auto" w:line="240" w:before="73" w:after="283"/>
        <w:jc w:val="center"/>
        <w:rPr>
          <w:rFonts w:ascii="Times New Roman;sans-serif" w:hAnsi="Times New Roman;sans-serif"/>
          <w:b/>
          <w:color w:val="000000"/>
          <w:sz w:val="24"/>
        </w:rPr>
      </w:pPr>
      <w:r>
        <w:rPr>
          <w:rFonts w:ascii="Times New Roman;sans-serif" w:hAnsi="Times New Roman;sans-serif"/>
          <w:b/>
          <w:color w:val="000000"/>
          <w:sz w:val="24"/>
        </w:rPr>
        <w:t>ACKNOWLEDGMENT AND CONSENT TO</w:t>
      </w:r>
    </w:p>
    <w:p>
      <w:pPr>
        <w:pStyle w:val="TextBody"/>
        <w:bidi w:val="0"/>
        <w:spacing w:lineRule="auto" w:line="240" w:before="21" w:after="283"/>
        <w:jc w:val="center"/>
        <w:rPr>
          <w:rFonts w:ascii="Times New Roman;sans-serif" w:hAnsi="Times New Roman;sans-serif"/>
          <w:b/>
          <w:color w:val="000000"/>
          <w:sz w:val="24"/>
        </w:rPr>
      </w:pPr>
      <w:r>
        <w:rPr>
          <w:rFonts w:ascii="Times New Roman;sans-serif" w:hAnsi="Times New Roman;sans-serif"/>
          <w:b/>
          <w:color w:val="000000"/>
          <w:sz w:val="24"/>
        </w:rPr>
        <w:t>POLICY FOR RECOVERY OF ERRONEOUSLY AWARDED COMPENSATION</w:t>
      </w:r>
    </w:p>
    <w:p>
      <w:pPr>
        <w:pStyle w:val="TextBody"/>
        <w:bidi w:val="0"/>
        <w:spacing w:before="0" w:after="0"/>
        <w:jc w:val="left"/>
        <w:rPr/>
      </w:pPr>
      <w:r>
        <w:rPr/>
      </w:r>
    </w:p>
    <w:p>
      <w:pPr>
        <w:pStyle w:val="TextBody"/>
        <w:bidi w:val="0"/>
        <w:spacing w:lineRule="auto" w:line="300" w:before="182"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received a copy of the Policy for Recovery of Erroneously Awarded Compensation (the “Policy”) adopted by Arteris, Inc. (the “Company”).</w:t>
      </w:r>
    </w:p>
    <w:p>
      <w:pPr>
        <w:pStyle w:val="TextBody"/>
        <w:bidi w:val="0"/>
        <w:spacing w:lineRule="auto" w:line="300" w:before="159"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tbl>
      <w:tblPr>
        <w:tblW w:w="7312" w:type="dxa"/>
        <w:jc w:val="left"/>
        <w:tblInd w:w="0" w:type="dxa"/>
        <w:tblLayout w:type="fixed"/>
        <w:tblCellMar>
          <w:top w:w="28" w:type="dxa"/>
          <w:left w:w="28" w:type="dxa"/>
          <w:bottom w:w="28" w:type="dxa"/>
          <w:right w:w="28" w:type="dxa"/>
        </w:tblCellMar>
      </w:tblPr>
      <w:tblGrid>
        <w:gridCol w:w="863"/>
        <w:gridCol w:w="758"/>
        <w:gridCol w:w="760"/>
        <w:gridCol w:w="1444"/>
        <w:gridCol w:w="1444"/>
        <w:gridCol w:w="2043"/>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7" w:after="1"/>
              <w:jc w:val="left"/>
              <w:rPr/>
            </w:pPr>
            <w:r>
              <w:rPr/>
            </w:r>
          </w:p>
          <w:p>
            <w:pPr>
              <w:pStyle w:val="TableContents"/>
              <w:bidi w:val="0"/>
              <w:spacing w:before="0" w:after="0"/>
              <w:jc w:val="left"/>
              <w:rPr/>
            </w:pPr>
            <w:r>
              <w:rPr/>
              <w:drawing>
                <wp:inline distT="0" distB="0" distL="0" distR="0">
                  <wp:extent cx="1447800" cy="14605"/>
                  <wp:effectExtent l="0" t="0" r="0" b="0"/>
                  <wp:docPr id="1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 descr=""/>
                          <pic:cNvPicPr>
                            <a:picLocks noChangeAspect="1" noChangeArrowheads="1"/>
                          </pic:cNvPicPr>
                        </pic:nvPicPr>
                        <pic:blipFill>
                          <a:blip r:embed="rId27"/>
                          <a:stretch>
                            <a:fillRect/>
                          </a:stretch>
                        </pic:blipFill>
                        <pic:spPr bwMode="auto">
                          <a:xfrm>
                            <a:off x="0" y="0"/>
                            <a:ext cx="1447800" cy="14605"/>
                          </a:xfrm>
                          <a:prstGeom prst="rect">
                            <a:avLst/>
                          </a:prstGeom>
                        </pic:spPr>
                      </pic:pic>
                    </a:graphicData>
                  </a:graphic>
                </wp:inline>
              </w:drawing>
            </w:r>
          </w:p>
          <w:p>
            <w:pPr>
              <w:pStyle w:val="TableContents"/>
              <w:bidi w:val="0"/>
              <w:spacing w:lineRule="auto" w:line="240" w:before="167"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931" w:type="dxa"/>
            <w:gridSpan w:val="3"/>
            <w:tcBorders/>
            <w:tcMar>
              <w:top w:w="0" w:type="dxa"/>
              <w:left w:w="0" w:type="dxa"/>
              <w:bottom w:w="0" w:type="dxa"/>
              <w:right w:w="0" w:type="dxa"/>
            </w:tcMar>
            <w:vAlign w:val="center"/>
          </w:tcPr>
          <w:p>
            <w:pPr>
              <w:pStyle w:val="TableContents"/>
              <w:bidi w:val="0"/>
              <w:spacing w:before="7" w:after="1"/>
              <w:jc w:val="left"/>
              <w:rPr/>
            </w:pPr>
            <w:r>
              <w:rPr/>
            </w:r>
          </w:p>
          <w:p>
            <w:pPr>
              <w:pStyle w:val="TableContents"/>
              <w:bidi w:val="0"/>
              <w:spacing w:before="0" w:after="0"/>
              <w:jc w:val="left"/>
              <w:rPr/>
            </w:pPr>
            <w:r>
              <w:rPr/>
              <w:drawing>
                <wp:inline distT="0" distB="0" distL="0" distR="0">
                  <wp:extent cx="3048000" cy="14605"/>
                  <wp:effectExtent l="0" t="0" r="0" b="0"/>
                  <wp:docPr id="1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 descr=""/>
                          <pic:cNvPicPr>
                            <a:picLocks noChangeAspect="1" noChangeArrowheads="1"/>
                          </pic:cNvPicPr>
                        </pic:nvPicPr>
                        <pic:blipFill>
                          <a:blip r:embed="rId28"/>
                          <a:stretch>
                            <a:fillRect/>
                          </a:stretch>
                        </pic:blipFill>
                        <pic:spPr bwMode="auto">
                          <a:xfrm>
                            <a:off x="0" y="0"/>
                            <a:ext cx="3048000" cy="14605"/>
                          </a:xfrm>
                          <a:prstGeom prst="rect">
                            <a:avLst/>
                          </a:prstGeom>
                        </pic:spPr>
                      </pic:pic>
                    </a:graphicData>
                  </a:graphic>
                </wp:inline>
              </w:drawing>
            </w:r>
          </w:p>
          <w:p>
            <w:pPr>
              <w:pStyle w:val="TableContents"/>
              <w:bidi w:val="0"/>
              <w:spacing w:lineRule="auto" w:line="240" w:before="167"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1" w:after="283"/>
              <w:jc w:val="left"/>
              <w:rPr/>
            </w:pPr>
            <w:r>
              <w:rPr/>
            </w:r>
          </w:p>
          <w:p>
            <w:pPr>
              <w:pStyle w:val="TableContents"/>
              <w:bidi w:val="0"/>
              <w:spacing w:before="0" w:after="0"/>
              <w:jc w:val="left"/>
              <w:rPr/>
            </w:pPr>
            <w:r>
              <w:rPr/>
              <w:drawing>
                <wp:inline distT="0" distB="0" distL="0" distR="0">
                  <wp:extent cx="3048000" cy="14605"/>
                  <wp:effectExtent l="0" t="0" r="0" b="0"/>
                  <wp:docPr id="1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 descr=""/>
                          <pic:cNvPicPr>
                            <a:picLocks noChangeAspect="1" noChangeArrowheads="1"/>
                          </pic:cNvPicPr>
                        </pic:nvPicPr>
                        <pic:blipFill>
                          <a:blip r:embed="rId29"/>
                          <a:stretch>
                            <a:fillRect/>
                          </a:stretch>
                        </pic:blipFill>
                        <pic:spPr bwMode="auto">
                          <a:xfrm>
                            <a:off x="0" y="0"/>
                            <a:ext cx="3048000" cy="14605"/>
                          </a:xfrm>
                          <a:prstGeom prst="rect">
                            <a:avLst/>
                          </a:prstGeom>
                        </pic:spPr>
                      </pic:pic>
                    </a:graphicData>
                  </a:graphic>
                </wp:inline>
              </w:drawing>
            </w:r>
          </w:p>
          <w:p>
            <w:pPr>
              <w:pStyle w:val="TableContents"/>
              <w:bidi w:val="0"/>
              <w:spacing w:lineRule="auto" w:line="240" w:before="165"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1" w:after="283"/>
              <w:jc w:val="left"/>
              <w:rPr/>
            </w:pPr>
            <w:r>
              <w:rPr/>
            </w:r>
          </w:p>
          <w:p>
            <w:pPr>
              <w:pStyle w:val="TableContents"/>
              <w:bidi w:val="0"/>
              <w:spacing w:before="0" w:after="0"/>
              <w:jc w:val="left"/>
              <w:rPr/>
            </w:pPr>
            <w:r>
              <w:rPr/>
              <w:drawing>
                <wp:inline distT="0" distB="0" distL="0" distR="0">
                  <wp:extent cx="3048000" cy="14605"/>
                  <wp:effectExtent l="0" t="0" r="0" b="0"/>
                  <wp:docPr id="1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 descr=""/>
                          <pic:cNvPicPr>
                            <a:picLocks noChangeAspect="1" noChangeArrowheads="1"/>
                          </pic:cNvPicPr>
                        </pic:nvPicPr>
                        <pic:blipFill>
                          <a:blip r:embed="rId30"/>
                          <a:stretch>
                            <a:fillRect/>
                          </a:stretch>
                        </pic:blipFill>
                        <pic:spPr bwMode="auto">
                          <a:xfrm>
                            <a:off x="0" y="0"/>
                            <a:ext cx="3048000" cy="14605"/>
                          </a:xfrm>
                          <a:prstGeom prst="rect">
                            <a:avLst/>
                          </a:prstGeom>
                        </pic:spPr>
                      </pic:pic>
                    </a:graphicData>
                  </a:graphic>
                </wp:inline>
              </w:drawing>
            </w:r>
          </w:p>
          <w:p>
            <w:pPr>
              <w:pStyle w:val="TableContents"/>
              <w:bidi w:val="0"/>
              <w:spacing w:lineRule="auto" w:line="256" w:before="167"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before="92"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2.htm" TargetMode="External"/><Relationship Id="rId4" Type="http://schemas.openxmlformats.org/officeDocument/2006/relationships/hyperlink" Target="https://www.sec.gov/Archives/edgar/data/1667011/000119312521300473/d52087dex41.htm" TargetMode="External"/><Relationship Id="rId5" Type="http://schemas.openxmlformats.org/officeDocument/2006/relationships/hyperlink" Target="http://www.sec.gov/Archives/edgar/data/0001667011/000119312521289866/d52087dex101.htm" TargetMode="External"/><Relationship Id="rId6" Type="http://schemas.openxmlformats.org/officeDocument/2006/relationships/hyperlink" Target="http://www.sec.gov/Archives/edgar/data/0001667011/000119312521289866/d52087dex102.htm" TargetMode="External"/><Relationship Id="rId7" Type="http://schemas.openxmlformats.org/officeDocument/2006/relationships/hyperlink" Target="http://www.sec.gov/Archives/edgar/data/0001667011/000119312521289866/d52087dex103.htm" TargetMode="External"/><Relationship Id="rId8" Type="http://schemas.openxmlformats.org/officeDocument/2006/relationships/hyperlink" Target="http://www.sec.gov/Archives/edgar/data/0001667011/000119312521289866/d52087dex104.htm" TargetMode="External"/><Relationship Id="rId9" Type="http://schemas.openxmlformats.org/officeDocument/2006/relationships/hyperlink" Target="http://www.sec.gov/Archives/edgar/data/0001667011/000119312521289866/d52087dex106.htm" TargetMode="External"/><Relationship Id="rId10" Type="http://schemas.openxmlformats.org/officeDocument/2006/relationships/hyperlink" Target="http://www.sec.gov/Archives/edgar/data/0001667011/000119312521289866/d52087dex1010.htm" TargetMode="External"/><Relationship Id="rId11" Type="http://schemas.openxmlformats.org/officeDocument/2006/relationships/hyperlink" Target="http://www.sec.gov/Archives/edgar/data/1667011/000119312521313603/d210056dex991a.htm" TargetMode="External"/><Relationship Id="rId12" Type="http://schemas.openxmlformats.org/officeDocument/2006/relationships/hyperlink" Target="http://www.sec.gov/Archives/edgar/data/0001667011/000119312521289866/d52087dex1012.htm" TargetMode="External"/><Relationship Id="rId13" Type="http://schemas.openxmlformats.org/officeDocument/2006/relationships/hyperlink" Target="https://www.sec.gov/Archives/edgar/data/1667011/000119312521313603/d210056dex992a.htm" TargetMode="External"/><Relationship Id="rId14" Type="http://schemas.openxmlformats.org/officeDocument/2006/relationships/hyperlink" Target="https://www.sec.gov/Archives/edgar/data/1667011/000119312521300473/d52087dex1014.htm" TargetMode="External"/><Relationship Id="rId15" Type="http://schemas.openxmlformats.org/officeDocument/2006/relationships/hyperlink" Target="https://www.sec.gov/Archives/edgar/data/1667011/000119312521300473/d52087dex1015.htm" TargetMode="External"/><Relationship Id="rId16" Type="http://schemas.openxmlformats.org/officeDocument/2006/relationships/hyperlink" Target="https://www.sec.gov/Archives/edgar/data/1667011/000119312521313603/d210056dex993.htm" TargetMode="External"/><Relationship Id="rId17" Type="http://schemas.openxmlformats.org/officeDocument/2006/relationships/hyperlink" Target="https://www.sec.gov/Archives/edgar/data/1667011/000119312521300473/d52087dex1017.htm" TargetMode="External"/><Relationship Id="rId18" Type="http://schemas.openxmlformats.org/officeDocument/2006/relationships/hyperlink" Target="https://www.sec.gov/Archives/edgar/data/1667011/000119312521300473/d52087dex1018.htm" TargetMode="External"/><Relationship Id="rId19" Type="http://schemas.openxmlformats.org/officeDocument/2006/relationships/hyperlink" Target="https://www.sec.gov/Archives/edgar/data/1667011/000119312521300473/d52087dex1019.htm" TargetMode="External"/><Relationship Id="rId20" Type="http://schemas.openxmlformats.org/officeDocument/2006/relationships/hyperlink" Target="http://www.sec.gov/Archives/edgar/data/1667011/000119312521353839/d251768dex101.htm" TargetMode="External"/><Relationship Id="rId21" Type="http://schemas.openxmlformats.org/officeDocument/2006/relationships/hyperlink" Target="https://www.sec.gov/Archives/edgar/data/1667011/000166701122000010/exhibit1021.htm" TargetMode="External"/><Relationship Id="rId22" Type="http://schemas.openxmlformats.org/officeDocument/2006/relationships/hyperlink" Target="https://www.sec.gov/Archives/edgar/data/1667011/000166701122000019/transchipsparedactions.htm" TargetMode="External"/><Relationship Id="rId23" Type="http://schemas.openxmlformats.org/officeDocument/2006/relationships/hyperlink" Target="https://www.sec.gov/Archives/edgar/data/1667011/000166701122000036/transchipsharepurchaseands.htm" TargetMode="External"/><Relationship Id="rId24" Type="http://schemas.openxmlformats.org/officeDocument/2006/relationships/hyperlink" Target="https://www.sec.gov/Archives/edgar/data/1667011/000166701122000036/arteris-2022employmentindu.htm" TargetMode="External"/><Relationship Id="rId25" Type="http://schemas.openxmlformats.org/officeDocument/2006/relationships/hyperlink" Target="https://www.sec.gov/Archives/edgar/data/1667011/000166701122000036/arteris-formoptionagreement.htm" TargetMode="External"/><Relationship Id="rId26" Type="http://schemas.openxmlformats.org/officeDocument/2006/relationships/hyperlink" Target="https://www.sec.gov/Archives/edgar/data/1667011/000166701122000036/arteris-formrsuagreement20.htm" TargetMode="External"/><Relationship Id="rId27" Type="http://schemas.openxmlformats.org/officeDocument/2006/relationships/image" Target="media/image1.png"/><Relationship Id="rId28" Type="http://schemas.openxmlformats.org/officeDocument/2006/relationships/image" Target="media/image2.png"/><Relationship Id="rId29" Type="http://schemas.openxmlformats.org/officeDocument/2006/relationships/image" Target="media/image2.png"/><Relationship Id="rId30" Type="http://schemas.openxmlformats.org/officeDocument/2006/relationships/image" Target="media/image2.pn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76648</Words>
  <Characters>431944</Characters>
  <CharactersWithSpaces>505736</CharactersWithSpaces>
  <Paragraphs>3926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