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358775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10-K</w:t>
      </w:r>
    </w:p>
    <w:p>
      <w:pPr>
        <w:spacing w:after="0" w:line="92"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39" w:lineRule="exact"/>
        <w:rPr>
          <w:sz w:val="24"/>
          <w:szCs w:val="24"/>
          <w:color w:val="auto"/>
        </w:rPr>
      </w:pPr>
    </w:p>
    <w:p>
      <w:pPr>
        <w:ind w:left="480" w:hanging="461"/>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1"/>
          <w:szCs w:val="11"/>
          <w:color w:val="auto"/>
        </w:rPr>
        <w:t>ANNUAL REPORT PURSUANT TO SECTION 13 OR 15(d) 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ectPr>
          <w:pgSz w:w="11900" w:h="16838" w:orient="portrait"/>
          <w:cols w:equalWidth="0" w:num="1">
            <w:col w:w="11300"/>
          </w:cols>
          <w:pgMar w:left="300" w:top="210" w:right="299" w:bottom="1440" w:gutter="0" w:footer="0" w:header="0"/>
        </w:sectPr>
      </w:pPr>
    </w:p>
    <w:p>
      <w:pPr>
        <w:spacing w:after="0" w:line="92" w:lineRule="exact"/>
        <w:rPr>
          <w:sz w:val="24"/>
          <w:szCs w:val="24"/>
          <w:color w:val="auto"/>
        </w:rPr>
      </w:pPr>
    </w:p>
    <w:p>
      <w:pPr>
        <w:ind w:left="2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1"/>
          <w:szCs w:val="11"/>
          <w:color w:val="auto"/>
        </w:rPr>
        <w:t>TRANSITION REPORT PURSUANT TO SECTION 13 OR 15(d) OF THE SECURITIES EXCHANGE ACT OF 1934</w:t>
      </w:r>
    </w:p>
    <w:p>
      <w:pPr>
        <w:spacing w:after="0" w:line="103" w:lineRule="exact"/>
        <w:rPr>
          <w:sz w:val="24"/>
          <w:szCs w:val="24"/>
          <w:color w:val="auto"/>
        </w:rPr>
      </w:pPr>
    </w:p>
    <w:p>
      <w:pPr>
        <w:sectPr>
          <w:pgSz w:w="11900" w:h="16838" w:orient="portrait"/>
          <w:cols w:equalWidth="0" w:num="2">
            <w:col w:w="100" w:space="400"/>
            <w:col w:w="10800"/>
          </w:cols>
          <w:pgMar w:left="300" w:top="210" w:right="299" w:bottom="1440" w:gutter="0" w:footer="0" w:header="0"/>
          <w:type w:val="continuous"/>
        </w:sectPr>
      </w:pPr>
    </w:p>
    <w:p>
      <w:pPr>
        <w:jc w:val="center"/>
        <w:ind w:right="20"/>
        <w:spacing w:after="0"/>
        <w:rPr>
          <w:sz w:val="20"/>
          <w:szCs w:val="20"/>
          <w:color w:val="auto"/>
        </w:rPr>
      </w:pPr>
      <w:r>
        <w:rPr>
          <w:rFonts w:ascii="Arial" w:cs="Arial" w:eastAsia="Arial" w:hAnsi="Arial"/>
          <w:sz w:val="11"/>
          <w:szCs w:val="11"/>
          <w:b w:val="1"/>
          <w:bCs w:val="1"/>
          <w:color w:val="auto"/>
        </w:rPr>
        <w:t>For the transition period from to</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001-40960</w:t>
      </w:r>
    </w:p>
    <w:p>
      <w:pPr>
        <w:sectPr>
          <w:pgSz w:w="11900" w:h="16838" w:orient="portrait"/>
          <w:cols w:equalWidth="0" w:num="1">
            <w:col w:w="11300"/>
          </w:cols>
          <w:pgMar w:left="300" w:top="210" w:right="299" w:bottom="1440" w:gutter="0" w:footer="0" w:header="0"/>
          <w:type w:val="continuous"/>
        </w:sectPr>
      </w:pP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231F20"/>
        </w:rPr>
        <w:t>ARTERIS,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300"/>
          </w:cols>
          <w:pgMar w:left="300" w:top="210" w:right="299" w:bottom="1440" w:gutter="0" w:footer="0" w:header="0"/>
          <w:type w:val="continuous"/>
        </w:sectPr>
      </w:pPr>
    </w:p>
    <w:p>
      <w:pPr>
        <w:spacing w:after="0" w:line="116" w:lineRule="exact"/>
        <w:rPr>
          <w:sz w:val="24"/>
          <w:szCs w:val="24"/>
          <w:color w:val="auto"/>
        </w:rPr>
      </w:pPr>
    </w:p>
    <w:p>
      <w:pPr>
        <w:ind w:left="262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27-0117058</w:t>
      </w:r>
    </w:p>
    <w:p>
      <w:pPr>
        <w:spacing w:after="0" w:line="47" w:lineRule="exact"/>
        <w:rPr>
          <w:sz w:val="24"/>
          <w:szCs w:val="24"/>
          <w:color w:val="auto"/>
        </w:rPr>
      </w:pPr>
    </w:p>
    <w:p>
      <w:pPr>
        <w:sectPr>
          <w:pgSz w:w="11900" w:h="16838" w:orient="portrait"/>
          <w:cols w:equalWidth="0" w:num="2">
            <w:col w:w="7540" w:space="720"/>
            <w:col w:w="3040"/>
          </w:cols>
          <w:pgMar w:left="300" w:top="210" w:right="299" w:bottom="1440" w:gutter="0" w:footer="0" w:header="0"/>
          <w:type w:val="continuous"/>
        </w:sectPr>
      </w:pPr>
    </w:p>
    <w:p>
      <w:pPr>
        <w:ind w:left="142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61" w:lineRule="exact"/>
        <w:rPr>
          <w:sz w:val="24"/>
          <w:szCs w:val="24"/>
          <w:color w:val="auto"/>
        </w:rPr>
      </w:pPr>
    </w:p>
    <w:p>
      <w:pPr>
        <w:sectPr>
          <w:pgSz w:w="11900" w:h="16838" w:orient="portrait"/>
          <w:cols w:equalWidth="0" w:num="2">
            <w:col w:w="7000" w:space="720"/>
            <w:col w:w="3580"/>
          </w:cols>
          <w:pgMar w:left="300" w:top="210" w:right="299" w:bottom="1440" w:gutter="0" w:footer="0" w:header="0"/>
          <w:type w:val="continuous"/>
        </w:sectPr>
      </w:pPr>
    </w:p>
    <w:p>
      <w:pPr>
        <w:jc w:val="center"/>
        <w:ind w:right="-19"/>
        <w:spacing w:after="0"/>
        <w:rPr>
          <w:sz w:val="20"/>
          <w:szCs w:val="20"/>
          <w:color w:val="auto"/>
        </w:rPr>
      </w:pPr>
      <w:r>
        <w:rPr>
          <w:rFonts w:ascii="Arial" w:cs="Arial" w:eastAsia="Arial" w:hAnsi="Arial"/>
          <w:sz w:val="11"/>
          <w:szCs w:val="11"/>
          <w:b w:val="1"/>
          <w:bCs w:val="1"/>
          <w:color w:val="auto"/>
        </w:rPr>
        <w:t>595 Millich Dr. Suite 200</w:t>
      </w:r>
    </w:p>
    <w:p>
      <w:pPr>
        <w:jc w:val="center"/>
        <w:ind w:right="-19"/>
        <w:spacing w:after="0" w:line="229" w:lineRule="auto"/>
        <w:rPr>
          <w:sz w:val="20"/>
          <w:szCs w:val="20"/>
          <w:color w:val="auto"/>
        </w:rPr>
      </w:pPr>
      <w:r>
        <w:rPr>
          <w:rFonts w:ascii="Arial" w:cs="Arial" w:eastAsia="Arial" w:hAnsi="Arial"/>
          <w:sz w:val="11"/>
          <w:szCs w:val="11"/>
          <w:b w:val="1"/>
          <w:bCs w:val="1"/>
          <w:color w:val="auto"/>
        </w:rPr>
        <w:t>Campbell, CA 95008</w:t>
      </w:r>
    </w:p>
    <w:p>
      <w:pPr>
        <w:jc w:val="center"/>
        <w:ind w:right="-19"/>
        <w:spacing w:after="0"/>
        <w:rPr>
          <w:sz w:val="20"/>
          <w:szCs w:val="20"/>
          <w:color w:val="auto"/>
        </w:rPr>
      </w:pPr>
      <w:r>
        <w:rPr>
          <w:rFonts w:ascii="Arial" w:cs="Arial" w:eastAsia="Arial" w:hAnsi="Arial"/>
          <w:sz w:val="11"/>
          <w:szCs w:val="11"/>
          <w:b w:val="1"/>
          <w:bCs w:val="1"/>
          <w:color w:val="auto"/>
        </w:rPr>
        <w:t>(408) 470-7300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(Address, including zip code, and telephone number, including area code, of registrant’s principal executive offices)</w:t>
      </w:r>
    </w:p>
    <w:p>
      <w:pPr>
        <w:spacing w:after="0" w:line="167"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Securities registered pursuant to Section 12(b) of the Act:</w:t>
      </w:r>
    </w:p>
    <w:p>
      <w:pPr>
        <w:spacing w:after="0" w:line="97" w:lineRule="exact"/>
        <w:rPr>
          <w:sz w:val="24"/>
          <w:szCs w:val="24"/>
          <w:color w:val="auto"/>
        </w:rPr>
      </w:pPr>
    </w:p>
    <w:tbl>
      <w:tblPr>
        <w:tblLayout w:type="fixed"/>
        <w:tblInd w:w="10" w:type="dxa"/>
        <w:tblCellMar>
          <w:top w:w="0" w:type="dxa"/>
          <w:left w:w="0" w:type="dxa"/>
          <w:bottom w:w="0" w:type="dxa"/>
          <w:right w:w="0" w:type="dxa"/>
        </w:tblCellMar>
      </w:tblPr>
      <w:tr>
        <w:trPr>
          <w:trHeight w:val="152"/>
        </w:trPr>
        <w:tc>
          <w:tcPr>
            <w:tcW w:w="4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Trading Symbol(s)</w:t>
            </w: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Name of each exchange on which registered</w:t>
            </w:r>
          </w:p>
        </w:tc>
      </w:tr>
      <w:tr>
        <w:trPr>
          <w:trHeight w:val="139"/>
        </w:trPr>
        <w:tc>
          <w:tcPr>
            <w:tcW w:w="4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Common Stock, $0.001 par value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AIP</w:t>
            </w:r>
          </w:p>
        </w:tc>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The Nasdaq Stock Market LLC</w:t>
            </w:r>
          </w:p>
        </w:tc>
      </w:tr>
    </w:tbl>
    <w:p>
      <w:pPr>
        <w:spacing w:after="0" w:line="234"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Securities registered pursuant to section 12(g) of the Act:</w:t>
      </w:r>
    </w:p>
    <w:p>
      <w:pPr>
        <w:spacing w:after="0" w:line="93" w:lineRule="exact"/>
        <w:rPr>
          <w:sz w:val="24"/>
          <w:szCs w:val="24"/>
          <w:color w:val="auto"/>
        </w:rPr>
      </w:pPr>
    </w:p>
    <w:p>
      <w:pPr>
        <w:spacing w:after="0"/>
        <w:rPr>
          <w:sz w:val="20"/>
          <w:szCs w:val="20"/>
          <w:color w:val="auto"/>
        </w:rPr>
      </w:pPr>
      <w:r>
        <w:rPr>
          <w:rFonts w:ascii="Arial" w:cs="Arial" w:eastAsia="Arial" w:hAnsi="Arial"/>
          <w:sz w:val="8"/>
          <w:szCs w:val="8"/>
          <w:color w:val="auto"/>
        </w:rPr>
        <w:t>Indicate by check mark if the registrant is a well-known seasoned issuer, as defined in Rule 405 of the Securities Act. Yes o No x</w:t>
      </w:r>
    </w:p>
    <w:p>
      <w:pPr>
        <w:spacing w:after="0" w:line="88" w:lineRule="exact"/>
        <w:rPr>
          <w:sz w:val="24"/>
          <w:szCs w:val="24"/>
          <w:color w:val="auto"/>
        </w:rPr>
      </w:pPr>
    </w:p>
    <w:p>
      <w:pPr>
        <w:spacing w:after="0"/>
        <w:rPr>
          <w:sz w:val="20"/>
          <w:szCs w:val="20"/>
          <w:color w:val="auto"/>
        </w:rPr>
      </w:pPr>
      <w:r>
        <w:rPr>
          <w:rFonts w:ascii="Arial" w:cs="Arial" w:eastAsia="Arial" w:hAnsi="Arial"/>
          <w:sz w:val="8"/>
          <w:szCs w:val="8"/>
          <w:color w:val="auto"/>
        </w:rPr>
        <w:t>Indicate by check mark if the registrant is not required to file reports pursuant to Section 13 or Section 15(d) of the Act. Yes o No x</w:t>
      </w:r>
    </w:p>
    <w:p>
      <w:pPr>
        <w:spacing w:after="0" w:line="88" w:lineRule="exact"/>
        <w:rPr>
          <w:sz w:val="24"/>
          <w:szCs w:val="24"/>
          <w:color w:val="auto"/>
        </w:rPr>
      </w:pPr>
    </w:p>
    <w:p>
      <w:pPr>
        <w:ind w:right="180"/>
        <w:spacing w:after="0" w:line="272" w:lineRule="auto"/>
        <w:rPr>
          <w:sz w:val="20"/>
          <w:szCs w:val="20"/>
          <w:color w:val="auto"/>
        </w:rPr>
      </w:pPr>
      <w:r>
        <w:rPr>
          <w:rFonts w:ascii="Arial" w:cs="Arial" w:eastAsia="Arial" w:hAnsi="Arial"/>
          <w:sz w:val="8"/>
          <w:szCs w:val="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7" w:lineRule="exact"/>
        <w:rPr>
          <w:sz w:val="24"/>
          <w:szCs w:val="24"/>
          <w:color w:val="auto"/>
        </w:rPr>
      </w:pPr>
    </w:p>
    <w:p>
      <w:pPr>
        <w:ind w:right="20"/>
        <w:spacing w:after="0" w:line="272" w:lineRule="auto"/>
        <w:rPr>
          <w:sz w:val="20"/>
          <w:szCs w:val="20"/>
          <w:color w:val="auto"/>
        </w:rPr>
      </w:pPr>
      <w:r>
        <w:rPr>
          <w:rFonts w:ascii="Arial" w:cs="Arial" w:eastAsia="Arial" w:hAnsi="Arial"/>
          <w:sz w:val="8"/>
          <w:szCs w:val="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67" w:lineRule="exact"/>
        <w:rPr>
          <w:sz w:val="24"/>
          <w:szCs w:val="24"/>
          <w:color w:val="auto"/>
        </w:rPr>
      </w:pPr>
    </w:p>
    <w:p>
      <w:pPr>
        <w:spacing w:after="0"/>
        <w:rPr>
          <w:sz w:val="20"/>
          <w:szCs w:val="20"/>
          <w:color w:val="auto"/>
        </w:rPr>
      </w:pPr>
      <w:r>
        <w:rPr>
          <w:rFonts w:ascii="Arial" w:cs="Arial" w:eastAsia="Arial" w:hAnsi="Arial"/>
          <w:sz w:val="8"/>
          <w:szCs w:val="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01"/>
        </w:trPr>
        <w:tc>
          <w:tcPr>
            <w:tcW w:w="2680" w:type="dxa"/>
            <w:vAlign w:val="bottom"/>
          </w:tcPr>
          <w:p>
            <w:pPr>
              <w:spacing w:after="0"/>
              <w:rPr>
                <w:sz w:val="20"/>
                <w:szCs w:val="20"/>
                <w:color w:val="auto"/>
              </w:rPr>
            </w:pPr>
            <w:r>
              <w:rPr>
                <w:rFonts w:ascii="Arial" w:cs="Arial" w:eastAsia="Arial" w:hAnsi="Arial"/>
                <w:sz w:val="8"/>
                <w:szCs w:val="8"/>
                <w:color w:val="auto"/>
              </w:rPr>
              <w:t>Large accelerated filer</w:t>
            </w:r>
          </w:p>
        </w:tc>
        <w:tc>
          <w:tcPr>
            <w:tcW w:w="2440" w:type="dxa"/>
            <w:vAlign w:val="bottom"/>
          </w:tcPr>
          <w:p>
            <w:pPr>
              <w:ind w:left="1840"/>
              <w:spacing w:after="0"/>
              <w:rPr>
                <w:sz w:val="20"/>
                <w:szCs w:val="20"/>
                <w:color w:val="auto"/>
              </w:rPr>
            </w:pPr>
            <w:r>
              <w:rPr>
                <w:rFonts w:ascii="Arial" w:cs="Arial" w:eastAsia="Arial" w:hAnsi="Arial"/>
                <w:sz w:val="8"/>
                <w:szCs w:val="8"/>
                <w:color w:val="auto"/>
              </w:rPr>
              <w:t>o</w:t>
            </w:r>
          </w:p>
        </w:tc>
        <w:tc>
          <w:tcPr>
            <w:tcW w:w="3300" w:type="dxa"/>
            <w:vAlign w:val="bottom"/>
          </w:tcPr>
          <w:p>
            <w:pPr>
              <w:ind w:left="540"/>
              <w:spacing w:after="0"/>
              <w:rPr>
                <w:sz w:val="20"/>
                <w:szCs w:val="20"/>
                <w:color w:val="auto"/>
              </w:rPr>
            </w:pPr>
            <w:r>
              <w:rPr>
                <w:rFonts w:ascii="Arial" w:cs="Arial" w:eastAsia="Arial" w:hAnsi="Arial"/>
                <w:sz w:val="8"/>
                <w:szCs w:val="8"/>
                <w:color w:val="auto"/>
              </w:rPr>
              <w:t>Accelerated filer</w:t>
            </w:r>
          </w:p>
        </w:tc>
        <w:tc>
          <w:tcPr>
            <w:tcW w:w="1780" w:type="dxa"/>
            <w:vAlign w:val="bottom"/>
          </w:tcPr>
          <w:p>
            <w:pPr>
              <w:ind w:left="1740"/>
              <w:spacing w:after="0"/>
              <w:rPr>
                <w:sz w:val="20"/>
                <w:szCs w:val="20"/>
                <w:color w:val="auto"/>
              </w:rPr>
            </w:pPr>
            <w:r>
              <w:rPr>
                <w:rFonts w:ascii="Arial" w:cs="Arial" w:eastAsia="Arial" w:hAnsi="Arial"/>
                <w:sz w:val="5"/>
                <w:szCs w:val="5"/>
                <w:color w:val="auto"/>
                <w:w w:val="70"/>
              </w:rPr>
              <w:t>o</w:t>
            </w:r>
          </w:p>
        </w:tc>
      </w:tr>
      <w:tr>
        <w:trPr>
          <w:trHeight w:val="127"/>
        </w:trPr>
        <w:tc>
          <w:tcPr>
            <w:tcW w:w="2680" w:type="dxa"/>
            <w:vAlign w:val="bottom"/>
          </w:tcPr>
          <w:p>
            <w:pPr>
              <w:spacing w:after="0"/>
              <w:rPr>
                <w:sz w:val="20"/>
                <w:szCs w:val="20"/>
                <w:color w:val="auto"/>
              </w:rPr>
            </w:pPr>
            <w:r>
              <w:rPr>
                <w:rFonts w:ascii="Arial" w:cs="Arial" w:eastAsia="Arial" w:hAnsi="Arial"/>
                <w:sz w:val="8"/>
                <w:szCs w:val="8"/>
                <w:color w:val="auto"/>
              </w:rPr>
              <w:t>Non-accelerated filer</w:t>
            </w:r>
          </w:p>
        </w:tc>
        <w:tc>
          <w:tcPr>
            <w:tcW w:w="2440" w:type="dxa"/>
            <w:vAlign w:val="bottom"/>
          </w:tcPr>
          <w:p>
            <w:pPr>
              <w:ind w:left="1840"/>
              <w:spacing w:after="0"/>
              <w:rPr>
                <w:sz w:val="20"/>
                <w:szCs w:val="20"/>
                <w:color w:val="auto"/>
              </w:rPr>
            </w:pPr>
            <w:r>
              <w:rPr>
                <w:rFonts w:ascii="Arial" w:cs="Arial" w:eastAsia="Arial" w:hAnsi="Arial"/>
                <w:sz w:val="8"/>
                <w:szCs w:val="8"/>
                <w:color w:val="auto"/>
              </w:rPr>
              <w:t>x</w:t>
            </w:r>
          </w:p>
        </w:tc>
        <w:tc>
          <w:tcPr>
            <w:tcW w:w="3300" w:type="dxa"/>
            <w:vAlign w:val="bottom"/>
          </w:tcPr>
          <w:p>
            <w:pPr>
              <w:ind w:left="540"/>
              <w:spacing w:after="0"/>
              <w:rPr>
                <w:sz w:val="20"/>
                <w:szCs w:val="20"/>
                <w:color w:val="auto"/>
              </w:rPr>
            </w:pPr>
            <w:r>
              <w:rPr>
                <w:rFonts w:ascii="Arial" w:cs="Arial" w:eastAsia="Arial" w:hAnsi="Arial"/>
                <w:sz w:val="8"/>
                <w:szCs w:val="8"/>
                <w:color w:val="auto"/>
              </w:rPr>
              <w:t>Smaller reporting company</w:t>
            </w:r>
          </w:p>
        </w:tc>
        <w:tc>
          <w:tcPr>
            <w:tcW w:w="1780" w:type="dxa"/>
            <w:vAlign w:val="bottom"/>
          </w:tcPr>
          <w:p>
            <w:pPr>
              <w:ind w:left="1740"/>
              <w:spacing w:after="0"/>
              <w:rPr>
                <w:sz w:val="20"/>
                <w:szCs w:val="20"/>
                <w:color w:val="auto"/>
              </w:rPr>
            </w:pPr>
            <w:r>
              <w:rPr>
                <w:rFonts w:ascii="Arial" w:cs="Arial" w:eastAsia="Arial" w:hAnsi="Arial"/>
                <w:sz w:val="5"/>
                <w:szCs w:val="5"/>
                <w:color w:val="auto"/>
                <w:w w:val="78"/>
              </w:rPr>
              <w:t>x</w:t>
            </w:r>
          </w:p>
        </w:tc>
      </w:tr>
      <w:tr>
        <w:trPr>
          <w:trHeight w:val="127"/>
        </w:trPr>
        <w:tc>
          <w:tcPr>
            <w:tcW w:w="26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300" w:type="dxa"/>
            <w:vAlign w:val="bottom"/>
          </w:tcPr>
          <w:p>
            <w:pPr>
              <w:ind w:left="540"/>
              <w:spacing w:after="0"/>
              <w:rPr>
                <w:sz w:val="20"/>
                <w:szCs w:val="20"/>
                <w:color w:val="auto"/>
              </w:rPr>
            </w:pPr>
            <w:r>
              <w:rPr>
                <w:rFonts w:ascii="Arial" w:cs="Arial" w:eastAsia="Arial" w:hAnsi="Arial"/>
                <w:sz w:val="8"/>
                <w:szCs w:val="8"/>
                <w:color w:val="auto"/>
              </w:rPr>
              <w:t>Emerging growth company</w:t>
            </w:r>
          </w:p>
        </w:tc>
        <w:tc>
          <w:tcPr>
            <w:tcW w:w="1780" w:type="dxa"/>
            <w:vAlign w:val="bottom"/>
          </w:tcPr>
          <w:p>
            <w:pPr>
              <w:ind w:left="1740"/>
              <w:spacing w:after="0"/>
              <w:rPr>
                <w:sz w:val="20"/>
                <w:szCs w:val="20"/>
                <w:color w:val="auto"/>
              </w:rPr>
            </w:pPr>
            <w:r>
              <w:rPr>
                <w:rFonts w:ascii="Arial" w:cs="Arial" w:eastAsia="Arial" w:hAnsi="Arial"/>
                <w:sz w:val="5"/>
                <w:szCs w:val="5"/>
                <w:color w:val="auto"/>
                <w:w w:val="78"/>
              </w:rPr>
              <w:t>x</w:t>
            </w:r>
          </w:p>
        </w:tc>
      </w:tr>
    </w:tbl>
    <w:p>
      <w:pPr>
        <w:spacing w:after="0" w:line="175" w:lineRule="exact"/>
        <w:rPr>
          <w:sz w:val="24"/>
          <w:szCs w:val="24"/>
          <w:color w:val="auto"/>
        </w:rPr>
      </w:pPr>
    </w:p>
    <w:p>
      <w:pPr>
        <w:spacing w:after="0"/>
        <w:rPr>
          <w:sz w:val="20"/>
          <w:szCs w:val="20"/>
          <w:color w:val="auto"/>
        </w:rPr>
      </w:pPr>
      <w:r>
        <w:rPr>
          <w:rFonts w:ascii="Arial" w:cs="Arial" w:eastAsia="Arial" w:hAnsi="Arial"/>
          <w:sz w:val="8"/>
          <w:szCs w:val="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8" w:lineRule="exact"/>
        <w:rPr>
          <w:sz w:val="24"/>
          <w:szCs w:val="24"/>
          <w:color w:val="auto"/>
        </w:rPr>
      </w:pPr>
    </w:p>
    <w:p>
      <w:pPr>
        <w:ind w:right="300"/>
        <w:spacing w:after="0" w:line="272" w:lineRule="auto"/>
        <w:rPr>
          <w:sz w:val="20"/>
          <w:szCs w:val="20"/>
          <w:color w:val="auto"/>
        </w:rPr>
      </w:pPr>
      <w:r>
        <w:rPr>
          <w:rFonts w:ascii="Arial" w:cs="Arial" w:eastAsia="Arial" w:hAnsi="Arial"/>
          <w:sz w:val="8"/>
          <w:szCs w:val="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67" w:lineRule="exact"/>
        <w:rPr>
          <w:sz w:val="24"/>
          <w:szCs w:val="24"/>
          <w:color w:val="auto"/>
        </w:rPr>
      </w:pPr>
    </w:p>
    <w:p>
      <w:pPr>
        <w:spacing w:after="0"/>
        <w:rPr>
          <w:sz w:val="20"/>
          <w:szCs w:val="20"/>
          <w:color w:val="auto"/>
        </w:rPr>
      </w:pPr>
      <w:r>
        <w:rPr>
          <w:rFonts w:ascii="Arial" w:cs="Arial" w:eastAsia="Arial" w:hAnsi="Arial"/>
          <w:sz w:val="8"/>
          <w:szCs w:val="8"/>
          <w:color w:val="auto"/>
        </w:rPr>
        <w:t>Indicate by check mark whether the registrant is a shell company (as defined in Rule 12b-2 of the Act). Yes o No x</w:t>
      </w:r>
    </w:p>
    <w:p>
      <w:pPr>
        <w:spacing w:after="0" w:line="88" w:lineRule="exact"/>
        <w:rPr>
          <w:sz w:val="24"/>
          <w:szCs w:val="24"/>
          <w:color w:val="auto"/>
        </w:rPr>
      </w:pPr>
    </w:p>
    <w:p>
      <w:pPr>
        <w:spacing w:after="0"/>
        <w:rPr>
          <w:sz w:val="20"/>
          <w:szCs w:val="20"/>
          <w:color w:val="auto"/>
        </w:rPr>
      </w:pPr>
      <w:r>
        <w:rPr>
          <w:rFonts w:ascii="Arial" w:cs="Arial" w:eastAsia="Arial" w:hAnsi="Arial"/>
          <w:sz w:val="8"/>
          <w:szCs w:val="8"/>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88" w:lineRule="exact"/>
        <w:rPr>
          <w:sz w:val="24"/>
          <w:szCs w:val="24"/>
          <w:color w:val="auto"/>
        </w:rPr>
      </w:pPr>
    </w:p>
    <w:p>
      <w:pPr>
        <w:spacing w:after="0"/>
        <w:rPr>
          <w:sz w:val="20"/>
          <w:szCs w:val="20"/>
          <w:color w:val="auto"/>
        </w:rPr>
      </w:pPr>
      <w:r>
        <w:rPr>
          <w:rFonts w:ascii="Arial" w:cs="Arial" w:eastAsia="Arial" w:hAnsi="Arial"/>
          <w:sz w:val="8"/>
          <w:szCs w:val="8"/>
          <w:color w:val="auto"/>
        </w:rPr>
        <w:t>As of February 28, 2022, there were 31,609,223 shares of the registrant’s common stock outstanding.</w:t>
      </w:r>
    </w:p>
    <w:p>
      <w:pPr>
        <w:spacing w:after="0" w:line="78"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DOCUMENTS INCORPORATED BY REFERENCE</w:t>
      </w:r>
    </w:p>
    <w:p>
      <w:pPr>
        <w:spacing w:after="0" w:line="56" w:lineRule="exact"/>
        <w:rPr>
          <w:sz w:val="24"/>
          <w:szCs w:val="24"/>
          <w:color w:val="auto"/>
        </w:rPr>
      </w:pPr>
    </w:p>
    <w:p>
      <w:pPr>
        <w:ind w:right="60"/>
        <w:spacing w:after="0" w:line="272" w:lineRule="auto"/>
        <w:rPr>
          <w:sz w:val="20"/>
          <w:szCs w:val="20"/>
          <w:color w:val="auto"/>
        </w:rPr>
      </w:pPr>
      <w:r>
        <w:rPr>
          <w:rFonts w:ascii="Arial" w:cs="Arial" w:eastAsia="Arial" w:hAnsi="Arial"/>
          <w:sz w:val="8"/>
          <w:szCs w:val="8"/>
          <w:color w:val="auto"/>
        </w:rPr>
        <w:t>Portions of the registrant's definitive Proxy Statement relating to the 2022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584200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71120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91440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10" w:right="29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40" w:type="dxa"/>
            <w:vAlign w:val="bottom"/>
            <w:gridSpan w:val="5"/>
          </w:tcPr>
          <w:p>
            <w:pPr>
              <w:ind w:left="100"/>
              <w:spacing w:after="0"/>
              <w:rPr>
                <w:sz w:val="20"/>
                <w:szCs w:val="20"/>
                <w:color w:val="auto"/>
              </w:rPr>
            </w:pPr>
            <w:r>
              <w:rPr>
                <w:rFonts w:ascii="Arial" w:cs="Arial" w:eastAsia="Arial" w:hAnsi="Arial"/>
                <w:sz w:val="14"/>
                <w:szCs w:val="14"/>
                <w:b w:val="1"/>
                <w:bCs w:val="1"/>
                <w:color w:val="auto"/>
              </w:rPr>
              <w:t>Table of Contents</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440" w:type="dxa"/>
            <w:vAlign w:val="bottom"/>
            <w:gridSpan w:val="2"/>
            <w:vMerge w:val="restart"/>
          </w:tcPr>
          <w:p>
            <w:pPr>
              <w:spacing w:after="0"/>
              <w:rPr>
                <w:rFonts w:ascii="Arial" w:cs="Arial" w:eastAsia="Arial" w:hAnsi="Arial"/>
                <w:sz w:val="13"/>
                <w:szCs w:val="13"/>
                <w:b w:val="1"/>
                <w:bCs w:val="1"/>
                <w:color w:val="0000FF"/>
                <w:w w:val="98"/>
              </w:rPr>
            </w:pPr>
            <w:hyperlink w:anchor="page4">
              <w:r>
                <w:rPr>
                  <w:rFonts w:ascii="Arial" w:cs="Arial" w:eastAsia="Arial" w:hAnsi="Arial"/>
                  <w:sz w:val="13"/>
                  <w:szCs w:val="13"/>
                  <w:b w:val="1"/>
                  <w:bCs w:val="1"/>
                  <w:color w:val="0000FF"/>
                  <w:w w:val="98"/>
                </w:rPr>
                <w:t>PART I</w:t>
              </w:r>
            </w:hyperlink>
          </w:p>
        </w:tc>
        <w:tc>
          <w:tcPr>
            <w:tcW w:w="8800" w:type="dxa"/>
            <w:vAlign w:val="bottom"/>
            <w:gridSpan w:val="26"/>
            <w:vMerge w:val="restart"/>
          </w:tcPr>
          <w:p>
            <w:pPr>
              <w:spacing w:after="0"/>
              <w:rPr>
                <w:sz w:val="24"/>
                <w:szCs w:val="2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24"/>
        </w:trPr>
        <w:tc>
          <w:tcPr>
            <w:tcW w:w="440" w:type="dxa"/>
            <w:vAlign w:val="bottom"/>
            <w:tcBorders>
              <w:bottom w:val="single" w:sz="8" w:color="0000FF"/>
            </w:tcBorders>
            <w:gridSpan w:val="2"/>
            <w:vMerge w:val="continue"/>
          </w:tcPr>
          <w:p>
            <w:pPr>
              <w:spacing w:after="0"/>
              <w:rPr>
                <w:sz w:val="10"/>
                <w:szCs w:val="10"/>
                <w:color w:val="auto"/>
              </w:rPr>
            </w:pPr>
          </w:p>
        </w:tc>
        <w:tc>
          <w:tcPr>
            <w:tcW w:w="8800" w:type="dxa"/>
            <w:vAlign w:val="bottom"/>
            <w:gridSpan w:val="26"/>
            <w:vMerge w:val="continue"/>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8820" w:type="dxa"/>
            <w:vAlign w:val="bottom"/>
            <w:gridSpan w:val="27"/>
          </w:tcPr>
          <w:p>
            <w:pPr>
              <w:spacing w:after="0"/>
              <w:rPr>
                <w:rFonts w:ascii="Arial" w:cs="Arial" w:eastAsia="Arial" w:hAnsi="Arial"/>
                <w:sz w:val="13"/>
                <w:szCs w:val="13"/>
                <w:color w:val="0000FF"/>
              </w:rPr>
            </w:pPr>
            <w:hyperlink w:anchor="page5">
              <w:r>
                <w:rPr>
                  <w:rFonts w:ascii="Arial" w:cs="Arial" w:eastAsia="Arial" w:hAnsi="Arial"/>
                  <w:sz w:val="13"/>
                  <w:szCs w:val="13"/>
                  <w:color w:val="0000FF"/>
                </w:rPr>
                <w:t>Item 1. Business.</w:t>
              </w:r>
            </w:hyperlink>
          </w:p>
        </w:tc>
        <w:tc>
          <w:tcPr>
            <w:tcW w:w="660" w:type="dxa"/>
            <w:vAlign w:val="bottom"/>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5</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 w:type="dxa"/>
            <w:vAlign w:val="bottom"/>
          </w:tcPr>
          <w:p>
            <w:pPr>
              <w:spacing w:after="0"/>
              <w:rPr>
                <w:sz w:val="13"/>
                <w:szCs w:val="13"/>
                <w:color w:val="auto"/>
              </w:rPr>
            </w:pPr>
          </w:p>
        </w:tc>
        <w:tc>
          <w:tcPr>
            <w:tcW w:w="8820" w:type="dxa"/>
            <w:vAlign w:val="bottom"/>
            <w:gridSpan w:val="27"/>
          </w:tcPr>
          <w:p>
            <w:pPr>
              <w:spacing w:after="0"/>
              <w:rPr>
                <w:rFonts w:ascii="Arial" w:cs="Arial" w:eastAsia="Arial" w:hAnsi="Arial"/>
                <w:sz w:val="13"/>
                <w:szCs w:val="13"/>
                <w:color w:val="0000FF"/>
              </w:rPr>
            </w:pPr>
            <w:hyperlink w:anchor="page22">
              <w:r>
                <w:rPr>
                  <w:rFonts w:ascii="Arial" w:cs="Arial" w:eastAsia="Arial" w:hAnsi="Arial"/>
                  <w:sz w:val="13"/>
                  <w:szCs w:val="13"/>
                  <w:color w:val="0000FF"/>
                </w:rPr>
                <w:t>Item 1A. Risk Factors.</w:t>
              </w:r>
            </w:hyperlink>
          </w:p>
        </w:tc>
        <w:tc>
          <w:tcPr>
            <w:tcW w:w="660" w:type="dxa"/>
            <w:vAlign w:val="bottom"/>
          </w:tcPr>
          <w:p>
            <w:pPr>
              <w:jc w:val="right"/>
              <w:spacing w:after="0"/>
              <w:rPr>
                <w:rFonts w:ascii="Arial" w:cs="Arial" w:eastAsia="Arial" w:hAnsi="Arial"/>
                <w:sz w:val="13"/>
                <w:szCs w:val="13"/>
                <w:color w:val="auto"/>
              </w:rPr>
            </w:pPr>
            <w:hyperlink w:anchor="page22">
              <w:r>
                <w:rPr>
                  <w:rFonts w:ascii="Arial" w:cs="Arial" w:eastAsia="Arial" w:hAnsi="Arial"/>
                  <w:sz w:val="13"/>
                  <w:szCs w:val="13"/>
                  <w:color w:val="auto"/>
                </w:rPr>
                <w:t>23</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 w:type="dxa"/>
            <w:vAlign w:val="bottom"/>
          </w:tcPr>
          <w:p>
            <w:pPr>
              <w:spacing w:after="0"/>
              <w:rPr>
                <w:sz w:val="13"/>
                <w:szCs w:val="13"/>
                <w:color w:val="auto"/>
              </w:rPr>
            </w:pPr>
          </w:p>
        </w:tc>
        <w:tc>
          <w:tcPr>
            <w:tcW w:w="8820" w:type="dxa"/>
            <w:vAlign w:val="bottom"/>
            <w:gridSpan w:val="27"/>
          </w:tcPr>
          <w:p>
            <w:pPr>
              <w:spacing w:after="0"/>
              <w:rPr>
                <w:rFonts w:ascii="Arial" w:cs="Arial" w:eastAsia="Arial" w:hAnsi="Arial"/>
                <w:sz w:val="13"/>
                <w:szCs w:val="13"/>
                <w:color w:val="0000FF"/>
              </w:rPr>
            </w:pPr>
            <w:hyperlink w:anchor="page56">
              <w:r>
                <w:rPr>
                  <w:rFonts w:ascii="Arial" w:cs="Arial" w:eastAsia="Arial" w:hAnsi="Arial"/>
                  <w:sz w:val="13"/>
                  <w:szCs w:val="13"/>
                  <w:color w:val="0000FF"/>
                </w:rPr>
                <w:t>Item 1B. Unresolved Staff Comments.</w:t>
              </w:r>
            </w:hyperlink>
          </w:p>
        </w:tc>
        <w:tc>
          <w:tcPr>
            <w:tcW w:w="660" w:type="dxa"/>
            <w:vAlign w:val="bottom"/>
          </w:tcPr>
          <w:p>
            <w:pPr>
              <w:jc w:val="right"/>
              <w:spacing w:after="0"/>
              <w:rPr>
                <w:rFonts w:ascii="Arial" w:cs="Arial" w:eastAsia="Arial" w:hAnsi="Arial"/>
                <w:sz w:val="13"/>
                <w:szCs w:val="13"/>
                <w:color w:val="auto"/>
              </w:rPr>
            </w:pPr>
            <w:hyperlink w:anchor="page56">
              <w:r>
                <w:rPr>
                  <w:rFonts w:ascii="Arial" w:cs="Arial" w:eastAsia="Arial" w:hAnsi="Arial"/>
                  <w:sz w:val="13"/>
                  <w:szCs w:val="13"/>
                  <w:color w:val="auto"/>
                </w:rPr>
                <w:t>56</w:t>
              </w:r>
            </w:hyperlink>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6"/>
          </w:tcPr>
          <w:p>
            <w:pPr>
              <w:spacing w:after="0"/>
              <w:rPr>
                <w:rFonts w:ascii="Arial" w:cs="Arial" w:eastAsia="Arial" w:hAnsi="Arial"/>
                <w:sz w:val="13"/>
                <w:szCs w:val="13"/>
                <w:color w:val="0000FF"/>
                <w:w w:val="92"/>
              </w:rPr>
            </w:pPr>
            <w:hyperlink w:anchor="page56">
              <w:r>
                <w:rPr>
                  <w:rFonts w:ascii="Arial" w:cs="Arial" w:eastAsia="Arial" w:hAnsi="Arial"/>
                  <w:sz w:val="13"/>
                  <w:szCs w:val="13"/>
                  <w:color w:val="0000FF"/>
                  <w:w w:val="92"/>
                </w:rPr>
                <w:t>Item 2. Properties.</w:t>
              </w:r>
            </w:hyperlink>
          </w:p>
        </w:tc>
        <w:tc>
          <w:tcPr>
            <w:tcW w:w="1060" w:type="dxa"/>
            <w:vAlign w:val="bottom"/>
            <w:tcBorders>
              <w:top w:val="single" w:sz="8" w:color="0000FF"/>
            </w:tcBorders>
            <w:gridSpan w:val="9"/>
          </w:tcPr>
          <w:p>
            <w:pPr>
              <w:spacing w:after="0"/>
              <w:rPr>
                <w:sz w:val="13"/>
                <w:szCs w:val="13"/>
                <w:color w:val="auto"/>
              </w:rPr>
            </w:pPr>
          </w:p>
        </w:tc>
        <w:tc>
          <w:tcPr>
            <w:tcW w:w="6760" w:type="dxa"/>
            <w:vAlign w:val="bottom"/>
            <w:gridSpan w:val="12"/>
          </w:tcPr>
          <w:p>
            <w:pPr>
              <w:spacing w:after="0"/>
              <w:rPr>
                <w:sz w:val="13"/>
                <w:szCs w:val="13"/>
                <w:color w:val="auto"/>
              </w:rPr>
            </w:pPr>
          </w:p>
        </w:tc>
        <w:tc>
          <w:tcPr>
            <w:tcW w:w="660" w:type="dxa"/>
            <w:vAlign w:val="bottom"/>
          </w:tcPr>
          <w:p>
            <w:pPr>
              <w:jc w:val="right"/>
              <w:spacing w:after="0"/>
              <w:rPr>
                <w:rFonts w:ascii="Arial" w:cs="Arial" w:eastAsia="Arial" w:hAnsi="Arial"/>
                <w:sz w:val="13"/>
                <w:szCs w:val="13"/>
                <w:color w:val="auto"/>
              </w:rPr>
            </w:pPr>
            <w:hyperlink w:anchor="page56">
              <w:r>
                <w:rPr>
                  <w:rFonts w:ascii="Arial" w:cs="Arial" w:eastAsia="Arial" w:hAnsi="Arial"/>
                  <w:sz w:val="13"/>
                  <w:szCs w:val="13"/>
                  <w:color w:val="auto"/>
                </w:rPr>
                <w:t>56</w:t>
              </w:r>
            </w:hyperlink>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8820" w:type="dxa"/>
            <w:vAlign w:val="bottom"/>
            <w:gridSpan w:val="27"/>
          </w:tcPr>
          <w:p>
            <w:pPr>
              <w:spacing w:after="0"/>
              <w:rPr>
                <w:rFonts w:ascii="Arial" w:cs="Arial" w:eastAsia="Arial" w:hAnsi="Arial"/>
                <w:sz w:val="13"/>
                <w:szCs w:val="13"/>
                <w:color w:val="0000FF"/>
              </w:rPr>
            </w:pPr>
            <w:hyperlink w:anchor="page56">
              <w:r>
                <w:rPr>
                  <w:rFonts w:ascii="Arial" w:cs="Arial" w:eastAsia="Arial" w:hAnsi="Arial"/>
                  <w:sz w:val="13"/>
                  <w:szCs w:val="13"/>
                  <w:color w:val="0000FF"/>
                </w:rPr>
                <w:t>Item 3. Legal Proceedings.</w:t>
              </w:r>
            </w:hyperlink>
          </w:p>
        </w:tc>
        <w:tc>
          <w:tcPr>
            <w:tcW w:w="660" w:type="dxa"/>
            <w:vAlign w:val="bottom"/>
          </w:tcPr>
          <w:p>
            <w:pPr>
              <w:jc w:val="right"/>
              <w:spacing w:after="0"/>
              <w:rPr>
                <w:rFonts w:ascii="Arial" w:cs="Arial" w:eastAsia="Arial" w:hAnsi="Arial"/>
                <w:sz w:val="13"/>
                <w:szCs w:val="13"/>
                <w:color w:val="auto"/>
              </w:rPr>
            </w:pPr>
            <w:hyperlink w:anchor="page56">
              <w:r>
                <w:rPr>
                  <w:rFonts w:ascii="Arial" w:cs="Arial" w:eastAsia="Arial" w:hAnsi="Arial"/>
                  <w:sz w:val="13"/>
                  <w:szCs w:val="13"/>
                  <w:color w:val="auto"/>
                </w:rPr>
                <w:t>57</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 w:type="dxa"/>
            <w:vAlign w:val="bottom"/>
          </w:tcPr>
          <w:p>
            <w:pPr>
              <w:spacing w:after="0"/>
              <w:rPr>
                <w:sz w:val="13"/>
                <w:szCs w:val="13"/>
                <w:color w:val="auto"/>
              </w:rPr>
            </w:pPr>
          </w:p>
        </w:tc>
        <w:tc>
          <w:tcPr>
            <w:tcW w:w="1780" w:type="dxa"/>
            <w:vAlign w:val="bottom"/>
            <w:tcBorders>
              <w:bottom w:val="single" w:sz="8" w:color="0000FF"/>
            </w:tcBorders>
            <w:gridSpan w:val="12"/>
          </w:tcPr>
          <w:p>
            <w:pPr>
              <w:spacing w:after="0"/>
              <w:rPr>
                <w:rFonts w:ascii="Arial" w:cs="Arial" w:eastAsia="Arial" w:hAnsi="Arial"/>
                <w:sz w:val="13"/>
                <w:szCs w:val="13"/>
                <w:color w:val="0000FF"/>
                <w:w w:val="94"/>
              </w:rPr>
            </w:pPr>
            <w:hyperlink w:anchor="page57">
              <w:r>
                <w:rPr>
                  <w:rFonts w:ascii="Arial" w:cs="Arial" w:eastAsia="Arial" w:hAnsi="Arial"/>
                  <w:sz w:val="13"/>
                  <w:szCs w:val="13"/>
                  <w:color w:val="0000FF"/>
                  <w:w w:val="94"/>
                </w:rPr>
                <w:t>Item 4. Mine Safety Disclosures.</w:t>
              </w:r>
            </w:hyperlink>
          </w:p>
        </w:tc>
        <w:tc>
          <w:tcPr>
            <w:tcW w:w="7040" w:type="dxa"/>
            <w:vAlign w:val="bottom"/>
            <w:gridSpan w:val="15"/>
          </w:tcPr>
          <w:p>
            <w:pPr>
              <w:spacing w:after="0"/>
              <w:rPr>
                <w:sz w:val="13"/>
                <w:szCs w:val="13"/>
                <w:color w:val="auto"/>
              </w:rPr>
            </w:pPr>
          </w:p>
        </w:tc>
        <w:tc>
          <w:tcPr>
            <w:tcW w:w="660" w:type="dxa"/>
            <w:vAlign w:val="bottom"/>
          </w:tcPr>
          <w:p>
            <w:pPr>
              <w:jc w:val="right"/>
              <w:spacing w:after="0"/>
              <w:rPr>
                <w:rFonts w:ascii="Arial" w:cs="Arial" w:eastAsia="Arial" w:hAnsi="Arial"/>
                <w:sz w:val="13"/>
                <w:szCs w:val="13"/>
                <w:color w:val="auto"/>
              </w:rPr>
            </w:pPr>
            <w:hyperlink w:anchor="page57">
              <w:r>
                <w:rPr>
                  <w:rFonts w:ascii="Arial" w:cs="Arial" w:eastAsia="Arial" w:hAnsi="Arial"/>
                  <w:sz w:val="13"/>
                  <w:szCs w:val="13"/>
                  <w:color w:val="auto"/>
                </w:rPr>
                <w:t>57</w:t>
              </w:r>
            </w:hyperlink>
          </w:p>
        </w:tc>
        <w:tc>
          <w:tcPr>
            <w:tcW w:w="0" w:type="dxa"/>
            <w:vAlign w:val="bottom"/>
          </w:tcPr>
          <w:p>
            <w:pPr>
              <w:spacing w:after="0"/>
              <w:rPr>
                <w:sz w:val="1"/>
                <w:szCs w:val="1"/>
                <w:color w:val="auto"/>
              </w:rPr>
            </w:pPr>
          </w:p>
        </w:tc>
      </w:tr>
      <w:tr>
        <w:trPr>
          <w:trHeight w:val="150"/>
        </w:trPr>
        <w:tc>
          <w:tcPr>
            <w:tcW w:w="9240" w:type="dxa"/>
            <w:vAlign w:val="bottom"/>
            <w:gridSpan w:val="28"/>
          </w:tcPr>
          <w:p>
            <w:pPr>
              <w:spacing w:after="0"/>
              <w:rPr>
                <w:rFonts w:ascii="Arial" w:cs="Arial" w:eastAsia="Arial" w:hAnsi="Arial"/>
                <w:sz w:val="13"/>
                <w:szCs w:val="13"/>
                <w:b w:val="1"/>
                <w:bCs w:val="1"/>
                <w:color w:val="0000FF"/>
              </w:rPr>
            </w:pPr>
            <w:hyperlink w:anchor="page57">
              <w:r>
                <w:rPr>
                  <w:rFonts w:ascii="Arial" w:cs="Arial" w:eastAsia="Arial" w:hAnsi="Arial"/>
                  <w:sz w:val="13"/>
                  <w:szCs w:val="13"/>
                  <w:b w:val="1"/>
                  <w:bCs w:val="1"/>
                  <w:color w:val="0000FF"/>
                </w:rPr>
                <w:t>PART II</w:t>
              </w:r>
            </w:hyperlink>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 w:type="dxa"/>
            <w:vAlign w:val="bottom"/>
          </w:tcPr>
          <w:p>
            <w:pPr>
              <w:spacing w:after="0"/>
              <w:rPr>
                <w:sz w:val="13"/>
                <w:szCs w:val="13"/>
                <w:color w:val="auto"/>
              </w:rPr>
            </w:pPr>
          </w:p>
        </w:tc>
        <w:tc>
          <w:tcPr>
            <w:tcW w:w="6480" w:type="dxa"/>
            <w:vAlign w:val="bottom"/>
            <w:tcBorders>
              <w:bottom w:val="single" w:sz="8" w:color="0000FF"/>
            </w:tcBorders>
            <w:gridSpan w:val="26"/>
          </w:tcPr>
          <w:p>
            <w:pPr>
              <w:spacing w:after="0"/>
              <w:rPr>
                <w:rFonts w:ascii="Arial" w:cs="Arial" w:eastAsia="Arial" w:hAnsi="Arial"/>
                <w:sz w:val="13"/>
                <w:szCs w:val="13"/>
                <w:color w:val="0000FF"/>
                <w:w w:val="93"/>
              </w:rPr>
            </w:pPr>
            <w:hyperlink w:anchor="page58">
              <w:r>
                <w:rPr>
                  <w:rFonts w:ascii="Arial" w:cs="Arial" w:eastAsia="Arial" w:hAnsi="Arial"/>
                  <w:sz w:val="13"/>
                  <w:szCs w:val="13"/>
                  <w:color w:val="0000FF"/>
                  <w:w w:val="93"/>
                </w:rPr>
                <w:t>Item 5. Market for Registrant’s Common Equity, Related Stockholder Matters and Issuer Purchases of Equity Securities.</w:t>
              </w:r>
            </w:hyperlink>
          </w:p>
        </w:tc>
        <w:tc>
          <w:tcPr>
            <w:tcW w:w="2340" w:type="dxa"/>
            <w:vAlign w:val="bottom"/>
          </w:tcPr>
          <w:p>
            <w:pPr>
              <w:spacing w:after="0"/>
              <w:rPr>
                <w:sz w:val="13"/>
                <w:szCs w:val="13"/>
                <w:color w:val="auto"/>
              </w:rPr>
            </w:pPr>
          </w:p>
        </w:tc>
        <w:tc>
          <w:tcPr>
            <w:tcW w:w="660" w:type="dxa"/>
            <w:vAlign w:val="bottom"/>
          </w:tcPr>
          <w:p>
            <w:pPr>
              <w:jc w:val="right"/>
              <w:spacing w:after="0"/>
              <w:rPr>
                <w:rFonts w:ascii="Arial" w:cs="Arial" w:eastAsia="Arial" w:hAnsi="Arial"/>
                <w:sz w:val="13"/>
                <w:szCs w:val="13"/>
                <w:color w:val="auto"/>
              </w:rPr>
            </w:pPr>
            <w:hyperlink w:anchor="page58">
              <w:r>
                <w:rPr>
                  <w:rFonts w:ascii="Arial" w:cs="Arial" w:eastAsia="Arial" w:hAnsi="Arial"/>
                  <w:sz w:val="13"/>
                  <w:szCs w:val="13"/>
                  <w:color w:val="auto"/>
                </w:rPr>
                <w:t>58</w:t>
              </w:r>
            </w:hyperlink>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1040" w:type="dxa"/>
            <w:vAlign w:val="bottom"/>
            <w:tcBorders>
              <w:bottom w:val="single" w:sz="8" w:color="0000FF"/>
            </w:tcBorders>
            <w:gridSpan w:val="7"/>
          </w:tcPr>
          <w:p>
            <w:pPr>
              <w:spacing w:after="0"/>
              <w:rPr>
                <w:rFonts w:ascii="Arial" w:cs="Arial" w:eastAsia="Arial" w:hAnsi="Arial"/>
                <w:sz w:val="13"/>
                <w:szCs w:val="13"/>
                <w:color w:val="0000FF"/>
                <w:w w:val="92"/>
              </w:rPr>
            </w:pPr>
            <w:hyperlink w:anchor="page59">
              <w:r>
                <w:rPr>
                  <w:rFonts w:ascii="Arial" w:cs="Arial" w:eastAsia="Arial" w:hAnsi="Arial"/>
                  <w:sz w:val="13"/>
                  <w:szCs w:val="13"/>
                  <w:color w:val="0000FF"/>
                  <w:w w:val="92"/>
                </w:rPr>
                <w:t>Item 6. [Reserved.]</w:t>
              </w:r>
            </w:hyperlink>
          </w:p>
        </w:tc>
        <w:tc>
          <w:tcPr>
            <w:tcW w:w="7780" w:type="dxa"/>
            <w:vAlign w:val="bottom"/>
            <w:gridSpan w:val="20"/>
          </w:tcPr>
          <w:p>
            <w:pPr>
              <w:spacing w:after="0"/>
              <w:rPr>
                <w:sz w:val="13"/>
                <w:szCs w:val="13"/>
                <w:color w:val="auto"/>
              </w:rPr>
            </w:pPr>
          </w:p>
        </w:tc>
        <w:tc>
          <w:tcPr>
            <w:tcW w:w="660" w:type="dxa"/>
            <w:vAlign w:val="bottom"/>
          </w:tcPr>
          <w:p>
            <w:pPr>
              <w:jc w:val="right"/>
              <w:spacing w:after="0"/>
              <w:rPr>
                <w:rFonts w:ascii="Arial" w:cs="Arial" w:eastAsia="Arial" w:hAnsi="Arial"/>
                <w:sz w:val="13"/>
                <w:szCs w:val="13"/>
                <w:color w:val="auto"/>
              </w:rPr>
            </w:pPr>
            <w:hyperlink w:anchor="page59">
              <w:r>
                <w:rPr>
                  <w:rFonts w:ascii="Arial" w:cs="Arial" w:eastAsia="Arial" w:hAnsi="Arial"/>
                  <w:sz w:val="13"/>
                  <w:szCs w:val="13"/>
                  <w:color w:val="auto"/>
                </w:rPr>
                <w:t>59</w:t>
              </w:r>
            </w:hyperlink>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8820" w:type="dxa"/>
            <w:vAlign w:val="bottom"/>
            <w:gridSpan w:val="27"/>
          </w:tcPr>
          <w:p>
            <w:pPr>
              <w:spacing w:after="0"/>
              <w:rPr>
                <w:rFonts w:ascii="Arial" w:cs="Arial" w:eastAsia="Arial" w:hAnsi="Arial"/>
                <w:sz w:val="13"/>
                <w:szCs w:val="13"/>
                <w:color w:val="0000FF"/>
              </w:rPr>
            </w:pPr>
            <w:hyperlink w:anchor="page59">
              <w:r>
                <w:rPr>
                  <w:rFonts w:ascii="Arial" w:cs="Arial" w:eastAsia="Arial" w:hAnsi="Arial"/>
                  <w:sz w:val="13"/>
                  <w:szCs w:val="13"/>
                  <w:color w:val="0000FF"/>
                </w:rPr>
                <w:t>Item 7. Management’s Discussion and Analysis of Financial Condition and Results of Operations.</w:t>
              </w:r>
            </w:hyperlink>
          </w:p>
        </w:tc>
        <w:tc>
          <w:tcPr>
            <w:tcW w:w="660" w:type="dxa"/>
            <w:vAlign w:val="bottom"/>
          </w:tcPr>
          <w:p>
            <w:pPr>
              <w:jc w:val="right"/>
              <w:spacing w:after="0"/>
              <w:rPr>
                <w:rFonts w:ascii="Arial" w:cs="Arial" w:eastAsia="Arial" w:hAnsi="Arial"/>
                <w:sz w:val="13"/>
                <w:szCs w:val="13"/>
                <w:color w:val="auto"/>
              </w:rPr>
            </w:pPr>
            <w:hyperlink w:anchor="page59">
              <w:r>
                <w:rPr>
                  <w:rFonts w:ascii="Arial" w:cs="Arial" w:eastAsia="Arial" w:hAnsi="Arial"/>
                  <w:sz w:val="13"/>
                  <w:szCs w:val="13"/>
                  <w:color w:val="auto"/>
                </w:rPr>
                <w:t>60</w:t>
              </w:r>
            </w:hyperlink>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20"/>
          </w:tcPr>
          <w:p>
            <w:pPr>
              <w:spacing w:after="0"/>
              <w:rPr>
                <w:rFonts w:ascii="Arial" w:cs="Arial" w:eastAsia="Arial" w:hAnsi="Arial"/>
                <w:sz w:val="13"/>
                <w:szCs w:val="13"/>
                <w:color w:val="0000FF"/>
                <w:w w:val="95"/>
              </w:rPr>
            </w:pPr>
            <w:hyperlink w:anchor="page75">
              <w:r>
                <w:rPr>
                  <w:rFonts w:ascii="Arial" w:cs="Arial" w:eastAsia="Arial" w:hAnsi="Arial"/>
                  <w:sz w:val="13"/>
                  <w:szCs w:val="13"/>
                  <w:color w:val="0000FF"/>
                  <w:w w:val="95"/>
                </w:rPr>
                <w:t>Item 7A. Quantitative and Qualitative Disclosures About Market Risk.</w:t>
              </w:r>
            </w:hyperlink>
          </w:p>
        </w:tc>
        <w:tc>
          <w:tcPr>
            <w:tcW w:w="1460" w:type="dxa"/>
            <w:vAlign w:val="bottom"/>
            <w:tcBorders>
              <w:top w:val="single" w:sz="8" w:color="0000FF"/>
            </w:tcBorders>
            <w:gridSpan w:val="3"/>
          </w:tcPr>
          <w:p>
            <w:pPr>
              <w:spacing w:after="0"/>
              <w:rPr>
                <w:sz w:val="13"/>
                <w:szCs w:val="13"/>
                <w:color w:val="auto"/>
              </w:rPr>
            </w:pPr>
          </w:p>
        </w:tc>
        <w:tc>
          <w:tcPr>
            <w:tcW w:w="3560" w:type="dxa"/>
            <w:vAlign w:val="bottom"/>
            <w:gridSpan w:val="4"/>
          </w:tcPr>
          <w:p>
            <w:pPr>
              <w:spacing w:after="0"/>
              <w:rPr>
                <w:sz w:val="13"/>
                <w:szCs w:val="13"/>
                <w:color w:val="auto"/>
              </w:rPr>
            </w:pPr>
          </w:p>
        </w:tc>
        <w:tc>
          <w:tcPr>
            <w:tcW w:w="660" w:type="dxa"/>
            <w:vAlign w:val="bottom"/>
          </w:tcPr>
          <w:p>
            <w:pPr>
              <w:jc w:val="right"/>
              <w:spacing w:after="0"/>
              <w:rPr>
                <w:rFonts w:ascii="Arial" w:cs="Arial" w:eastAsia="Arial" w:hAnsi="Arial"/>
                <w:sz w:val="13"/>
                <w:szCs w:val="13"/>
                <w:color w:val="auto"/>
              </w:rPr>
            </w:pPr>
            <w:hyperlink w:anchor="page75">
              <w:r>
                <w:rPr>
                  <w:rFonts w:ascii="Arial" w:cs="Arial" w:eastAsia="Arial" w:hAnsi="Arial"/>
                  <w:sz w:val="13"/>
                  <w:szCs w:val="13"/>
                  <w:color w:val="auto"/>
                </w:rPr>
                <w:t>75</w:t>
              </w:r>
            </w:hyperlink>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2940" w:type="dxa"/>
            <w:vAlign w:val="bottom"/>
            <w:tcBorders>
              <w:bottom w:val="single" w:sz="8" w:color="0000FF"/>
            </w:tcBorders>
            <w:gridSpan w:val="18"/>
          </w:tcPr>
          <w:p>
            <w:pPr>
              <w:spacing w:after="0"/>
              <w:rPr>
                <w:rFonts w:ascii="Arial" w:cs="Arial" w:eastAsia="Arial" w:hAnsi="Arial"/>
                <w:sz w:val="13"/>
                <w:szCs w:val="13"/>
                <w:color w:val="0000FF"/>
                <w:w w:val="92"/>
              </w:rPr>
            </w:pPr>
            <w:hyperlink w:anchor="page76">
              <w:r>
                <w:rPr>
                  <w:rFonts w:ascii="Arial" w:cs="Arial" w:eastAsia="Arial" w:hAnsi="Arial"/>
                  <w:sz w:val="13"/>
                  <w:szCs w:val="13"/>
                  <w:color w:val="0000FF"/>
                  <w:w w:val="92"/>
                </w:rPr>
                <w:t>Item 8. Financial Statements and Supplementary Data.</w:t>
              </w:r>
            </w:hyperlink>
          </w:p>
        </w:tc>
        <w:tc>
          <w:tcPr>
            <w:tcW w:w="5880" w:type="dxa"/>
            <w:vAlign w:val="bottom"/>
            <w:gridSpan w:val="9"/>
          </w:tcPr>
          <w:p>
            <w:pPr>
              <w:spacing w:after="0"/>
              <w:rPr>
                <w:sz w:val="13"/>
                <w:szCs w:val="13"/>
                <w:color w:val="auto"/>
              </w:rPr>
            </w:pPr>
          </w:p>
        </w:tc>
        <w:tc>
          <w:tcPr>
            <w:tcW w:w="660" w:type="dxa"/>
            <w:vAlign w:val="bottom"/>
          </w:tcPr>
          <w:p>
            <w:pPr>
              <w:jc w:val="right"/>
              <w:spacing w:after="0"/>
              <w:rPr>
                <w:rFonts w:ascii="Arial" w:cs="Arial" w:eastAsia="Arial" w:hAnsi="Arial"/>
                <w:sz w:val="13"/>
                <w:szCs w:val="13"/>
                <w:color w:val="auto"/>
              </w:rPr>
            </w:pPr>
            <w:hyperlink w:anchor="page76">
              <w:r>
                <w:rPr>
                  <w:rFonts w:ascii="Arial" w:cs="Arial" w:eastAsia="Arial" w:hAnsi="Arial"/>
                  <w:sz w:val="13"/>
                  <w:szCs w:val="13"/>
                  <w:color w:val="auto"/>
                </w:rPr>
                <w:t>77</w:t>
              </w:r>
            </w:hyperlink>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8820" w:type="dxa"/>
            <w:vAlign w:val="bottom"/>
            <w:gridSpan w:val="27"/>
          </w:tcPr>
          <w:p>
            <w:pPr>
              <w:spacing w:after="0"/>
              <w:rPr>
                <w:rFonts w:ascii="Arial" w:cs="Arial" w:eastAsia="Arial" w:hAnsi="Arial"/>
                <w:sz w:val="13"/>
                <w:szCs w:val="13"/>
                <w:color w:val="0000FF"/>
              </w:rPr>
            </w:pPr>
            <w:hyperlink w:anchor="page109">
              <w:r>
                <w:rPr>
                  <w:rFonts w:ascii="Arial" w:cs="Arial" w:eastAsia="Arial" w:hAnsi="Arial"/>
                  <w:sz w:val="13"/>
                  <w:szCs w:val="13"/>
                  <w:color w:val="0000FF"/>
                </w:rPr>
                <w:t>Item 9. Changes in and Disagreements with Accountants on Accounting and Financial Disclosure.</w:t>
              </w:r>
            </w:hyperlink>
          </w:p>
        </w:tc>
        <w:tc>
          <w:tcPr>
            <w:tcW w:w="660" w:type="dxa"/>
            <w:vAlign w:val="bottom"/>
          </w:tcPr>
          <w:p>
            <w:pPr>
              <w:jc w:val="right"/>
              <w:spacing w:after="0"/>
              <w:rPr>
                <w:rFonts w:ascii="Arial" w:cs="Arial" w:eastAsia="Arial" w:hAnsi="Arial"/>
                <w:sz w:val="13"/>
                <w:szCs w:val="13"/>
                <w:color w:val="auto"/>
              </w:rPr>
            </w:pPr>
            <w:hyperlink w:anchor="page109">
              <w:r>
                <w:rPr>
                  <w:rFonts w:ascii="Arial" w:cs="Arial" w:eastAsia="Arial" w:hAnsi="Arial"/>
                  <w:sz w:val="13"/>
                  <w:szCs w:val="13"/>
                  <w:color w:val="auto"/>
                </w:rPr>
                <w:t>110</w:t>
              </w:r>
            </w:hyperlink>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14"/>
          </w:tcPr>
          <w:p>
            <w:pPr>
              <w:spacing w:after="0"/>
              <w:rPr>
                <w:rFonts w:ascii="Arial" w:cs="Arial" w:eastAsia="Arial" w:hAnsi="Arial"/>
                <w:sz w:val="13"/>
                <w:szCs w:val="13"/>
                <w:color w:val="0000FF"/>
                <w:w w:val="93"/>
              </w:rPr>
            </w:pPr>
            <w:hyperlink w:anchor="page110">
              <w:r>
                <w:rPr>
                  <w:rFonts w:ascii="Arial" w:cs="Arial" w:eastAsia="Arial" w:hAnsi="Arial"/>
                  <w:sz w:val="13"/>
                  <w:szCs w:val="13"/>
                  <w:color w:val="0000FF"/>
                  <w:w w:val="93"/>
                </w:rPr>
                <w:t>Item 9A. Controls and Procedures.</w:t>
              </w:r>
            </w:hyperlink>
          </w:p>
        </w:tc>
        <w:tc>
          <w:tcPr>
            <w:tcW w:w="3400" w:type="dxa"/>
            <w:vAlign w:val="bottom"/>
            <w:tcBorders>
              <w:top w:val="single" w:sz="8" w:color="0000FF"/>
            </w:tcBorders>
            <w:gridSpan w:val="10"/>
          </w:tcPr>
          <w:p>
            <w:pPr>
              <w:spacing w:after="0"/>
              <w:rPr>
                <w:sz w:val="13"/>
                <w:szCs w:val="13"/>
                <w:color w:val="auto"/>
              </w:rPr>
            </w:pPr>
          </w:p>
        </w:tc>
        <w:tc>
          <w:tcPr>
            <w:tcW w:w="3540" w:type="dxa"/>
            <w:vAlign w:val="bottom"/>
            <w:gridSpan w:val="3"/>
          </w:tcPr>
          <w:p>
            <w:pPr>
              <w:spacing w:after="0"/>
              <w:rPr>
                <w:sz w:val="13"/>
                <w:szCs w:val="13"/>
                <w:color w:val="auto"/>
              </w:rPr>
            </w:pPr>
          </w:p>
        </w:tc>
        <w:tc>
          <w:tcPr>
            <w:tcW w:w="660" w:type="dxa"/>
            <w:vAlign w:val="bottom"/>
          </w:tcPr>
          <w:p>
            <w:pPr>
              <w:jc w:val="right"/>
              <w:spacing w:after="0"/>
              <w:rPr>
                <w:rFonts w:ascii="Arial" w:cs="Arial" w:eastAsia="Arial" w:hAnsi="Arial"/>
                <w:sz w:val="13"/>
                <w:szCs w:val="13"/>
                <w:color w:val="auto"/>
              </w:rPr>
            </w:pPr>
            <w:hyperlink w:anchor="page110">
              <w:r>
                <w:rPr>
                  <w:rFonts w:ascii="Arial" w:cs="Arial" w:eastAsia="Arial" w:hAnsi="Arial"/>
                  <w:sz w:val="13"/>
                  <w:szCs w:val="13"/>
                  <w:color w:val="auto"/>
                </w:rPr>
                <w:t>110</w:t>
              </w:r>
            </w:hyperlink>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8820" w:type="dxa"/>
            <w:vAlign w:val="bottom"/>
            <w:gridSpan w:val="27"/>
          </w:tcPr>
          <w:p>
            <w:pPr>
              <w:spacing w:after="0"/>
              <w:rPr>
                <w:rFonts w:ascii="Arial" w:cs="Arial" w:eastAsia="Arial" w:hAnsi="Arial"/>
                <w:sz w:val="13"/>
                <w:szCs w:val="13"/>
                <w:color w:val="0000FF"/>
              </w:rPr>
            </w:pPr>
            <w:hyperlink w:anchor="page110">
              <w:r>
                <w:rPr>
                  <w:rFonts w:ascii="Arial" w:cs="Arial" w:eastAsia="Arial" w:hAnsi="Arial"/>
                  <w:sz w:val="13"/>
                  <w:szCs w:val="13"/>
                  <w:color w:val="0000FF"/>
                </w:rPr>
                <w:t>Item 9B. Other Information.</w:t>
              </w:r>
            </w:hyperlink>
          </w:p>
        </w:tc>
        <w:tc>
          <w:tcPr>
            <w:tcW w:w="660" w:type="dxa"/>
            <w:vAlign w:val="bottom"/>
          </w:tcPr>
          <w:p>
            <w:pPr>
              <w:jc w:val="right"/>
              <w:spacing w:after="0"/>
              <w:rPr>
                <w:rFonts w:ascii="Arial" w:cs="Arial" w:eastAsia="Arial" w:hAnsi="Arial"/>
                <w:sz w:val="13"/>
                <w:szCs w:val="13"/>
                <w:color w:val="auto"/>
              </w:rPr>
            </w:pPr>
            <w:hyperlink w:anchor="page110">
              <w:r>
                <w:rPr>
                  <w:rFonts w:ascii="Arial" w:cs="Arial" w:eastAsia="Arial" w:hAnsi="Arial"/>
                  <w:sz w:val="13"/>
                  <w:szCs w:val="13"/>
                  <w:color w:val="auto"/>
                </w:rPr>
                <w:t>110</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0" w:type="dxa"/>
            <w:vAlign w:val="bottom"/>
          </w:tcPr>
          <w:p>
            <w:pPr>
              <w:spacing w:after="0"/>
              <w:rPr>
                <w:sz w:val="13"/>
                <w:szCs w:val="13"/>
                <w:color w:val="auto"/>
              </w:rPr>
            </w:pPr>
          </w:p>
        </w:tc>
        <w:tc>
          <w:tcPr>
            <w:tcW w:w="4360" w:type="dxa"/>
            <w:vAlign w:val="bottom"/>
            <w:tcBorders>
              <w:bottom w:val="single" w:sz="8" w:color="0000FF"/>
            </w:tcBorders>
            <w:gridSpan w:val="21"/>
          </w:tcPr>
          <w:p>
            <w:pPr>
              <w:spacing w:after="0"/>
              <w:rPr>
                <w:rFonts w:ascii="Arial" w:cs="Arial" w:eastAsia="Arial" w:hAnsi="Arial"/>
                <w:sz w:val="13"/>
                <w:szCs w:val="13"/>
                <w:color w:val="0000FF"/>
                <w:w w:val="91"/>
              </w:rPr>
            </w:pPr>
            <w:hyperlink w:anchor="page110">
              <w:r>
                <w:rPr>
                  <w:rFonts w:ascii="Arial" w:cs="Arial" w:eastAsia="Arial" w:hAnsi="Arial"/>
                  <w:sz w:val="13"/>
                  <w:szCs w:val="13"/>
                  <w:color w:val="0000FF"/>
                  <w:w w:val="91"/>
                </w:rPr>
                <w:t xml:space="preserve">Item </w:t>
              </w:r>
            </w:hyperlink>
            <w:r>
              <w:rPr>
                <w:rFonts w:ascii="Arial" w:cs="Arial" w:eastAsia="Arial" w:hAnsi="Arial"/>
                <w:sz w:val="13"/>
                <w:szCs w:val="13"/>
                <w:color w:val="0000FF"/>
                <w:w w:val="91"/>
              </w:rPr>
              <w:t xml:space="preserve">9C. </w:t>
            </w:r>
            <w:hyperlink w:anchor="page110">
              <w:r>
                <w:rPr>
                  <w:rFonts w:ascii="Arial" w:cs="Arial" w:eastAsia="Arial" w:hAnsi="Arial"/>
                  <w:sz w:val="14"/>
                  <w:szCs w:val="14"/>
                  <w:color w:val="0000FF"/>
                  <w:w w:val="91"/>
                </w:rPr>
                <w:t>Disclosure Regarding Foreign Jurisdictions that Prevent Inspections</w:t>
              </w:r>
            </w:hyperlink>
          </w:p>
        </w:tc>
        <w:tc>
          <w:tcPr>
            <w:tcW w:w="4460" w:type="dxa"/>
            <w:vAlign w:val="bottom"/>
            <w:gridSpan w:val="6"/>
          </w:tcPr>
          <w:p>
            <w:pPr>
              <w:spacing w:after="0"/>
              <w:rPr>
                <w:sz w:val="13"/>
                <w:szCs w:val="13"/>
                <w:color w:val="auto"/>
              </w:rPr>
            </w:pPr>
          </w:p>
        </w:tc>
        <w:tc>
          <w:tcPr>
            <w:tcW w:w="660" w:type="dxa"/>
            <w:vAlign w:val="bottom"/>
          </w:tcPr>
          <w:p>
            <w:pPr>
              <w:jc w:val="right"/>
              <w:spacing w:after="0"/>
              <w:rPr>
                <w:rFonts w:ascii="Arial" w:cs="Arial" w:eastAsia="Arial" w:hAnsi="Arial"/>
                <w:sz w:val="13"/>
                <w:szCs w:val="13"/>
                <w:color w:val="auto"/>
              </w:rPr>
            </w:pPr>
            <w:hyperlink w:anchor="page110">
              <w:r>
                <w:rPr>
                  <w:rFonts w:ascii="Arial" w:cs="Arial" w:eastAsia="Arial" w:hAnsi="Arial"/>
                  <w:sz w:val="13"/>
                  <w:szCs w:val="13"/>
                  <w:color w:val="auto"/>
                </w:rPr>
                <w:t>110</w:t>
              </w:r>
            </w:hyperlink>
          </w:p>
        </w:tc>
        <w:tc>
          <w:tcPr>
            <w:tcW w:w="0" w:type="dxa"/>
            <w:vAlign w:val="bottom"/>
          </w:tcPr>
          <w:p>
            <w:pPr>
              <w:spacing w:after="0"/>
              <w:rPr>
                <w:sz w:val="1"/>
                <w:szCs w:val="1"/>
                <w:color w:val="auto"/>
              </w:rPr>
            </w:pPr>
          </w:p>
        </w:tc>
      </w:tr>
      <w:tr>
        <w:trPr>
          <w:trHeight w:val="150"/>
        </w:trPr>
        <w:tc>
          <w:tcPr>
            <w:tcW w:w="600" w:type="dxa"/>
            <w:vAlign w:val="bottom"/>
            <w:tcBorders>
              <w:bottom w:val="single" w:sz="8" w:color="0000FF"/>
            </w:tcBorders>
            <w:gridSpan w:val="5"/>
          </w:tcPr>
          <w:p>
            <w:pPr>
              <w:spacing w:after="0"/>
              <w:rPr>
                <w:rFonts w:ascii="Arial" w:cs="Arial" w:eastAsia="Arial" w:hAnsi="Arial"/>
                <w:sz w:val="13"/>
                <w:szCs w:val="13"/>
                <w:b w:val="1"/>
                <w:bCs w:val="1"/>
                <w:color w:val="0000FF"/>
              </w:rPr>
            </w:pPr>
            <w:hyperlink w:anchor="page110">
              <w:r>
                <w:rPr>
                  <w:rFonts w:ascii="Arial" w:cs="Arial" w:eastAsia="Arial" w:hAnsi="Arial"/>
                  <w:sz w:val="13"/>
                  <w:szCs w:val="13"/>
                  <w:b w:val="1"/>
                  <w:bCs w:val="1"/>
                  <w:color w:val="0000FF"/>
                </w:rPr>
                <w:t>PART III</w:t>
              </w:r>
            </w:hyperlink>
          </w:p>
        </w:tc>
        <w:tc>
          <w:tcPr>
            <w:tcW w:w="8640" w:type="dxa"/>
            <w:vAlign w:val="bottom"/>
            <w:gridSpan w:val="23"/>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3580" w:type="dxa"/>
            <w:vAlign w:val="bottom"/>
            <w:tcBorders>
              <w:bottom w:val="single" w:sz="8" w:color="0000FF"/>
            </w:tcBorders>
            <w:gridSpan w:val="19"/>
          </w:tcPr>
          <w:p>
            <w:pPr>
              <w:spacing w:after="0"/>
              <w:rPr>
                <w:rFonts w:ascii="Arial" w:cs="Arial" w:eastAsia="Arial" w:hAnsi="Arial"/>
                <w:sz w:val="13"/>
                <w:szCs w:val="13"/>
                <w:color w:val="0000FF"/>
                <w:w w:val="93"/>
              </w:rPr>
            </w:pPr>
            <w:hyperlink w:anchor="page111">
              <w:r>
                <w:rPr>
                  <w:rFonts w:ascii="Arial" w:cs="Arial" w:eastAsia="Arial" w:hAnsi="Arial"/>
                  <w:sz w:val="13"/>
                  <w:szCs w:val="13"/>
                  <w:color w:val="0000FF"/>
                  <w:w w:val="93"/>
                </w:rPr>
                <w:t>Item 10. Directors, Executive Officers and Corporate Governance.</w:t>
              </w:r>
            </w:hyperlink>
          </w:p>
        </w:tc>
        <w:tc>
          <w:tcPr>
            <w:tcW w:w="5240" w:type="dxa"/>
            <w:vAlign w:val="bottom"/>
            <w:gridSpan w:val="8"/>
          </w:tcPr>
          <w:p>
            <w:pPr>
              <w:spacing w:after="0"/>
              <w:rPr>
                <w:sz w:val="13"/>
                <w:szCs w:val="13"/>
                <w:color w:val="auto"/>
              </w:rPr>
            </w:pPr>
          </w:p>
        </w:tc>
        <w:tc>
          <w:tcPr>
            <w:tcW w:w="660" w:type="dxa"/>
            <w:vAlign w:val="bottom"/>
          </w:tcPr>
          <w:p>
            <w:pPr>
              <w:jc w:val="right"/>
              <w:spacing w:after="0"/>
              <w:rPr>
                <w:rFonts w:ascii="Arial" w:cs="Arial" w:eastAsia="Arial" w:hAnsi="Arial"/>
                <w:sz w:val="13"/>
                <w:szCs w:val="13"/>
                <w:color w:val="auto"/>
              </w:rPr>
            </w:pPr>
            <w:hyperlink w:anchor="page111">
              <w:r>
                <w:rPr>
                  <w:rFonts w:ascii="Arial" w:cs="Arial" w:eastAsia="Arial" w:hAnsi="Arial"/>
                  <w:sz w:val="13"/>
                  <w:szCs w:val="13"/>
                  <w:color w:val="auto"/>
                </w:rPr>
                <w:t>111</w:t>
              </w:r>
            </w:hyperlink>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1860" w:type="dxa"/>
            <w:vAlign w:val="bottom"/>
            <w:tcBorders>
              <w:bottom w:val="single" w:sz="8" w:color="0000FF"/>
            </w:tcBorders>
            <w:gridSpan w:val="13"/>
          </w:tcPr>
          <w:p>
            <w:pPr>
              <w:spacing w:after="0"/>
              <w:rPr>
                <w:rFonts w:ascii="Arial" w:cs="Arial" w:eastAsia="Arial" w:hAnsi="Arial"/>
                <w:sz w:val="13"/>
                <w:szCs w:val="13"/>
                <w:color w:val="0000FF"/>
                <w:w w:val="92"/>
              </w:rPr>
            </w:pPr>
            <w:hyperlink w:anchor="page111">
              <w:r>
                <w:rPr>
                  <w:rFonts w:ascii="Arial" w:cs="Arial" w:eastAsia="Arial" w:hAnsi="Arial"/>
                  <w:sz w:val="13"/>
                  <w:szCs w:val="13"/>
                  <w:color w:val="0000FF"/>
                  <w:w w:val="92"/>
                </w:rPr>
                <w:t>Item 11. Executive Compensation.</w:t>
              </w:r>
            </w:hyperlink>
          </w:p>
        </w:tc>
        <w:tc>
          <w:tcPr>
            <w:tcW w:w="6960" w:type="dxa"/>
            <w:vAlign w:val="bottom"/>
            <w:gridSpan w:val="14"/>
          </w:tcPr>
          <w:p>
            <w:pPr>
              <w:spacing w:after="0"/>
              <w:rPr>
                <w:sz w:val="13"/>
                <w:szCs w:val="13"/>
                <w:color w:val="auto"/>
              </w:rPr>
            </w:pPr>
          </w:p>
        </w:tc>
        <w:tc>
          <w:tcPr>
            <w:tcW w:w="660" w:type="dxa"/>
            <w:vAlign w:val="bottom"/>
          </w:tcPr>
          <w:p>
            <w:pPr>
              <w:jc w:val="right"/>
              <w:spacing w:after="0"/>
              <w:rPr>
                <w:rFonts w:ascii="Arial" w:cs="Arial" w:eastAsia="Arial" w:hAnsi="Arial"/>
                <w:sz w:val="13"/>
                <w:szCs w:val="13"/>
                <w:color w:val="auto"/>
              </w:rPr>
            </w:pPr>
            <w:hyperlink w:anchor="page111">
              <w:r>
                <w:rPr>
                  <w:rFonts w:ascii="Arial" w:cs="Arial" w:eastAsia="Arial" w:hAnsi="Arial"/>
                  <w:sz w:val="13"/>
                  <w:szCs w:val="13"/>
                  <w:color w:val="auto"/>
                </w:rPr>
                <w:t>111</w:t>
              </w:r>
            </w:hyperlink>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5960" w:type="dxa"/>
            <w:vAlign w:val="bottom"/>
            <w:tcBorders>
              <w:bottom w:val="single" w:sz="8" w:color="0000FF"/>
            </w:tcBorders>
            <w:gridSpan w:val="25"/>
          </w:tcPr>
          <w:p>
            <w:pPr>
              <w:spacing w:after="0"/>
              <w:rPr>
                <w:rFonts w:ascii="Arial" w:cs="Arial" w:eastAsia="Arial" w:hAnsi="Arial"/>
                <w:sz w:val="13"/>
                <w:szCs w:val="13"/>
                <w:color w:val="0000FF"/>
                <w:w w:val="93"/>
              </w:rPr>
            </w:pPr>
            <w:hyperlink w:anchor="page111">
              <w:r>
                <w:rPr>
                  <w:rFonts w:ascii="Arial" w:cs="Arial" w:eastAsia="Arial" w:hAnsi="Arial"/>
                  <w:sz w:val="13"/>
                  <w:szCs w:val="13"/>
                  <w:color w:val="0000FF"/>
                  <w:w w:val="93"/>
                </w:rPr>
                <w:t>Item 12. Security Ownership of Certain Beneficial Owners and Management and Related Stockholder Matters.</w:t>
              </w:r>
            </w:hyperlink>
          </w:p>
        </w:tc>
        <w:tc>
          <w:tcPr>
            <w:tcW w:w="2860" w:type="dxa"/>
            <w:vAlign w:val="bottom"/>
            <w:gridSpan w:val="2"/>
          </w:tcPr>
          <w:p>
            <w:pPr>
              <w:spacing w:after="0"/>
              <w:rPr>
                <w:sz w:val="13"/>
                <w:szCs w:val="13"/>
                <w:color w:val="auto"/>
              </w:rPr>
            </w:pPr>
          </w:p>
        </w:tc>
        <w:tc>
          <w:tcPr>
            <w:tcW w:w="660" w:type="dxa"/>
            <w:vAlign w:val="bottom"/>
          </w:tcPr>
          <w:p>
            <w:pPr>
              <w:jc w:val="right"/>
              <w:spacing w:after="0"/>
              <w:rPr>
                <w:rFonts w:ascii="Arial" w:cs="Arial" w:eastAsia="Arial" w:hAnsi="Arial"/>
                <w:sz w:val="13"/>
                <w:szCs w:val="13"/>
                <w:color w:val="auto"/>
              </w:rPr>
            </w:pPr>
            <w:hyperlink w:anchor="page111">
              <w:r>
                <w:rPr>
                  <w:rFonts w:ascii="Arial" w:cs="Arial" w:eastAsia="Arial" w:hAnsi="Arial"/>
                  <w:sz w:val="13"/>
                  <w:szCs w:val="13"/>
                  <w:color w:val="auto"/>
                </w:rPr>
                <w:t>111</w:t>
              </w:r>
            </w:hyperlink>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8820" w:type="dxa"/>
            <w:vAlign w:val="bottom"/>
            <w:gridSpan w:val="27"/>
          </w:tcPr>
          <w:p>
            <w:pPr>
              <w:spacing w:after="0"/>
              <w:rPr>
                <w:rFonts w:ascii="Arial" w:cs="Arial" w:eastAsia="Arial" w:hAnsi="Arial"/>
                <w:sz w:val="13"/>
                <w:szCs w:val="13"/>
                <w:color w:val="0000FF"/>
              </w:rPr>
            </w:pPr>
            <w:hyperlink w:anchor="page111">
              <w:r>
                <w:rPr>
                  <w:rFonts w:ascii="Arial" w:cs="Arial" w:eastAsia="Arial" w:hAnsi="Arial"/>
                  <w:sz w:val="13"/>
                  <w:szCs w:val="13"/>
                  <w:color w:val="0000FF"/>
                </w:rPr>
                <w:t>Item 13. Certain Relationships and Related Transactions, and Director Independence.</w:t>
              </w:r>
            </w:hyperlink>
          </w:p>
        </w:tc>
        <w:tc>
          <w:tcPr>
            <w:tcW w:w="660" w:type="dxa"/>
            <w:vAlign w:val="bottom"/>
          </w:tcPr>
          <w:p>
            <w:pPr>
              <w:jc w:val="right"/>
              <w:spacing w:after="0"/>
              <w:rPr>
                <w:rFonts w:ascii="Arial" w:cs="Arial" w:eastAsia="Arial" w:hAnsi="Arial"/>
                <w:sz w:val="13"/>
                <w:szCs w:val="13"/>
                <w:color w:val="auto"/>
              </w:rPr>
            </w:pPr>
            <w:hyperlink w:anchor="page111">
              <w:r>
                <w:rPr>
                  <w:rFonts w:ascii="Arial" w:cs="Arial" w:eastAsia="Arial" w:hAnsi="Arial"/>
                  <w:sz w:val="13"/>
                  <w:szCs w:val="13"/>
                  <w:color w:val="auto"/>
                </w:rPr>
                <w:t>111</w:t>
              </w:r>
            </w:hyperlink>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16"/>
          </w:tcPr>
          <w:p>
            <w:pPr>
              <w:spacing w:after="0"/>
              <w:rPr>
                <w:rFonts w:ascii="Arial" w:cs="Arial" w:eastAsia="Arial" w:hAnsi="Arial"/>
                <w:sz w:val="13"/>
                <w:szCs w:val="13"/>
                <w:color w:val="0000FF"/>
                <w:w w:val="93"/>
              </w:rPr>
            </w:pPr>
            <w:hyperlink w:anchor="page111">
              <w:r>
                <w:rPr>
                  <w:rFonts w:ascii="Arial" w:cs="Arial" w:eastAsia="Arial" w:hAnsi="Arial"/>
                  <w:sz w:val="13"/>
                  <w:szCs w:val="13"/>
                  <w:color w:val="0000FF"/>
                  <w:w w:val="93"/>
                </w:rPr>
                <w:t>Item 14. Principal Accounting Fees and Services.</w:t>
              </w:r>
            </w:hyperlink>
          </w:p>
        </w:tc>
        <w:tc>
          <w:tcPr>
            <w:tcW w:w="1920" w:type="dxa"/>
            <w:vAlign w:val="bottom"/>
            <w:tcBorders>
              <w:top w:val="single" w:sz="8" w:color="0000FF"/>
            </w:tcBorders>
            <w:gridSpan w:val="6"/>
          </w:tcPr>
          <w:p>
            <w:pPr>
              <w:spacing w:after="0"/>
              <w:rPr>
                <w:sz w:val="13"/>
                <w:szCs w:val="13"/>
                <w:color w:val="auto"/>
              </w:rPr>
            </w:pPr>
          </w:p>
        </w:tc>
        <w:tc>
          <w:tcPr>
            <w:tcW w:w="4240" w:type="dxa"/>
            <w:vAlign w:val="bottom"/>
            <w:gridSpan w:val="5"/>
          </w:tcPr>
          <w:p>
            <w:pPr>
              <w:spacing w:after="0"/>
              <w:rPr>
                <w:sz w:val="13"/>
                <w:szCs w:val="13"/>
                <w:color w:val="auto"/>
              </w:rPr>
            </w:pPr>
          </w:p>
        </w:tc>
        <w:tc>
          <w:tcPr>
            <w:tcW w:w="660" w:type="dxa"/>
            <w:vAlign w:val="bottom"/>
          </w:tcPr>
          <w:p>
            <w:pPr>
              <w:jc w:val="right"/>
              <w:spacing w:after="0"/>
              <w:rPr>
                <w:rFonts w:ascii="Arial" w:cs="Arial" w:eastAsia="Arial" w:hAnsi="Arial"/>
                <w:sz w:val="13"/>
                <w:szCs w:val="13"/>
                <w:color w:val="auto"/>
              </w:rPr>
            </w:pPr>
            <w:hyperlink w:anchor="page111">
              <w:r>
                <w:rPr>
                  <w:rFonts w:ascii="Arial" w:cs="Arial" w:eastAsia="Arial" w:hAnsi="Arial"/>
                  <w:sz w:val="13"/>
                  <w:szCs w:val="13"/>
                  <w:color w:val="auto"/>
                </w:rPr>
                <w:t>111</w:t>
              </w:r>
            </w:hyperlink>
          </w:p>
        </w:tc>
        <w:tc>
          <w:tcPr>
            <w:tcW w:w="0" w:type="dxa"/>
            <w:vAlign w:val="bottom"/>
          </w:tcPr>
          <w:p>
            <w:pPr>
              <w:spacing w:after="0"/>
              <w:rPr>
                <w:sz w:val="1"/>
                <w:szCs w:val="1"/>
                <w:color w:val="auto"/>
              </w:rPr>
            </w:pPr>
          </w:p>
        </w:tc>
      </w:tr>
      <w:tr>
        <w:trPr>
          <w:trHeight w:val="150"/>
        </w:trPr>
        <w:tc>
          <w:tcPr>
            <w:tcW w:w="540" w:type="dxa"/>
            <w:vAlign w:val="bottom"/>
            <w:tcBorders>
              <w:bottom w:val="single" w:sz="8" w:color="0000FF"/>
            </w:tcBorders>
            <w:gridSpan w:val="4"/>
          </w:tcPr>
          <w:p>
            <w:pPr>
              <w:spacing w:after="0"/>
              <w:rPr>
                <w:rFonts w:ascii="Arial" w:cs="Arial" w:eastAsia="Arial" w:hAnsi="Arial"/>
                <w:sz w:val="13"/>
                <w:szCs w:val="13"/>
                <w:b w:val="1"/>
                <w:bCs w:val="1"/>
                <w:color w:val="0000FF"/>
              </w:rPr>
            </w:pPr>
            <w:hyperlink w:anchor="page111">
              <w:r>
                <w:rPr>
                  <w:rFonts w:ascii="Arial" w:cs="Arial" w:eastAsia="Arial" w:hAnsi="Arial"/>
                  <w:sz w:val="13"/>
                  <w:szCs w:val="13"/>
                  <w:b w:val="1"/>
                  <w:bCs w:val="1"/>
                  <w:color w:val="0000FF"/>
                </w:rPr>
                <w:t>PART IV</w:t>
              </w:r>
            </w:hyperlink>
          </w:p>
        </w:tc>
        <w:tc>
          <w:tcPr>
            <w:tcW w:w="8700" w:type="dxa"/>
            <w:vAlign w:val="bottom"/>
            <w:gridSpan w:val="24"/>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8820" w:type="dxa"/>
            <w:vAlign w:val="bottom"/>
            <w:gridSpan w:val="27"/>
          </w:tcPr>
          <w:p>
            <w:pPr>
              <w:spacing w:after="0"/>
              <w:rPr>
                <w:rFonts w:ascii="Arial" w:cs="Arial" w:eastAsia="Arial" w:hAnsi="Arial"/>
                <w:sz w:val="13"/>
                <w:szCs w:val="13"/>
                <w:color w:val="0000FF"/>
              </w:rPr>
            </w:pPr>
            <w:hyperlink w:anchor="page112">
              <w:r>
                <w:rPr>
                  <w:rFonts w:ascii="Arial" w:cs="Arial" w:eastAsia="Arial" w:hAnsi="Arial"/>
                  <w:sz w:val="13"/>
                  <w:szCs w:val="13"/>
                  <w:color w:val="0000FF"/>
                </w:rPr>
                <w:t>Item 15. Exhibits, Financial Statement Schedules.</w:t>
              </w:r>
            </w:hyperlink>
          </w:p>
        </w:tc>
        <w:tc>
          <w:tcPr>
            <w:tcW w:w="660" w:type="dxa"/>
            <w:vAlign w:val="bottom"/>
          </w:tcPr>
          <w:p>
            <w:pPr>
              <w:jc w:val="right"/>
              <w:spacing w:after="0"/>
              <w:rPr>
                <w:rFonts w:ascii="Arial" w:cs="Arial" w:eastAsia="Arial" w:hAnsi="Arial"/>
                <w:sz w:val="13"/>
                <w:szCs w:val="13"/>
                <w:color w:val="auto"/>
              </w:rPr>
            </w:pPr>
            <w:hyperlink w:anchor="page112">
              <w:r>
                <w:rPr>
                  <w:rFonts w:ascii="Arial" w:cs="Arial" w:eastAsia="Arial" w:hAnsi="Arial"/>
                  <w:sz w:val="13"/>
                  <w:szCs w:val="13"/>
                  <w:color w:val="auto"/>
                </w:rPr>
                <w:t>112</w:t>
              </w:r>
            </w:hyperlink>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2680" w:type="dxa"/>
            <w:vAlign w:val="bottom"/>
            <w:tcBorders>
              <w:top w:val="single" w:sz="8" w:color="0000FF"/>
            </w:tcBorders>
            <w:gridSpan w:val="17"/>
          </w:tcPr>
          <w:p>
            <w:pPr>
              <w:spacing w:after="0"/>
              <w:rPr>
                <w:rFonts w:ascii="Arial" w:cs="Arial" w:eastAsia="Arial" w:hAnsi="Arial"/>
                <w:sz w:val="13"/>
                <w:szCs w:val="13"/>
                <w:color w:val="0000FF"/>
              </w:rPr>
            </w:pPr>
            <w:hyperlink w:anchor="page113">
              <w:r>
                <w:rPr>
                  <w:rFonts w:ascii="Arial" w:cs="Arial" w:eastAsia="Arial" w:hAnsi="Arial"/>
                  <w:sz w:val="13"/>
                  <w:szCs w:val="13"/>
                  <w:color w:val="0000FF"/>
                </w:rPr>
                <w:t>Item 16. Form 10-K Summary.</w:t>
              </w:r>
            </w:hyperlink>
          </w:p>
        </w:tc>
        <w:tc>
          <w:tcPr>
            <w:tcW w:w="6140" w:type="dxa"/>
            <w:vAlign w:val="bottom"/>
            <w:gridSpan w:val="10"/>
          </w:tcPr>
          <w:p>
            <w:pPr>
              <w:spacing w:after="0"/>
              <w:rPr>
                <w:sz w:val="13"/>
                <w:szCs w:val="13"/>
                <w:color w:val="auto"/>
              </w:rPr>
            </w:pPr>
          </w:p>
        </w:tc>
        <w:tc>
          <w:tcPr>
            <w:tcW w:w="660" w:type="dxa"/>
            <w:vAlign w:val="bottom"/>
          </w:tcPr>
          <w:p>
            <w:pPr>
              <w:jc w:val="right"/>
              <w:spacing w:after="0"/>
              <w:rPr>
                <w:rFonts w:ascii="Arial" w:cs="Arial" w:eastAsia="Arial" w:hAnsi="Arial"/>
                <w:sz w:val="13"/>
                <w:szCs w:val="13"/>
                <w:color w:val="auto"/>
              </w:rPr>
            </w:pPr>
            <w:hyperlink w:anchor="page113">
              <w:r>
                <w:rPr>
                  <w:rFonts w:ascii="Arial" w:cs="Arial" w:eastAsia="Arial" w:hAnsi="Arial"/>
                  <w:sz w:val="13"/>
                  <w:szCs w:val="13"/>
                  <w:color w:val="auto"/>
                </w:rPr>
                <w:t>114</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7160" w:type="dxa"/>
            <w:vAlign w:val="bottom"/>
            <w:gridSpan w:val="1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240" w:type="dxa"/>
            <w:vAlign w:val="bottom"/>
            <w:gridSpan w:val="28"/>
          </w:tcPr>
          <w:p>
            <w:pPr>
              <w:spacing w:after="0"/>
              <w:rPr>
                <w:rFonts w:ascii="Arial" w:cs="Arial" w:eastAsia="Arial" w:hAnsi="Arial"/>
                <w:sz w:val="13"/>
                <w:szCs w:val="13"/>
                <w:b w:val="1"/>
                <w:bCs w:val="1"/>
                <w:color w:val="0000FF"/>
              </w:rPr>
            </w:pPr>
            <w:hyperlink w:anchor="page114">
              <w:r>
                <w:rPr>
                  <w:rFonts w:ascii="Arial" w:cs="Arial" w:eastAsia="Arial" w:hAnsi="Arial"/>
                  <w:sz w:val="13"/>
                  <w:szCs w:val="13"/>
                  <w:b w:val="1"/>
                  <w:bCs w:val="1"/>
                  <w:color w:val="0000FF"/>
                </w:rPr>
                <w:t>Signatures</w:t>
              </w:r>
            </w:hyperlink>
          </w:p>
        </w:tc>
        <w:tc>
          <w:tcPr>
            <w:tcW w:w="660" w:type="dxa"/>
            <w:vAlign w:val="bottom"/>
          </w:tcPr>
          <w:p>
            <w:pPr>
              <w:jc w:val="right"/>
              <w:spacing w:after="0"/>
              <w:rPr>
                <w:rFonts w:ascii="Arial" w:cs="Arial" w:eastAsia="Arial" w:hAnsi="Arial"/>
                <w:sz w:val="13"/>
                <w:szCs w:val="13"/>
                <w:color w:val="auto"/>
              </w:rPr>
            </w:pPr>
            <w:hyperlink w:anchor="page114">
              <w:r>
                <w:rPr>
                  <w:rFonts w:ascii="Arial" w:cs="Arial" w:eastAsia="Arial" w:hAnsi="Arial"/>
                  <w:sz w:val="13"/>
                  <w:szCs w:val="13"/>
                  <w:color w:val="auto"/>
                </w:rPr>
                <w:t>115</w:t>
              </w:r>
            </w:hyperlink>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This Annual Report on Form 10-K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All statements other than statements of historical facts contained in this report are forward-looking statements. Statements regarding our future results of operations and financial position, business strategy and plans and objectives of management for future operations, including, among others, statements regarding liquidity, growth and profitability strategies and factors and trends affecting our business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Annual Report on Form 10-K include, among other things, statements about:</w:t>
      </w:r>
    </w:p>
    <w:p>
      <w:pPr>
        <w:spacing w:after="0" w:line="74" w:lineRule="exact"/>
        <w:rPr>
          <w:sz w:val="20"/>
          <w:szCs w:val="20"/>
          <w:color w:val="auto"/>
        </w:rPr>
      </w:pPr>
    </w:p>
    <w:p>
      <w:pPr>
        <w:ind w:left="500" w:hanging="240"/>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expectations regarding our revenue, expenses, and other operating results;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ability to acquire new customers and successfully retain existing customers;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ability to achieve or sustain our profitability;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future investments in our business, our anticipated capital expenditures, and our estimates regarding our capital requirements;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costs and success of our sales and marketing efforts, and our ability to promote our brand;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growth strategies;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estimated addressable market opportunity;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reliance on key personnel and our ability to identify, recruit, and retain skilled personnel;</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ability to effectively manage our growth;</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ability to protect our intellectual property rights and any costs associated therewith;</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effects of COVID-19 or other public health crises;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developments and expectations regarding developments and projections relating to our competitors and our industry; 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expectations regarding the time during which we will be an emerging growth company under the Jumpstart Our Business Startup Act of 2012.</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forward-looking statements in this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factors set forth under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These forward-looking statements speak only as of the date of this Annual Report on Form 10-K. Except as required by applicable law, we do not plan to publicly update or revise any forward-looking statements contained in this report after we distribute this Annual Report on Form 10-K, whether as a result of any new information, future events or otherwise.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OF MATERIAL RISKS ASSOCIATED WITH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Our business is subject to numerous risks and uncertainties that you should be aware, including those described in the section entitled “Risk Factors.” The risks include the following:</w:t>
      </w:r>
    </w:p>
    <w:p>
      <w:pPr>
        <w:spacing w:after="0" w:line="95" w:lineRule="exact"/>
        <w:rPr>
          <w:sz w:val="20"/>
          <w:szCs w:val="20"/>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face significant competition from larger companies and third party providers that may deploy their resources so they can develop their IP solutions internally;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have a history of net losses, and we may not achieve or maintain profitability in the future;</w:t>
      </w:r>
    </w:p>
    <w:p>
      <w:pPr>
        <w:spacing w:after="0" w:line="94" w:lineRule="exact"/>
        <w:rPr>
          <w:rFonts w:ascii="Arial" w:cs="Arial" w:eastAsia="Arial" w:hAnsi="Arial"/>
          <w:sz w:val="13"/>
          <w:szCs w:val="13"/>
          <w:color w:val="auto"/>
        </w:rPr>
      </w:pPr>
    </w:p>
    <w:p>
      <w:pPr>
        <w:jc w:val="both"/>
        <w:ind w:left="520" w:hanging="260"/>
        <w:spacing w:after="0" w:line="261" w:lineRule="auto"/>
        <w:tabs>
          <w:tab w:leader="none" w:pos="514" w:val="left"/>
        </w:tabs>
        <w:numPr>
          <w:ilvl w:val="0"/>
          <w:numId w:val="3"/>
        </w:numPr>
        <w:rPr>
          <w:rFonts w:ascii="Arial" w:cs="Arial" w:eastAsia="Arial" w:hAnsi="Arial"/>
          <w:sz w:val="13"/>
          <w:szCs w:val="13"/>
          <w:color w:val="auto"/>
        </w:rPr>
      </w:pPr>
      <w:r>
        <w:rPr>
          <w:rFonts w:ascii="Arial" w:cs="Arial" w:eastAsia="Arial" w:hAnsi="Arial"/>
          <w:sz w:val="13"/>
          <w:szCs w:val="13"/>
          <w:color w:val="auto"/>
        </w:rPr>
        <w:t>Because our IP solutions are components of end products, if semiconductor companies, system producers and/or end product producer companies in the automotive market, artificial intelligence/machine learning (AI/ML) market, 5G and wireless communications market, large scale cloud and data center market and consumer electronics market do not incorporate our solutions into their end products or if the end products of our customers do not achieve market acceptance, we may not be able to generate adequate license sales and royalty income from our products;</w:t>
      </w:r>
    </w:p>
    <w:p>
      <w:pPr>
        <w:spacing w:after="0" w:line="71"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depend on market acceptance of third-party semiconductor IP;</w:t>
      </w:r>
    </w:p>
    <w:p>
      <w:pPr>
        <w:spacing w:after="0" w:line="94" w:lineRule="exact"/>
        <w:rPr>
          <w:rFonts w:ascii="Arial" w:cs="Arial" w:eastAsia="Arial" w:hAnsi="Arial"/>
          <w:sz w:val="13"/>
          <w:szCs w:val="13"/>
          <w:color w:val="auto"/>
        </w:rPr>
      </w:pPr>
    </w:p>
    <w:p>
      <w:pPr>
        <w:ind w:left="520" w:hanging="260"/>
        <w:spacing w:after="0" w:line="257" w:lineRule="auto"/>
        <w:tabs>
          <w:tab w:leader="none" w:pos="514"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success of our business depends on sustaining or growing our licensing revenue and the failure to achieve such revenue would lead to a material decline in our results of operations;</w:t>
      </w:r>
    </w:p>
    <w:p>
      <w:pPr>
        <w:spacing w:after="0" w:line="243" w:lineRule="exact"/>
        <w:rPr>
          <w:rFonts w:ascii="Arial" w:cs="Arial" w:eastAsia="Arial" w:hAnsi="Arial"/>
          <w:sz w:val="13"/>
          <w:szCs w:val="13"/>
          <w:color w:val="auto"/>
        </w:rPr>
      </w:pPr>
    </w:p>
    <w:p>
      <w:pPr>
        <w:ind w:left="520" w:hanging="260"/>
        <w:spacing w:after="0" w:line="274" w:lineRule="auto"/>
        <w:tabs>
          <w:tab w:leader="none" w:pos="514"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61" w:lineRule="exact"/>
        <w:rPr>
          <w:rFonts w:ascii="Arial" w:cs="Arial" w:eastAsia="Arial" w:hAnsi="Arial"/>
          <w:sz w:val="13"/>
          <w:szCs w:val="13"/>
          <w:color w:val="auto"/>
        </w:rPr>
      </w:pPr>
    </w:p>
    <w:p>
      <w:pPr>
        <w:ind w:left="520" w:hanging="260"/>
        <w:spacing w:after="0" w:line="274" w:lineRule="auto"/>
        <w:tabs>
          <w:tab w:leader="none" w:pos="514" w:val="left"/>
        </w:tabs>
        <w:numPr>
          <w:ilvl w:val="0"/>
          <w:numId w:val="3"/>
        </w:numPr>
        <w:rPr>
          <w:rFonts w:ascii="Arial" w:cs="Arial" w:eastAsia="Arial" w:hAnsi="Arial"/>
          <w:sz w:val="13"/>
          <w:szCs w:val="13"/>
          <w:color w:val="auto"/>
        </w:rPr>
      </w:pPr>
      <w:r>
        <w:rPr>
          <w:rFonts w:ascii="Arial" w:cs="Arial" w:eastAsia="Arial" w:hAnsi="Arial"/>
          <w:sz w:val="13"/>
          <w:szCs w:val="13"/>
          <w:color w:val="auto"/>
        </w:rPr>
        <w:t>Even if we succeed in securing design wins for our IP interconnect and other solutions and our IP deployment solutions, we may not generate timely or sufficient margins or margins from those wins and our financial results could suffer;</w:t>
      </w:r>
    </w:p>
    <w:p>
      <w:pPr>
        <w:spacing w:after="0" w:line="61" w:lineRule="exact"/>
        <w:rPr>
          <w:rFonts w:ascii="Arial" w:cs="Arial" w:eastAsia="Arial" w:hAnsi="Arial"/>
          <w:sz w:val="13"/>
          <w:szCs w:val="13"/>
          <w:color w:val="auto"/>
        </w:rPr>
      </w:pPr>
    </w:p>
    <w:p>
      <w:pPr>
        <w:ind w:left="520" w:hanging="260"/>
        <w:spacing w:after="0" w:line="274" w:lineRule="auto"/>
        <w:tabs>
          <w:tab w:leader="none" w:pos="514"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continually pursue new IP interconnect and other solutions and IP deployment technology initiatives, and if we fail to successfully carry out these initiatives, our business could be harmed;</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may have to invest more resources in research and development than anticipated, which could increase our operating expenses and negatively affect our operating results;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Product errors or defects could expose us to liability and harm our reputation and we could lose market share;</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If we fail to offer high-quality support, our reputation could suffer;</w:t>
      </w:r>
    </w:p>
    <w:p>
      <w:pPr>
        <w:spacing w:after="0" w:line="94" w:lineRule="exact"/>
        <w:rPr>
          <w:rFonts w:ascii="Arial" w:cs="Arial" w:eastAsia="Arial" w:hAnsi="Arial"/>
          <w:sz w:val="13"/>
          <w:szCs w:val="13"/>
          <w:color w:val="auto"/>
        </w:rPr>
      </w:pPr>
    </w:p>
    <w:p>
      <w:pPr>
        <w:ind w:left="520" w:hanging="260"/>
        <w:spacing w:after="0" w:line="274" w:lineRule="auto"/>
        <w:tabs>
          <w:tab w:leader="none" w:pos="514"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dependence on international customers and operations also subjects us to a range of other additional regulatory, operational, financial and political risks that could adversely affect our financial results;</w:t>
      </w:r>
    </w:p>
    <w:p>
      <w:pPr>
        <w:spacing w:after="0" w:line="61" w:lineRule="exact"/>
        <w:rPr>
          <w:rFonts w:ascii="Arial" w:cs="Arial" w:eastAsia="Arial" w:hAnsi="Arial"/>
          <w:sz w:val="13"/>
          <w:szCs w:val="13"/>
          <w:color w:val="auto"/>
        </w:rPr>
      </w:pPr>
    </w:p>
    <w:p>
      <w:pPr>
        <w:ind w:left="520" w:hanging="260"/>
        <w:spacing w:after="0" w:line="274" w:lineRule="auto"/>
        <w:tabs>
          <w:tab w:leader="none" w:pos="514" w:val="left"/>
        </w:tabs>
        <w:numPr>
          <w:ilvl w:val="0"/>
          <w:numId w:val="3"/>
        </w:numPr>
        <w:rPr>
          <w:rFonts w:ascii="Arial" w:cs="Arial" w:eastAsia="Arial" w:hAnsi="Arial"/>
          <w:sz w:val="13"/>
          <w:szCs w:val="13"/>
          <w:color w:val="auto"/>
        </w:rPr>
      </w:pPr>
      <w:r>
        <w:rPr>
          <w:rFonts w:ascii="Arial" w:cs="Arial" w:eastAsia="Arial" w:hAnsi="Arial"/>
          <w:sz w:val="13"/>
          <w:szCs w:val="13"/>
          <w:color w:val="auto"/>
        </w:rPr>
        <w:t>If we are unable to protect our proprietary technology and inventions through patents and other IP rights, our ability to compete successfully and our financial results could be adversely impacted;</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are subject to government regulation, including import, export and economic sanctions laws and regulations that may expose us to liability and increase our costs; 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face risks associated with doing business in China.</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are a leading provider of semiconductor system IP that manages the on-chip communications and IP block deployment in System-on-Chip (SoC) semiconductors. Our products enable our customers to deliver increasingly complex SoCs that not only process data but are also able to make decisions. Growth in the total addressable market (TAM) for our solutions is being driven by the addition of more processors, channels of memory access, machine learning sections, chiplets, additional input/output (I/O) interface standards and other subsystems within SoCs. The growth in the numbers of these connected on-chip subsystems places an increasing premium on the interconnect IP’s capability to move data inside complex SoCs. We believe this increase in SoC complexity is creating a significant opportunity for sophisticated SoC system IP solutions, which consist of Network-on-Chip (NoC) interconnect IP, IP deployment software and NoC interface IP (consisting of peripheral data transport IPs and control plane networks connected to NoC interconnect IP).</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Founded in 2003, we believe we have pioneered and emerged as a global leader in the development of interconnect IP technology for on-chip communication that address the complexity, performance and cost requirements of advanced SoC semiconductors. Over time, we have expanded and scaled our interconnect IP and other IP businesses to provide hardware, software, documentation licenses, support and training under a license fee and a royalty business model, to companies that design and produce semiconductors worldwide. Our IP deployment solutions, which were significantly enhanced by our acquisition of Magillem Design Services SA (Magillem) in late 2020, complementing our interconnect IP solutions by helping to automate not only the customer configuration of interconnects but also the process of integrating and assembling all the customer’s IP blocks into an SoC. Products incorporating our IP are used to carry important data inside complex SoCs for sophisticated applications, including automated driving, artificial intelligence/machine learning (AI/ML), 5G and wireless communications, data centers, and consumer electronics, among other applications.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interconnect IP solutions offer proven connections to multiple industry standard processors such as Arm, RISC-V, CEVA, Synopsys ARC, Cadence Tensilica and MIPS, as well as memory controllers, I/O and a variety of IP subsystems, to enable customers to integrate such IP blocks with high levels of efficiency and performance. Our solutions enable customer innovation because they are configurable for each customer’s design flow and SoC development projects, and have wide applicability for many types of complex SoCs. Our products have been designed into billions of SoCs.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Traditional on-chip communication methods, including bus and crossbar, are generally inadequate in handling advanced semiconductor communications for sophisticated applications. Technological advancements have led to increasingly complex SoCs that integrate numerous functions into a single semiconductor device. Massive amounts of wires, challenging timing closure and routing congestion lead to greater die area and chip cost. Increased transistor density and design frequencies create higher power consumption leading to heat dissipation challenges and shorter battery life for electronic devices. These challenges have significantly complicated SoC innovation.</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We leveraged our extensive technological expertise to develop a new method for on-chip communication to address these critical semiconductor development challenges. We accomplished this by pioneering the use of proprietary networking techniques for on-chip communications to remove the inherent architectural limitations of traditional on-chip communications, thereby improving ease of integration, performance, silicon area, and power consumption. In doing so, we enable our customers to achieve their design goals faster, easier and at lower costs. We also offer an interconnect configuration cockpit that intelligently assembles a NoC interconnect from a library of NoC interconnect IP elements. In addition, our IP deployment software enables easier IP integration of our interconnect IPs – among other IP blocks that make up an SoC.</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work directly with our customers throughout the SoC development process and seek to develop long-term, sustainable relationships with them as our technology becomes embedded in their products. We also leverage our long history in interconnect IP designs and are able to serve a broad range of applications and deliver customer-specific features that are useful to our other customers. For example, we are a leader in the market of interconnect for advanced driver assistance systems (ADAS) SoCs, which we believe is a result of our quality, reliability, and innovative technology targeted at that business application.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provided solutions for the global SoC market and estimated our TAM for SoC system IP solutions was $1.3 billion in 2021. We estimate that our TAM will reach $3.2 billion in 2026, driven by an increasing number of SoC designs and growing complexity, increasing average selling prices of interconnect IP and IP deployment software and our move deeper into the NoC interface IP market segment. More specifically, we believe our growth will be driven by technology trends requiring more sophisticated on-chip processing in the automotive, AI/ML, 5G and wireless communications, data center and consumer electronic markets. Also, the need for sophisticated SoC system IP products is growing rapidly in order to address the requirements of smaller die size, lower power consumption and higher operation frequency, as well as management of critical net latency in a timely and cost-effective manner. As a result, we believe these trends have led to an increased economic benefit of in-licensing commercial semiconductor design IP.</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During 2021, we generated $37.9 million in revenue, $0.8 million in cash flows used in operating activities, and $23.4 million in net loss. We expect to incur further net losses in the short term as we invest in our business. As of December 31, 2021, we had Annual Contract Value (ACV), which we define for an individual customer agreement as the total fixed fees under the agreement divided by the number of years in the agreement term, of $47.4 million. ACV and trailing twelve months royalties and other revenue reached $50.0 million as of December 31, 2021. Since inception, our interconnect IP solutions have been used in over 550 unique SoC Design Starts. As of December 31, 2021, we had 192 Active Customers for both IP licensing and software products in our installed base across multiple applications that are utilizing our SoC system IP solutions in production. In 2021, we added 42 net new Active Customers.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Background</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i w:val="1"/>
          <w:iCs w:val="1"/>
          <w:color w:val="auto"/>
        </w:rPr>
        <w:t xml:space="preserve">Semiconductor complexity is increasing as the industry moves from SoCs that process data to SoCs that make decisions. </w:t>
      </w:r>
      <w:r>
        <w:rPr>
          <w:rFonts w:ascii="Arial" w:cs="Arial" w:eastAsia="Arial" w:hAnsi="Arial"/>
          <w:sz w:val="13"/>
          <w:szCs w:val="13"/>
          <w:color w:val="auto"/>
        </w:rPr>
        <w:t>Historically, a chip’s complexity was much lower as processors</w:t>
      </w:r>
      <w:r>
        <w:rPr>
          <w:rFonts w:ascii="Arial" w:cs="Arial" w:eastAsia="Arial" w:hAnsi="Arial"/>
          <w:sz w:val="13"/>
          <w:szCs w:val="13"/>
          <w:i w:val="1"/>
          <w:iCs w:val="1"/>
          <w:color w:val="auto"/>
        </w:rPr>
        <w:t xml:space="preserve"> </w:t>
      </w:r>
      <w:r>
        <w:rPr>
          <w:rFonts w:ascii="Arial" w:cs="Arial" w:eastAsia="Arial" w:hAnsi="Arial"/>
          <w:sz w:val="13"/>
          <w:szCs w:val="13"/>
          <w:color w:val="auto"/>
        </w:rPr>
        <w:t>were connected to memories with relatively few peripheral IP block functions. Once the industry moved to 40 nanometer (nm) and more advanced process geometries, it became possible to build more complex SoCs, such as mobile phone application processors, which contained many more IP blocks and consequently required more sophisticated on-chip communications. With the rise of machine learning algorithms, such as convolutional neural networks, and semiconductor process technologies at 16 nm or smaller geometries, it became possible to build decision-making SoCs for applications such as automated driving and data center advertising acceleration. Integration of processors, accelerators, machine learning subsystems, sophisticated multi-channel memories, and an ever-larger number of interface standards have placed a premium on the ability to move data efficiently inside the SoC and between SoC chiplets. These trends further highlight the growing importance of interconnect IP in complex SoCs.</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3"/>
          <w:szCs w:val="13"/>
          <w:i w:val="1"/>
          <w:iCs w:val="1"/>
          <w:color w:val="auto"/>
        </w:rPr>
        <w:t xml:space="preserve">Increasing chip design complexity leads to rising costs. </w:t>
      </w:r>
      <w:r>
        <w:rPr>
          <w:rFonts w:ascii="Arial" w:cs="Arial" w:eastAsia="Arial" w:hAnsi="Arial"/>
          <w:sz w:val="13"/>
          <w:szCs w:val="13"/>
          <w:color w:val="auto"/>
        </w:rPr>
        <w:t>The slowing of Moore’s law and the need for more functionality and performance has necessitated new architectural paradigms and</w:t>
      </w:r>
      <w:r>
        <w:rPr>
          <w:rFonts w:ascii="Arial" w:cs="Arial" w:eastAsia="Arial" w:hAnsi="Arial"/>
          <w:sz w:val="13"/>
          <w:szCs w:val="13"/>
          <w:i w:val="1"/>
          <w:iCs w:val="1"/>
          <w:color w:val="auto"/>
        </w:rPr>
        <w:t xml:space="preserve"> </w:t>
      </w:r>
      <w:r>
        <w:rPr>
          <w:rFonts w:ascii="Arial" w:cs="Arial" w:eastAsia="Arial" w:hAnsi="Arial"/>
          <w:sz w:val="13"/>
          <w:szCs w:val="13"/>
          <w:color w:val="auto"/>
        </w:rPr>
        <w:t>accelerated the move to more advanced process nodes. This has resulted in the adoption of significantly more expensive and complex chip design methods and manufacturing processes, creating a substantial rise in semiconductor design costs. Costs are projected to continue to rise as the number of IP blocks on an SoC are projected to increase more than 20% from 2021 to 2024 according to Semico Research, placing increasing importance on the cost efficiencies provided by SoC system IP solutions.</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3"/>
          <w:szCs w:val="13"/>
          <w:i w:val="1"/>
          <w:iCs w:val="1"/>
          <w:color w:val="auto"/>
        </w:rPr>
        <w:t xml:space="preserve">Increasing SoC complexity leads to increasing interconnect IP value. </w:t>
      </w:r>
      <w:r>
        <w:rPr>
          <w:rFonts w:ascii="Arial" w:cs="Arial" w:eastAsia="Arial" w:hAnsi="Arial"/>
          <w:sz w:val="13"/>
          <w:szCs w:val="13"/>
          <w:color w:val="auto"/>
        </w:rPr>
        <w:t>It is common for today’s SoC to contain multiple types of data traffic in the same design. In addition, the large number of</w:t>
      </w:r>
      <w:r>
        <w:rPr>
          <w:rFonts w:ascii="Arial" w:cs="Arial" w:eastAsia="Arial" w:hAnsi="Arial"/>
          <w:sz w:val="13"/>
          <w:szCs w:val="13"/>
          <w:i w:val="1"/>
          <w:iCs w:val="1"/>
          <w:color w:val="auto"/>
        </w:rPr>
        <w:t xml:space="preserve"> </w:t>
      </w:r>
      <w:r>
        <w:rPr>
          <w:rFonts w:ascii="Arial" w:cs="Arial" w:eastAsia="Arial" w:hAnsi="Arial"/>
          <w:sz w:val="13"/>
          <w:szCs w:val="13"/>
          <w:color w:val="auto"/>
        </w:rPr>
        <w:t>IP blocks in complex SoCs means that more data traffic must be successfully managed. Data must be successfully brought to each of these IP blocks at a time where such data is required— otherwise that IP block will be “starved” of data. As SoC size has grown, partially due to incorporation of Machine Learning sections, SoCs are being split into chiplets, which are smaller pieces of silicon packaged together into one SoC unit. Communication between chiplets adds complexity, which increases the value of interconnect IP.</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3"/>
          <w:szCs w:val="13"/>
          <w:i w:val="1"/>
          <w:iCs w:val="1"/>
          <w:color w:val="auto"/>
        </w:rPr>
        <w:t xml:space="preserve">Increasing SoC complexity puts pressure on assembling IP blocks coming in from variety of sources. </w:t>
      </w:r>
      <w:r>
        <w:rPr>
          <w:rFonts w:ascii="Arial" w:cs="Arial" w:eastAsia="Arial" w:hAnsi="Arial"/>
          <w:sz w:val="13"/>
          <w:szCs w:val="13"/>
          <w:color w:val="auto"/>
        </w:rPr>
        <w:t>With potentially hundreds of IP blocks coming from a variety of vendors and internal</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groups, SoC teams need to manage the IP supply chains with increasingly capable IP deployment software. These teams and their electronic design automation (EDA) groups also need to put in place increasingly capable SoC integration methodologies to improve SoC development success. These developments have driven the semiconductor industry to use IP deployment standards such as IP-XACT that are becoming increasingly sophisticated with each generation and require more sophisticated software to support them.</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65" w:lineRule="auto"/>
        <w:rPr>
          <w:sz w:val="20"/>
          <w:szCs w:val="20"/>
          <w:color w:val="auto"/>
        </w:rPr>
      </w:pPr>
      <w:r>
        <w:rPr>
          <w:rFonts w:ascii="Arial" w:cs="Arial" w:eastAsia="Arial" w:hAnsi="Arial"/>
          <w:sz w:val="13"/>
          <w:szCs w:val="13"/>
          <w:i w:val="1"/>
          <w:iCs w:val="1"/>
          <w:color w:val="auto"/>
        </w:rPr>
        <w:t xml:space="preserve">Increasing demand from emerging end markets and new market participants. </w:t>
      </w:r>
      <w:r>
        <w:rPr>
          <w:rFonts w:ascii="Arial" w:cs="Arial" w:eastAsia="Arial" w:hAnsi="Arial"/>
          <w:sz w:val="13"/>
          <w:szCs w:val="13"/>
          <w:color w:val="auto"/>
        </w:rPr>
        <w:t>New applications in markets such as automotive, AI/ML, 5G and wireless communications and data centers</w:t>
      </w:r>
      <w:r>
        <w:rPr>
          <w:rFonts w:ascii="Arial" w:cs="Arial" w:eastAsia="Arial" w:hAnsi="Arial"/>
          <w:sz w:val="13"/>
          <w:szCs w:val="13"/>
          <w:i w:val="1"/>
          <w:iCs w:val="1"/>
          <w:color w:val="auto"/>
        </w:rPr>
        <w:t xml:space="preserve"> </w:t>
      </w:r>
      <w:r>
        <w:rPr>
          <w:rFonts w:ascii="Arial" w:cs="Arial" w:eastAsia="Arial" w:hAnsi="Arial"/>
          <w:sz w:val="13"/>
          <w:szCs w:val="13"/>
          <w:color w:val="auto"/>
        </w:rPr>
        <w:t>have increased the diversity and overall demand in the semiconductor market. These new applications have led to an increase in number of complex SoC designs. Chips used for AI training and inference acceleration have increased in die size, further increasing design costs with new design complexities and performance requirements. Also, new market participants, such as electronic system companies, Internet hyperscalers, and automotive original equipment manufacturers (OEMs), have begun internally developing their own chips. The increasing demand from current and new market entrants is increasing the need for SoC system IP solutions.</w:t>
      </w:r>
    </w:p>
    <w:p>
      <w:pPr>
        <w:spacing w:after="0" w:line="98" w:lineRule="exact"/>
        <w:rPr>
          <w:sz w:val="20"/>
          <w:szCs w:val="20"/>
          <w:color w:val="auto"/>
        </w:rPr>
      </w:pPr>
    </w:p>
    <w:p>
      <w:pPr>
        <w:jc w:val="both"/>
        <w:spacing w:after="0" w:line="269" w:lineRule="auto"/>
        <w:rPr>
          <w:sz w:val="20"/>
          <w:szCs w:val="20"/>
          <w:color w:val="auto"/>
        </w:rPr>
      </w:pPr>
      <w:r>
        <w:rPr>
          <w:rFonts w:ascii="Arial" w:cs="Arial" w:eastAsia="Arial" w:hAnsi="Arial"/>
          <w:sz w:val="13"/>
          <w:szCs w:val="13"/>
          <w:i w:val="1"/>
          <w:iCs w:val="1"/>
          <w:color w:val="auto"/>
        </w:rPr>
        <w:t xml:space="preserve">Shift to third-party IP for cost benefits, product differentiation, and accelerated time to market. </w:t>
      </w:r>
      <w:r>
        <w:rPr>
          <w:rFonts w:ascii="Arial" w:cs="Arial" w:eastAsia="Arial" w:hAnsi="Arial"/>
          <w:sz w:val="13"/>
          <w:szCs w:val="13"/>
          <w:color w:val="auto"/>
        </w:rPr>
        <w:t>It is difficult, time consuming and expensive to develop state-of-the-art SoC interconnect IP</w:t>
      </w:r>
      <w:r>
        <w:rPr>
          <w:rFonts w:ascii="Arial" w:cs="Arial" w:eastAsia="Arial" w:hAnsi="Arial"/>
          <w:sz w:val="13"/>
          <w:szCs w:val="13"/>
          <w:i w:val="1"/>
          <w:iCs w:val="1"/>
          <w:color w:val="auto"/>
        </w:rPr>
        <w:t xml:space="preserve"> </w:t>
      </w:r>
      <w:r>
        <w:rPr>
          <w:rFonts w:ascii="Arial" w:cs="Arial" w:eastAsia="Arial" w:hAnsi="Arial"/>
          <w:sz w:val="13"/>
          <w:szCs w:val="13"/>
          <w:color w:val="auto"/>
        </w:rPr>
        <w:t>solutions. We believe this dynamic is accelerating the degree to which interconnect IP solutions are outsourced to commercial vendors. Commercial interconnect vendors, such as Arteris IP, have the potential to accelerate time-to-market because they engage with a greater variety of SoC applications and a greater variety of designs than the typical internal interconnect teams. Commercial vendors are therefore often able to spread interconnect and SoC development costs across a greater number of projects than internal interconnect and design teams.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SoC System IP Market</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SoC-type semiconductors consist of pre-made IP blocks that are either licensed from third parties by semiconductor and electronics companies or developed in-house. These IP blocks must be assembled into SoCs as efficiently as possible to address semiconductor company and system OEM customer requirements. Many of these IP blocks, including processors and other functional blocks, such as modems and vision subsystems, perform processing functions and execute complex software stacks. These IP blocks can number in the hundreds on a single chip and generate and consume commands and data, as well as work together as a unit. As SoCs become more complex, there has emerged a class of “system IP and software tools” designed to assemble these IP blocks into a functioning SoC at target cost and performance. We call this the SoC system IP market. The SoC system IP market consists of interconnect IP, IP deployment software and NoC interface IP. In 2021, there were approximately 400 SoC companies and 25 billion SoC units were shipped. Our SoC system IP is used across a broad set of applications, with a market that we estimated to be $1.3 billion in 2021, which we expect to expand to $3.2 billion by 2026. We believe our 2026 estimated TAM will comprise an approximately $1.6 billion NoC Interconnect IP market, an approximately $500 million IP deployment software market and an approximately $1.1 billion NoC Interface IP market. According to Deloitte, automotive electronics and industrial electronics are expected to be the fastest growing markets in the semiconductor industry, with revenue from consumer electronics, data processing and communication electronics set to grow steadily. As SoC technology evolves, we believe that there is a significant opportunity for us to grow our value by introducing additional functionality for our customers to integrate their SoCs efficiently using our SoC system IP solutions.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Automotive Market</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automotive market is undergoing technology disruption with the advent of automated driving, electrification, electronic control unit consolidation and vehicle connectivity to the internet. Furthermore, cars are becoming increasingly connected to a large network of data centers, roadside and city infrastructures, and other vehicles, creating the “Internet of Cars.” Based on an IHS report, management believes there will be an average of 23 complex SoCs per electronically enabled vehicle by 2026. These trends have resulted in increased ADAS adoption. As a result, the number of complex SoCs and microcontroller units (MCU) in ADAS vehicles is expected to grow at a compound annual growth rate (CAGR) of 31% between 2021 and 2027. These innovations are expected to lead to dramatic increases in the amount spent on semiconductor content in cars from $92 billion in 2020 to a projected $129 billion by 2025, according to McKinsey and Company. As the electronically enabled car has continued to grow in sophistication and performance, complex SoCs must increasingly receive, process and communicate data, further requiring advanced interconnect IP solutions.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different levels of automated driving are defined as “Level 1” to “Level 5” with “Level 1” being sophisticated cruise control and “Level 5” being fully automated without the need for human driving intervention. According to IHS Markit, the annual production of vehicles equipped with ADAS systems considered “Level 2” and above is estimated to reach 43.5 million units in 2027. The average number of NoC-enabled SoCs and high-end MCUs in Level 1 and above vehicles is expected to be over 24 in 2027, for a total estimate of over 1.6 billion automotive complex SoCs and MCU.</w:t>
      </w:r>
    </w:p>
    <w:p>
      <w:pPr>
        <w:spacing w:after="0" w:line="271"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Due to the complex requirements of electronically enabled vehicles and the high rate of innovation required to compete in the “Internet of Cars” revolution, industry players are designing SoCs tailored to their sophisticated software and applications. This will result in more complex automotive-targeted SoCs, which we expect will continue to grow demand for reliable, configurable and proven interconnect technologies that accelerate a product’s time to market while reducing overall costs.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The “Internet of Cars” revolution is disrupting the automotive supply chain. New business models such as ride sharing, transportation subscriptions and transportation as a service are being created. New potential entrants such as ride sharing companies, large data center companies and new automotive startups are changing the automotive business landscape, while increasing demand for more sophisticated transportation targeted semiconductors and therefore SoC system IP solutions. In addition, the traditional automotive supply chain is also restructuring, with semiconductor vendors, automotive “tier 1” suppliers and automotive OEMs competing to own and control the electronic architecture of these cars. To compete, companies at all levels of the automotive supply chain have started creating their own chips, thus increasing the number of SoCs in the automotive industry and increasing demand for interconnect IP solutions.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Artificial Intelligence/Machine Learning Market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With the advent of AI/ML, semiconductors have changed from being data processors to sophisticated and adaptive decision-making devices. AI/ML SoCs must be “trained” on large data sets that have to be collected from real world data utilizing “training” SoCs. A different class of AI/ML SoCs uses such data to match the training data against actual data collected by sensors of the system utilizing “inference” SoCs. AI/ML is deployed in cloud data centers for applications such as personalized advertising and credit card fraud detection. AI/ML is also deployed at the edge of networks for applications such as automated driving, cell phones and numerous other applications.</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AI/ML semiconductor structures require multiple IP blocks that use peer-to-peer on chip communications that have different data traffic characteristics than other parts of the SoC and thus require special interconnect features. Such interconnect features require greater attention to challenges including deadlock avoidance and mesh performance and the ability to transfer large amount of data to memories.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McKinsey and Company expects machine learning SoCs to comprise at least 50% of the custom application-specific integrated circuits (ASICs) or field programmable gate arrays by 2025, as opposed to off-the-shelf central processing units (CPUs) or graphics processing units (GPUs). McKinsey and Company also expects the proportion of AI/ML edge chips that are custom ASICs will represent 70% of all edge inference chips by 2025.</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5G and Wireless Communications Market</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According to Gartner, 5.8 billion enterprise and automotive IoT endpoints were connected to the internet in 2020. Today, many of these endpoints are connected using 5G wireless communications and we believe that the number of 5G connected endpoints will significantly grow in the future. The wireless communications market is in the midst of disruption as it allows efficient machine-to-machine communications at a massive scope and scale. 5G technology allows the cost-efficient connections of massive numbers of embedded sensors and other devices into ultra-reliable, high-bandwidth and low latency networks. In short, 5G enables smart devices utilizing sophisticated SoCs to communicate more information at faster speeds while using less power. As 5G is adopted as the wireless market standard, it is expected to revolutionize markets, including cars and smart city vehicle infrastructure, factory automation, logistics, and consumer and business broadband.</w:t>
      </w:r>
    </w:p>
    <w:p>
      <w:pPr>
        <w:spacing w:after="0" w:line="272"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believe the transition to 5G will accelerate SoC System IP market growth because the high complexity of 5G chips require more stringent requirements for bandwidth, latency, and power consumption, making an easy-to-integrate, high performance and low power on-chip interconnect a critical requirement. Gartner estimates 5G infrastructure semiconductor revenue will exceed $1 billion by 2024.</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Applications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Large scale cloud data centers are augmenting and replacing corporate data centers. This evolution expands the market size and value for enterprise solid state storage systems and the custom ASICs that control them, further strengthening demand for interconnect technologies that improve storage performance and provide data integrity. In addition, hyperscale computing companies like Google, Amazon, Microsoft and Facebook are now creating proprietary SoCs and accelerators for their own products and data centers. We believe that these new entrants into semiconductor design will increasingly provide market opportunities for third-party SoC system IP solutions.</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consumer electronics market is also expected to require increasingly complex chips primarily driven by the incorporation of AI/ML processing and 5G communications. In addition, the consumer electronics chip market is sensitive to time-to-market pressures, which also generates the need for increased semiconductor design productivity and faster implementation as enhanced by sophisticated interconnect IP solutions. Our low power features are valuable for battery life and power consumption in our targeted markets.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Challenges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Interconnect IP development is a challenging, time consuming, and expensive process. The need for robust, maintainable interconnect technology becomes increasingly important as chip designs become more complex and larger in size, both driven by advances in semiconductor manufacturing technology. As semiconductor manufacturing technology has advanced, it has increased the number of IP block functions that can be added to SoC type semiconductors. However, as more IP block functions are added to a chip, the sheer number of physical connections required for communications between the on-chip IP blocks grows massively. Therefore, the larger and more complex the SoC, the more important the on-chip interconnect for overall chip performance, power consumption and cost. Interconnect and IP deployment technology is key to allowing SoC designers to design these types of chips while meeting their technical and time-to-market requirements. The industry is challenged to meet these requirements by itself because of the technical know-how to do so. Further, any failures due to quality issues are enormously expensive and industry standards for mission-critical applications like automotive are costly to meet. All these technology trends combine to require a large initial investment and a long-time commitment for a chip design team or commercial interconnect IP company to create semiconductor IP and software technologies that satisfy industry needs.</w:t>
      </w:r>
    </w:p>
    <w:p>
      <w:pPr>
        <w:spacing w:after="0" w:line="99" w:lineRule="exact"/>
        <w:rPr>
          <w:sz w:val="20"/>
          <w:szCs w:val="20"/>
          <w:color w:val="auto"/>
        </w:rPr>
      </w:pPr>
    </w:p>
    <w:p>
      <w:pPr>
        <w:jc w:val="both"/>
        <w:ind w:left="640" w:hanging="253"/>
        <w:spacing w:after="0" w:line="260" w:lineRule="auto"/>
        <w:tabs>
          <w:tab w:leader="none" w:pos="657"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Deep technical expertise and knowledge. </w:t>
      </w:r>
      <w:r>
        <w:rPr>
          <w:rFonts w:ascii="Arial" w:cs="Arial" w:eastAsia="Arial" w:hAnsi="Arial"/>
          <w:sz w:val="13"/>
          <w:szCs w:val="13"/>
          <w:color w:val="auto"/>
        </w:rPr>
        <w:t>Interconnect development requires an interdisciplinary engineering team with expertise and skill sets across a wide-range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engineering and scientific domains including hardware architecture, design, verification, EDA-class software development, and SystemC modeling, as well as deep understanding of physical design, design methodologies and networking architectures. The design process requires expertise in developing advanced hardware architectures to handle data coherency and consistency across the interconnect to achieve a high-performance, low power implementation. Complex flows and methodologies as well as specialized languages to generate configurable hardware and interconnect configuration software must also be designed, with hardware configurations defined using thousands of parameters that need to be meticulously managed, with millions of combinations to be considered. The interconnect design process also requires engineers to have an awareness of the physical implementation and floorplan of the target chip in order to generate an architecture that meets SoC requirements in terms of timing, area, and power. Designers require an in-depth knowledge of graph theory, common interface protocols, data models, and graphical user interfaces. In addition, they require the skills to develop design methodologies to manage dependencies in project execution where the interconnect configuration software generates the hardware IP and associated data evidence of product quality and compliance with industry standards.</w:t>
      </w:r>
    </w:p>
    <w:p>
      <w:pPr>
        <w:spacing w:after="0" w:line="176" w:lineRule="exact"/>
        <w:rPr>
          <w:rFonts w:ascii="Arial" w:cs="Arial" w:eastAsia="Arial" w:hAnsi="Arial"/>
          <w:sz w:val="13"/>
          <w:szCs w:val="13"/>
          <w:color w:val="auto"/>
        </w:rPr>
      </w:pPr>
    </w:p>
    <w:p>
      <w:pPr>
        <w:jc w:val="both"/>
        <w:ind w:left="640" w:hanging="253"/>
        <w:spacing w:after="0" w:line="268" w:lineRule="auto"/>
        <w:tabs>
          <w:tab w:leader="none" w:pos="647"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High quality. </w:t>
      </w:r>
      <w:r>
        <w:rPr>
          <w:rFonts w:ascii="Arial" w:cs="Arial" w:eastAsia="Arial" w:hAnsi="Arial"/>
          <w:sz w:val="13"/>
          <w:szCs w:val="13"/>
          <w:color w:val="auto"/>
        </w:rPr>
        <w:t>Interconnect IP requires a systematic deployment of quality-oriented methodologies, as any customer-level problems in the interconnect will result in SoC project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delays or even project failures. Engineering teams creating interconnects must invest heavily not only in skilled engineering resources to develop and verify, but also processes and methodologies that provide early indication of any potential quality issues. The best interconnect engineering teams also leverage these methodologies to help automate design and verification tasks, which helps improve time to market for the interconnect IP provider. If the interconnect has serious problems, the SoC will not be operational, resulting in significant economic losses.</w:t>
      </w:r>
    </w:p>
    <w:p>
      <w:pPr>
        <w:spacing w:after="0" w:line="170" w:lineRule="exact"/>
        <w:rPr>
          <w:rFonts w:ascii="Arial" w:cs="Arial" w:eastAsia="Arial" w:hAnsi="Arial"/>
          <w:sz w:val="13"/>
          <w:szCs w:val="13"/>
          <w:color w:val="auto"/>
        </w:rPr>
      </w:pPr>
    </w:p>
    <w:p>
      <w:pPr>
        <w:jc w:val="both"/>
        <w:ind w:left="640" w:hanging="253"/>
        <w:spacing w:after="0" w:line="278" w:lineRule="auto"/>
        <w:tabs>
          <w:tab w:leader="none" w:pos="636"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Safety standards. </w:t>
      </w:r>
      <w:r>
        <w:rPr>
          <w:rFonts w:ascii="Arial" w:cs="Arial" w:eastAsia="Arial" w:hAnsi="Arial"/>
          <w:sz w:val="13"/>
          <w:szCs w:val="13"/>
          <w:color w:val="auto"/>
        </w:rPr>
        <w:t>High reliability of the interconnect is a heightened requirement for mission-critical markets including automotive, industrial robotics, medical and space. An in-depth knowledge of and adherence to standards, such as the ISO 26262 automotive functional safety standards, further increases the challenge of developing a reliable interconnect targeted at these applications.</w:t>
      </w:r>
    </w:p>
    <w:p>
      <w:pPr>
        <w:jc w:val="both"/>
        <w:ind w:left="640" w:hanging="253"/>
        <w:spacing w:after="0" w:line="278" w:lineRule="auto"/>
        <w:tabs>
          <w:tab w:leader="none" w:pos="636"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Long time commitment and high investment cost. </w:t>
      </w:r>
      <w:r>
        <w:rPr>
          <w:rFonts w:ascii="Arial" w:cs="Arial" w:eastAsia="Arial" w:hAnsi="Arial"/>
          <w:sz w:val="13"/>
          <w:szCs w:val="13"/>
          <w:color w:val="auto"/>
        </w:rPr>
        <w:t>We believe the engineering development cycle for each new interconnect and the market development cycle to establish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significant market position for a customer or for a commercial vendor requires large teams, many years and great expense. Additionally, we believe the investment required by a customer to internally create a configurable interconnect technology for a new SoC can be very expensive compared to the cost of licensing from a proven interconnect IP provider.</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Given the above requirements and challenges, developing commercial interconnect IP and software tools requires large engineering teams with advanced skill sets, significant amounts of time, and substantial financial investment. By licensing commercial interconnect IP, companies can free up resources to focus on developing new product capabilities and differentiators. Further, we believe the large investments needed to develop commercial interconnect IP also create barriers to entry for potential commercial competitors.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Solutions and Competitive Strengths</w:t>
      </w:r>
    </w:p>
    <w:p>
      <w:pPr>
        <w:spacing w:after="0" w:line="150"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We are a leading provider of interconnect and other IP technology that manages the on-chip communications in SoC semiconductor devices. We believe our SoC system IP is integral to our customers in the automotive, AI/ML, 5G and wireless communications, data centers, consumer electronics and other markets. Our core strengths include:</w:t>
      </w:r>
    </w:p>
    <w:p>
      <w:pPr>
        <w:spacing w:after="0" w:line="88" w:lineRule="exact"/>
        <w:rPr>
          <w:sz w:val="20"/>
          <w:szCs w:val="20"/>
          <w:color w:val="auto"/>
        </w:rPr>
      </w:pPr>
    </w:p>
    <w:p>
      <w:pPr>
        <w:jc w:val="both"/>
        <w:ind w:left="640" w:hanging="253"/>
        <w:spacing w:after="0" w:line="260" w:lineRule="auto"/>
        <w:tabs>
          <w:tab w:leader="none" w:pos="636"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We help accelerate our customers’ time to market. </w:t>
      </w:r>
      <w:r>
        <w:rPr>
          <w:rFonts w:ascii="Arial" w:cs="Arial" w:eastAsia="Arial" w:hAnsi="Arial"/>
          <w:sz w:val="13"/>
          <w:szCs w:val="13"/>
          <w:color w:val="auto"/>
        </w:rPr>
        <w:t>Our interconnect hardware and SoC cockpit software helps accelerate SoC development and integration at several different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steps in the SoC design cycle. For example, we offer design exploration and modelling capability for SoC architects to explore the interconnect IP performance of their designs ahead of hardware description language generation in order to speed up SoC architecture definition. As another example, we have automated test bench generation to accelerate verification of our interconnect IP products. Still further, our physical awareness capability allows estimation of critical net latencies and estimates whether the interconnect IP will meet our customers’ required timing. Our SoC system IP product lines are structured so that our customers can customize the interconnect for their needs, helping accelerate interconnect IP customization for their particular SoC configurations. In addition to interconnect IP productivity features, we offer a combination of automated interconnect configuration software, pre-verified interfaces to IP block protocols, pre-verified interfaces to EDA tools and a pre-verified interconnect IP element library for rapid generation of customer specific interconnect IP products. Our IP deployment solutions also help accelerate SoC development by enabling the IP blocks making up an SoC to be packaged in a standard format called IP-XACT (Institute of Electrical and Electronics Engineers—IEEE 1685), which provides a uniform IP block assembly and reuse methodology. The IP deployment tool suite includes numerous packages that allow configuration of IP block exit port registers, establish high level SoC connectivity and link documentation to the IP-XACT design information.</w:t>
      </w:r>
    </w:p>
    <w:p>
      <w:pPr>
        <w:spacing w:after="0" w:line="173" w:lineRule="exact"/>
        <w:rPr>
          <w:rFonts w:ascii="Arial" w:cs="Arial" w:eastAsia="Arial" w:hAnsi="Arial"/>
          <w:sz w:val="13"/>
          <w:szCs w:val="13"/>
          <w:color w:val="auto"/>
        </w:rPr>
      </w:pPr>
    </w:p>
    <w:p>
      <w:pPr>
        <w:jc w:val="both"/>
        <w:ind w:left="640" w:hanging="253"/>
        <w:spacing w:after="0" w:line="270" w:lineRule="auto"/>
        <w:tabs>
          <w:tab w:leader="none" w:pos="647"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Our products help improve performance of our customers’ SoCs. </w:t>
      </w:r>
      <w:r>
        <w:rPr>
          <w:rFonts w:ascii="Arial" w:cs="Arial" w:eastAsia="Arial" w:hAnsi="Arial"/>
          <w:sz w:val="13"/>
          <w:szCs w:val="13"/>
          <w:color w:val="auto"/>
        </w:rPr>
        <w:t>We believe that using our SoC system IP solutions can result in improved SoC metrics such as higher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performance, lower power consumption and smaller die area. We have extensive low power management features such as three levels of clock gating and power domain features for low power applications such as smart phone application processors and other SoCs for hand-held applications. We enable customers to partition their designs into “frequency domains”, allowing some domains to run at higher frequencies than others, in order to trade-off performance against SoC power consumption.</w:t>
      </w:r>
    </w:p>
    <w:p>
      <w:pPr>
        <w:spacing w:after="0" w:line="6" w:lineRule="exact"/>
        <w:rPr>
          <w:rFonts w:ascii="Arial" w:cs="Arial" w:eastAsia="Arial" w:hAnsi="Arial"/>
          <w:sz w:val="13"/>
          <w:szCs w:val="13"/>
          <w:color w:val="auto"/>
        </w:rPr>
      </w:pPr>
    </w:p>
    <w:p>
      <w:pPr>
        <w:jc w:val="both"/>
        <w:ind w:left="640" w:hanging="253"/>
        <w:spacing w:after="0" w:line="264" w:lineRule="auto"/>
        <w:tabs>
          <w:tab w:leader="none" w:pos="636"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We enable lower customer research and development and SoC unit costs. </w:t>
      </w:r>
      <w:r>
        <w:rPr>
          <w:rFonts w:ascii="Arial" w:cs="Arial" w:eastAsia="Arial" w:hAnsi="Arial"/>
          <w:sz w:val="13"/>
          <w:szCs w:val="13"/>
          <w:color w:val="auto"/>
        </w:rPr>
        <w:t>We believe that we enable lower chip research and development costs, lower SoC unit costs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reduce project risk as compared to solutions developed internally or licensed from another vendor. We have targeted our interconnect IP to be area-efficient so that we can offer silicon area savings, and resulting chip cost savings, compared to other interconnect IP alternatives. For example, the interconnect IP generally makes up a meaningful proportion of the overall SoC area at the completed SoC stage, and savings of 1 square millimeter of area can potentially offer a significant savings in terms of SoC unit costs. We provide an integrated package of software, hardware, documentation, verification tools and pre-verified interfaces to major IP blocks and EDA tools. We believe IP and software can save our customers time and money, and enable them to focus on product differentiation and revenue generation.</w:t>
      </w:r>
    </w:p>
    <w:p>
      <w:pPr>
        <w:spacing w:after="0" w:line="10" w:lineRule="exact"/>
        <w:rPr>
          <w:rFonts w:ascii="Arial" w:cs="Arial" w:eastAsia="Arial" w:hAnsi="Arial"/>
          <w:sz w:val="13"/>
          <w:szCs w:val="13"/>
          <w:color w:val="auto"/>
        </w:rPr>
      </w:pPr>
    </w:p>
    <w:p>
      <w:pPr>
        <w:jc w:val="both"/>
        <w:ind w:left="640" w:hanging="253"/>
        <w:spacing w:after="0" w:line="264" w:lineRule="auto"/>
        <w:tabs>
          <w:tab w:leader="none" w:pos="647"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We believe we have grown our product portfolio through robust and focused research and development. </w:t>
      </w:r>
      <w:r>
        <w:rPr>
          <w:rFonts w:ascii="Arial" w:cs="Arial" w:eastAsia="Arial" w:hAnsi="Arial"/>
          <w:sz w:val="13"/>
          <w:szCs w:val="13"/>
          <w:color w:val="auto"/>
        </w:rPr>
        <w:t>Developing commercial interconnect IP and software tooling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requires large and specialized engineering teams, significant amounts of time and extensive periods of commercial productization. We believe we have been the pioneer of using networking technology for on-chip communications and have been licensing such interconnect IP products since 2006. Our strategy is to deliver at least one new interconnect IP or IP deployment product per year and we have done so since 2013, most recently with the introduction of our Harmony Trace product in 2021. As of December 31, 2021, we have 128 development engineers on staff covering hardware, software, verification, testing and methodology development. Such a sizeable, multi-disciplinary engineering team allows us to undertake SoC system IP products of sizeable scale and permits us to work on multiple product development projects at the same time.</w:t>
      </w:r>
    </w:p>
    <w:p>
      <w:pPr>
        <w:spacing w:after="0" w:line="10" w:lineRule="exact"/>
        <w:rPr>
          <w:rFonts w:ascii="Arial" w:cs="Arial" w:eastAsia="Arial" w:hAnsi="Arial"/>
          <w:sz w:val="13"/>
          <w:szCs w:val="13"/>
          <w:color w:val="auto"/>
        </w:rPr>
      </w:pPr>
    </w:p>
    <w:p>
      <w:pPr>
        <w:jc w:val="both"/>
        <w:ind w:left="640" w:hanging="253"/>
        <w:spacing w:after="0" w:line="270" w:lineRule="auto"/>
        <w:tabs>
          <w:tab w:leader="none" w:pos="647"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We have grown our solutions through targeted acquisitions. </w:t>
      </w:r>
      <w:r>
        <w:rPr>
          <w:rFonts w:ascii="Arial" w:cs="Arial" w:eastAsia="Arial" w:hAnsi="Arial"/>
          <w:sz w:val="13"/>
          <w:szCs w:val="13"/>
          <w:color w:val="auto"/>
        </w:rPr>
        <w:t>We intend to continue to support a robust internal technology development program that is complemented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synergistic acquisitions to increase customer productivity and to lower SoC development and production costs. We believe we have the ability to complement our product development with selective acquisitions to strengthen our SoC system IP product portfolio. With our acquisition of Magillem in 2020, we added complementary technology that helps automate not only the customer configuration of their interconnect, but also the process of integrating and assembling all the customers’ IP blocks into an SoC.</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12" w:lineRule="exact"/>
        <w:rPr>
          <w:sz w:val="20"/>
          <w:szCs w:val="20"/>
          <w:color w:val="auto"/>
        </w:rPr>
      </w:pPr>
    </w:p>
    <w:p>
      <w:pPr>
        <w:jc w:val="both"/>
        <w:ind w:left="640" w:hanging="253"/>
        <w:spacing w:after="0" w:line="261" w:lineRule="auto"/>
        <w:tabs>
          <w:tab w:leader="none" w:pos="647"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We are able to address mission critical applications. </w:t>
      </w:r>
      <w:r>
        <w:rPr>
          <w:rFonts w:ascii="Arial" w:cs="Arial" w:eastAsia="Arial" w:hAnsi="Arial"/>
          <w:sz w:val="13"/>
          <w:szCs w:val="13"/>
          <w:color w:val="auto"/>
        </w:rPr>
        <w:t>We believe we are positioned to take advantage of the rapid growth of semiconductor content in cars. We have been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focused on the automotive market segment since 2012 and have over 85 automotive SoC design wins. Additionally, we have established customer relationships with market leaders such as Mobileye/Intel, BMW, NXP and Bosch. In addition to ADAS and autonomous driving control systems, our interconnect IP is used in radar, Lidar, communications, and dashboard/driver management. As cars continue to grow in complexity and connectivity, we believe there will be significant growth in the number of increasingly powerful SoCs that will need automotive grade on-chip interconnect IP. Our interconnect IP is designed to meet the automotive safety integrity level D (ASIL D) of the ISO 26262 automotive functional safety standard, which is the highest level, helping to position us as an ideal partner to innovative companies in the advanced automotive SoC market. We believe our solutions make it easier for our automotive semiconductor “tier 1” and OEM customers to collaborate and meet functional safety standards by establishing traceability between requirements, specifications, hardware and software implementation, verification and testing, and quality assurance. Because of this, our IP deployment software is a complement to our interconnect IP in helping our customers meet their ISO 26262 functional safety requirements.</w:t>
      </w:r>
    </w:p>
    <w:p>
      <w:pPr>
        <w:spacing w:after="0" w:line="11" w:lineRule="exact"/>
        <w:rPr>
          <w:rFonts w:ascii="Arial" w:cs="Arial" w:eastAsia="Arial" w:hAnsi="Arial"/>
          <w:sz w:val="13"/>
          <w:szCs w:val="13"/>
          <w:color w:val="auto"/>
        </w:rPr>
      </w:pPr>
    </w:p>
    <w:p>
      <w:pPr>
        <w:jc w:val="both"/>
        <w:ind w:left="640" w:hanging="253"/>
        <w:spacing w:after="0" w:line="261" w:lineRule="auto"/>
        <w:tabs>
          <w:tab w:leader="none" w:pos="636"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We have developed a “connected by Arteris IP” ecosystem to provide a broad set of SoC system IP solutions. </w:t>
      </w:r>
      <w:r>
        <w:rPr>
          <w:rFonts w:ascii="Arial" w:cs="Arial" w:eastAsia="Arial" w:hAnsi="Arial"/>
          <w:sz w:val="13"/>
          <w:szCs w:val="13"/>
          <w:color w:val="auto"/>
        </w:rPr>
        <w:t>Interconnect IP is the data transport backbone of the SoC,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connecting IP blocks such as CPUs, GPUs and memory controllers. We work with industry-leading companies who provide these blocks, including IP companies such as Arm Ltd., MIPS Technologies, Synopsys Inc., Cadence Design Systems, Inc., Codasip and other RISC-V IP vendors to support their products and protocols working with our IP deployment solutions and interconnect IP products. By offering an unbiased, standards-based interconnect infrastructure to which other IP vendors can connect, and supporting a broad range of transaction protocols, we believe we have simplified the industry’s development of heterogeneous SoCs while solidifying our role as a neutral, technology-agnostic provider across the semiconductor industry. In addition to on-chip integrations with partners, we work with EDA companies such as Synopsys, Cadence and Siemens to provide prepackaged interfaces to their EDA tools such as simulators, modeling systems, and logic and physical synthesis tools. By working closely with semiconductor IP and EDA leaders, some of whom compete with each other, we believe we have established credibility as a trusted enabler to integration of their products within our joint customers’ chips and design flows.</w:t>
      </w:r>
    </w:p>
    <w:p>
      <w:pPr>
        <w:spacing w:after="0" w:line="174" w:lineRule="exact"/>
        <w:rPr>
          <w:rFonts w:ascii="Arial" w:cs="Arial" w:eastAsia="Arial" w:hAnsi="Arial"/>
          <w:sz w:val="13"/>
          <w:szCs w:val="13"/>
          <w:color w:val="auto"/>
        </w:rPr>
      </w:pPr>
    </w:p>
    <w:p>
      <w:pPr>
        <w:jc w:val="both"/>
        <w:ind w:left="640" w:hanging="253"/>
        <w:spacing w:after="0" w:line="259" w:lineRule="auto"/>
        <w:tabs>
          <w:tab w:leader="none" w:pos="636"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We believe we benefit from distinct competitive advantages. </w:t>
      </w:r>
      <w:r>
        <w:rPr>
          <w:rFonts w:ascii="Arial" w:cs="Arial" w:eastAsia="Arial" w:hAnsi="Arial"/>
          <w:sz w:val="13"/>
          <w:szCs w:val="13"/>
          <w:color w:val="auto"/>
        </w:rPr>
        <w:t>We believe our interconnect IP technology benefits from barriers to entry due to our many years of experience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the strength of our proprietary solutions, as well as the significant technical expertise and research costs required to develop a competitive product. We were founded in 2003 when we believe we helped pioneer the industry’s NoC interconnect IP and have maintained our competitive position with our global team of 128 hardware and software engineers as of December 31, 2021. Developing interconnect IP requires an interdisciplinary engineering team with expertise and skill sets across a wide range of sciences and domains as well as a deep understanding of semiconductor physical design, design methodologies, and networking architectures. Building such teams and keeping them together over long periods of time presents a challenge for many companies and we believe it provides a competitive advantage to us. Additionally, strategic patience and focus are required to participate in the market. For example, we believe that the customer acquisition process has a typical duration of two to nine months; following this, a customer’s chip design cycle is typically between one to three years. Customers typically start shipping their products containing our interconnect IP solutions between one to five years following completion of their product design, known as mass production at which point we start to receive royalties; this lasts for up to seven years or longer depending on the market segment. We also leverage our long history of interconnect IP design to deliver customer-specific features, further deepening our relationship and integration with the customer’s product. We are able to market such features to the rest of our customer base, sharing the benefits of our research and development with them. With our SoC system IP products embedded in our customers’ SoCs, there are significant switching costs in moving to alternative solutions. We believe that our product quality and technical strength have enabled our high customer retention rate.</w:t>
      </w:r>
    </w:p>
    <w:p>
      <w:pPr>
        <w:spacing w:after="0" w:line="175" w:lineRule="exact"/>
        <w:rPr>
          <w:rFonts w:ascii="Arial" w:cs="Arial" w:eastAsia="Arial" w:hAnsi="Arial"/>
          <w:sz w:val="13"/>
          <w:szCs w:val="13"/>
          <w:color w:val="auto"/>
        </w:rPr>
      </w:pPr>
    </w:p>
    <w:p>
      <w:pPr>
        <w:jc w:val="both"/>
        <w:ind w:left="640" w:hanging="253"/>
        <w:spacing w:after="0" w:line="265" w:lineRule="auto"/>
        <w:tabs>
          <w:tab w:leader="none" w:pos="636"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We offer global support for our SoC system IP customers. </w:t>
      </w:r>
      <w:r>
        <w:rPr>
          <w:rFonts w:ascii="Arial" w:cs="Arial" w:eastAsia="Arial" w:hAnsi="Arial"/>
          <w:sz w:val="13"/>
          <w:szCs w:val="13"/>
          <w:color w:val="auto"/>
        </w:rPr>
        <w:t>Interconnect IP technology is complex, and our customer support is critical for the successful deployment of our IP</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our customers’ designs. We support customers utilizing our interconnect IP solutions on a global basis with architectural reviews, training, implementation support, and tape-out support. We work directly with our customers throughout their design processes to develop long-term sustainable relationships as our technology becomes embedded in their products. We have 30 corporate and field application engineers in our global support organization. Many of our application engineers have advanced degrees, years of SoC design experience and passion for helping our customers drive their SoC designs to production status. We believe our application engineers are critical advisors to our customers’ design teams.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Growth Strategy</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believe that as SoCs become more complex, the value of SoC system IP technology increases since it enables the efficient movement of data within the SoC. We also believe that, as SoCs become more complex, interconnect IP technology becomes more time-consuming and riskier to develop internally within semiconductor companies, favoring interconnect solutions provided by outside parties such as Arteris IP. As a dedicated interconnect IP provider, we enable our customers to leverage the knowledge and deep expertise developed by us through many years of focus on solutions for a variety of customers.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Our growth strategy includes the following:</w:t>
      </w:r>
    </w:p>
    <w:p>
      <w:pPr>
        <w:spacing w:after="0" w:line="121" w:lineRule="exact"/>
        <w:rPr>
          <w:sz w:val="20"/>
          <w:szCs w:val="20"/>
          <w:color w:val="auto"/>
        </w:rPr>
      </w:pPr>
    </w:p>
    <w:p>
      <w:pPr>
        <w:jc w:val="both"/>
        <w:ind w:left="640" w:hanging="253"/>
        <w:spacing w:after="0" w:line="263" w:lineRule="auto"/>
        <w:tabs>
          <w:tab w:leader="none" w:pos="636"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Leverage our SoC system IP technology leadership and focused research and development to provide solutions for the semiconductor industry that builds SoCs. </w:t>
      </w:r>
      <w:r>
        <w:rPr>
          <w:rFonts w:ascii="Arial" w:cs="Arial" w:eastAsia="Arial" w:hAnsi="Arial"/>
          <w:sz w:val="13"/>
          <w:szCs w:val="13"/>
          <w:color w:val="auto"/>
        </w:rPr>
        <w:t>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devote the majority of our operating expenses to research and development of interconnect IP and IP deployment related solutions and technologies to retain our SoC system IP market position. We believe that the semiconductor industry needs an independent interconnect IP infrastructure that various IP block technologies can connect to without competitive bias. We intend to remain neutral regarding the connection and integration of SoC IP blocks whether they are sourced from IP block vendors or are internally developed. We intend to continue to compete vigorously in the interconnect IP segment and to support, and minimize risks of competing with, our valued partners and customers developing non-interconnect IP block technologies. We intend to remain focused on providing interconnect IP and software technologies for the entire semiconductor industry that build SoCs.</w:t>
      </w:r>
    </w:p>
    <w:p>
      <w:pPr>
        <w:spacing w:after="0" w:line="173" w:lineRule="exact"/>
        <w:rPr>
          <w:rFonts w:ascii="Arial" w:cs="Arial" w:eastAsia="Arial" w:hAnsi="Arial"/>
          <w:sz w:val="13"/>
          <w:szCs w:val="13"/>
          <w:color w:val="auto"/>
        </w:rPr>
      </w:pPr>
    </w:p>
    <w:p>
      <w:pPr>
        <w:jc w:val="both"/>
        <w:ind w:left="640" w:hanging="253"/>
        <w:spacing w:after="0" w:line="261" w:lineRule="auto"/>
        <w:tabs>
          <w:tab w:leader="none" w:pos="647"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Address high growth segments such as automotive, AI/ML, 5G and wireless connectivity, data centers, and consumer electronics. </w:t>
      </w:r>
      <w:r>
        <w:rPr>
          <w:rFonts w:ascii="Arial" w:cs="Arial" w:eastAsia="Arial" w:hAnsi="Arial"/>
          <w:sz w:val="13"/>
          <w:szCs w:val="13"/>
          <w:color w:val="auto"/>
        </w:rPr>
        <w:t>We are focused on fast growing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semiconductor market segments. We have been focused on the automotive market segment since 2012 and have over 85 design wins in this sector. We intend to continue providing regular introductions of interconnect IP products to enable the semiconductors that are connecting cars, roads, and the cloud resulting in the “Internet of Cars.” We are also focused on the emerging AI/ML and 5G and wireless communications markets, which are particularly sensitive to power consumption and idle power, and we believe these market segments can continue to benefit greatly from our low power interconnect IP solutions. In addition, we are targeting the emerging AI/ML-enabled applications which leverage massively multi-core architectures. As of December 31, 2021, we had 67 customers who have built or are building advanced AI/ML-enabled applications, which accounted for 132 of our customers’ Design Starts. We intend to maintain our focus on the automotive, AI/ML and 5G and wireless communications markets while expanding further within high-growth segments such as data centers and consumer electronics.</w:t>
      </w:r>
    </w:p>
    <w:p>
      <w:pPr>
        <w:spacing w:after="0" w:line="15" w:lineRule="exact"/>
        <w:rPr>
          <w:rFonts w:ascii="Arial" w:cs="Arial" w:eastAsia="Arial" w:hAnsi="Arial"/>
          <w:sz w:val="13"/>
          <w:szCs w:val="13"/>
          <w:color w:val="auto"/>
        </w:rPr>
      </w:pPr>
    </w:p>
    <w:p>
      <w:pPr>
        <w:jc w:val="both"/>
        <w:ind w:left="640" w:hanging="253"/>
        <w:spacing w:after="0" w:line="259" w:lineRule="auto"/>
        <w:tabs>
          <w:tab w:leader="none" w:pos="636"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Expand our customer base through ongoing SoC system IP innovation. </w:t>
      </w:r>
      <w:r>
        <w:rPr>
          <w:rFonts w:ascii="Arial" w:cs="Arial" w:eastAsia="Arial" w:hAnsi="Arial"/>
          <w:sz w:val="13"/>
          <w:szCs w:val="13"/>
          <w:color w:val="auto"/>
        </w:rPr>
        <w:t>SoC evolution has continued at a rapid pace, and with it the demand for SoC system IP solutions.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New technologies and trends driving the need for SoC system IP development include innovations such as cache coherency outside of the processor subsystem, machine learning SoCs utilizing peer to peer data traffic, greater use of separate sets of dies, or chiplets, inside SoCs and the increasing emphasis on silicon functionality and safety. We believe that the complexity of these trends necessitates ever increasing sophisticated SoC system IP solutions and represents a great opportunity for Arteris IP as a leading commercial company focused exclusively on these solutions. Our goal is to deliver interconnect IP technology and deployment solutions ahead of when the SoC industry requires them. We aim to deliver at least one new interconnect IP or IP deployment product every year, addressing new SoC technology needs. We intend to expand the functionality of interconnect by adding NoC interface IP products that leverage SoC data moving through our interconnect IP products. Such NoC interface IP products may include a variety of types of inter-chip links for seamless connectivity of chiplets, which make up larger system-in-package type SoCs and memory schedulers. These offer end-to-end quality of service (QoS) and error correction code (ECC) as well as a variety of new last-level cache memory products giving our customers the choice to either keep data on-chip or move it to off-chip dynamic random-access memory (DRAM). We believe such roadmap products can expand our TAM and offer an opportunity for us to further expand the value of our SoC system IP products. In addition, we plan to continue to work with customers to deliver product enhancement releases for existing products. These requirements are identified in part by our global sales and application engineering organization that is engaged in helping customers utilize our products and solutions.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12" w:lineRule="exact"/>
        <w:rPr>
          <w:sz w:val="20"/>
          <w:szCs w:val="20"/>
          <w:color w:val="auto"/>
        </w:rPr>
      </w:pPr>
    </w:p>
    <w:p>
      <w:pPr>
        <w:jc w:val="both"/>
        <w:ind w:left="640" w:hanging="253"/>
        <w:spacing w:after="0" w:line="263" w:lineRule="auto"/>
        <w:tabs>
          <w:tab w:leader="none" w:pos="636"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Expand our customer base through increased investment in sales and marketing. </w:t>
      </w:r>
      <w:r>
        <w:rPr>
          <w:rFonts w:ascii="Arial" w:cs="Arial" w:eastAsia="Arial" w:hAnsi="Arial"/>
          <w:sz w:val="13"/>
          <w:szCs w:val="13"/>
          <w:color w:val="auto"/>
        </w:rPr>
        <w:t>We plan to continue to expand our global sales and application engineering organization,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which has a strong presence in North America, Europe, the Middle East, China, South Korea, Japan, and India. We hire local talent who are attuned to the key regional needs of local markets, customers and languages. While most of our customer engagements are handled directly by our regional sales and application engineering forces, we utilize distributors in Israel and India for interconnect IP, although this represented less than 5% of our worldwide revenue in each of 2021 and 2020. Our marketing is focused on helping customers understand the value of our solutions and creating awareness of the latest developments in our markets. We believe a key measure of our success is the number of successful SoCs produced by our customers utilizing our technology. To date, there have been over 320 production SoCs designed with our technology, which have been incorporated in approximately 2.9 billion SoCs that have been shipped in electronic systems.</w:t>
      </w:r>
    </w:p>
    <w:p>
      <w:pPr>
        <w:spacing w:after="0" w:line="9" w:lineRule="exact"/>
        <w:rPr>
          <w:rFonts w:ascii="Arial" w:cs="Arial" w:eastAsia="Arial" w:hAnsi="Arial"/>
          <w:sz w:val="13"/>
          <w:szCs w:val="13"/>
          <w:color w:val="auto"/>
        </w:rPr>
      </w:pPr>
    </w:p>
    <w:p>
      <w:pPr>
        <w:jc w:val="both"/>
        <w:ind w:left="640" w:hanging="253"/>
        <w:spacing w:after="0" w:line="258" w:lineRule="auto"/>
        <w:tabs>
          <w:tab w:leader="none" w:pos="647"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Continue to pursue selective acquisitions and other strategic transactions, such as joint ventures, to acquire complementary solutions and accelerate growth. </w:t>
      </w:r>
      <w:r>
        <w:rPr>
          <w:rFonts w:ascii="Arial" w:cs="Arial" w:eastAsia="Arial" w:hAnsi="Arial"/>
          <w:sz w:val="13"/>
          <w:szCs w:val="13"/>
          <w:color w:val="auto"/>
        </w:rPr>
        <w:t>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intend to continue to target acquisitions to achieve our objective of making our SoC system IP solutions critical to the next generation of SoC design and development. For example, we acquired the assets of Magillem in November 2020 to deliver synergy between the interconnect semiconductor IP and software for IP packaging and assembly. With this acquisition, we added complementary technology to our portfolio that helps automate customer configuration, integration and assembly of the interconnect into an SoC. In addition, this IP deployment software allows us to gain a deep understanding of the entire “bill of materials” of the IP blocks integrated into an SoC, as the interconnect IP is the on-chip means to connect these blocks. We believe our planned continued integration of these technologies can provide substantially increased efficiency in the assembly of SoCs. In addition, we anticipate this integration can lead to added benefits such as automated documentation, traceability for quality processes and functional safety, and software driver generation to reduce defects, providing significant customer value. In addition to acquisitions, we may pursue other strategic transactions such as joint ventures. For example, we are in preliminary negotiations to form a joint venture in China. In exchange for providing what we anticipate will be a non-exclusive license (without standalone resale rights) to utilize substantially all of our interconnect IP products and an IP deployment solution, we anticipate we will receive a minority, non-controlling interest in this joint venture. The other investors in this joint venture, which will principally be Chinese based entities and likely will include one of our investors that holds less than 5% of our outstanding common stock, will contribute cash and other resources. In addition, we anticipate that our President and Chief Executive Officer, K. Charles Janac, will invest a nominal amount in the joint venture. We have not executed any definitive agreements in connection with this joint venture and as a result, we cannot guarantee whether it will be formed, whether any of our IP will be licensed and what terms such license will include and what other terms or features such joint venture may have. In addition, we cannot guarantee that in the event we do enter into this joint venture, whether it would be successful.</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NoC Interface IP Growth Opportunity</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Interconnect IP carries majority of the data in an SoC. As a result, there is an opportunity to add additional customer value by developing additional data plane and control plane capabilities that attach directly to our interconnect IPs and are implemented in SoCs by our IP deployment software. Currently, we offer NoC interface IP products such as a memory schedulers, last-level caches, SoC data visibility and SoC debug IPs. We see an opportunity to further expand our product portfolio and TAM with additional control networks and subsystems that can accelerate our customers’ ability to deliver production SoCs to their end markets. Such networks may include clocking, register management and interrupt networks. Control subsystems such as power management, security, performance monitoring and debug may provide additional value to customers looking to lower the cost and risk of SoC development. With the integration of interconnect IP and NoC interface IPs, we believe we would be able to provide end-to-end solutions for quality of service, system level security and SoC resilience. NoC interface IP represents a natural expansion of our technical and business capabilities.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Solutions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provide semiconductor interconnect IP and IP deployment solutions to serve our target end-markets, including automotive, AI/ML, 5G and wireless communications, data centers, and consumer electronics. We regularly release new products to address the rapid evolution of SoC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1615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340" w:type="dxa"/>
            <w:vAlign w:val="bottom"/>
            <w:gridSpan w:val="2"/>
          </w:tcPr>
          <w:p>
            <w:pPr>
              <w:ind w:left="20"/>
              <w:spacing w:after="0"/>
              <w:rPr>
                <w:sz w:val="20"/>
                <w:szCs w:val="20"/>
                <w:color w:val="auto"/>
              </w:rPr>
            </w:pPr>
            <w:r>
              <w:rPr>
                <w:rFonts w:ascii="Arial" w:cs="Arial" w:eastAsia="Arial" w:hAnsi="Arial"/>
                <w:sz w:val="11"/>
                <w:szCs w:val="11"/>
                <w:b w:val="1"/>
                <w:bCs w:val="1"/>
                <w:color w:val="auto"/>
              </w:rPr>
              <w:t>PRODUCT</w:t>
            </w:r>
          </w:p>
        </w:tc>
        <w:tc>
          <w:tcPr>
            <w:tcW w:w="1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LAUNCHED</w:t>
            </w:r>
          </w:p>
        </w:tc>
        <w:tc>
          <w:tcPr>
            <w:tcW w:w="7360" w:type="dxa"/>
            <w:vAlign w:val="bottom"/>
          </w:tcPr>
          <w:p>
            <w:pPr>
              <w:ind w:left="20"/>
              <w:spacing w:after="0"/>
              <w:rPr>
                <w:sz w:val="20"/>
                <w:szCs w:val="20"/>
                <w:color w:val="auto"/>
              </w:rPr>
            </w:pPr>
            <w:r>
              <w:rPr>
                <w:rFonts w:ascii="Arial" w:cs="Arial" w:eastAsia="Arial" w:hAnsi="Arial"/>
                <w:sz w:val="11"/>
                <w:szCs w:val="11"/>
                <w:b w:val="1"/>
                <w:bCs w:val="1"/>
                <w:color w:val="auto"/>
              </w:rPr>
              <w:t>APPLICATION</w:t>
            </w:r>
          </w:p>
        </w:tc>
      </w:tr>
      <w:tr>
        <w:trPr>
          <w:trHeight w:val="150"/>
        </w:trPr>
        <w:tc>
          <w:tcPr>
            <w:tcW w:w="226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FlexNoC</w:t>
            </w:r>
          </w:p>
        </w:tc>
        <w:tc>
          <w:tcPr>
            <w:tcW w:w="80" w:type="dxa"/>
            <w:vAlign w:val="bottom"/>
          </w:tcPr>
          <w:p>
            <w:pPr>
              <w:spacing w:after="0"/>
              <w:rPr>
                <w:sz w:val="13"/>
                <w:szCs w:val="13"/>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2010</w:t>
            </w:r>
          </w:p>
        </w:tc>
        <w:tc>
          <w:tcPr>
            <w:tcW w:w="80" w:type="dxa"/>
            <w:vAlign w:val="bottom"/>
          </w:tcPr>
          <w:p>
            <w:pPr>
              <w:spacing w:after="0"/>
              <w:rPr>
                <w:sz w:val="13"/>
                <w:szCs w:val="13"/>
                <w:color w:val="auto"/>
              </w:rPr>
            </w:pPr>
          </w:p>
        </w:tc>
        <w:tc>
          <w:tcPr>
            <w:tcW w:w="73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Non-coherent interconnect</w:t>
            </w:r>
          </w:p>
        </w:tc>
      </w:tr>
      <w:tr>
        <w:trPr>
          <w:trHeight w:val="170"/>
        </w:trPr>
        <w:tc>
          <w:tcPr>
            <w:tcW w:w="2340" w:type="dxa"/>
            <w:vAlign w:val="bottom"/>
            <w:gridSpan w:val="2"/>
          </w:tcPr>
          <w:p>
            <w:pPr>
              <w:ind w:left="20"/>
              <w:spacing w:after="0"/>
              <w:rPr>
                <w:sz w:val="20"/>
                <w:szCs w:val="20"/>
                <w:color w:val="auto"/>
              </w:rPr>
            </w:pPr>
            <w:r>
              <w:rPr>
                <w:rFonts w:ascii="Arial" w:cs="Arial" w:eastAsia="Arial" w:hAnsi="Arial"/>
                <w:sz w:val="13"/>
                <w:szCs w:val="13"/>
                <w:b w:val="1"/>
                <w:bCs w:val="1"/>
                <w:color w:val="auto"/>
              </w:rPr>
              <w:t>FlexWay</w:t>
            </w:r>
          </w:p>
        </w:tc>
        <w:tc>
          <w:tcPr>
            <w:tcW w:w="1500" w:type="dxa"/>
            <w:vAlign w:val="bottom"/>
          </w:tcPr>
          <w:p>
            <w:pPr>
              <w:jc w:val="center"/>
              <w:spacing w:after="0"/>
              <w:rPr>
                <w:sz w:val="20"/>
                <w:szCs w:val="20"/>
                <w:color w:val="auto"/>
              </w:rPr>
            </w:pPr>
            <w:r>
              <w:rPr>
                <w:rFonts w:ascii="Arial" w:cs="Arial" w:eastAsia="Arial" w:hAnsi="Arial"/>
                <w:sz w:val="13"/>
                <w:szCs w:val="13"/>
                <w:color w:val="auto"/>
              </w:rPr>
              <w:t>2010</w:t>
            </w:r>
          </w:p>
        </w:tc>
        <w:tc>
          <w:tcPr>
            <w:tcW w:w="80" w:type="dxa"/>
            <w:vAlign w:val="bottom"/>
          </w:tcPr>
          <w:p>
            <w:pPr>
              <w:spacing w:after="0"/>
              <w:rPr>
                <w:sz w:val="14"/>
                <w:szCs w:val="14"/>
                <w:color w:val="auto"/>
              </w:rPr>
            </w:pPr>
          </w:p>
        </w:tc>
        <w:tc>
          <w:tcPr>
            <w:tcW w:w="7360" w:type="dxa"/>
            <w:vAlign w:val="bottom"/>
          </w:tcPr>
          <w:p>
            <w:pPr>
              <w:ind w:left="20"/>
              <w:spacing w:after="0"/>
              <w:rPr>
                <w:sz w:val="20"/>
                <w:szCs w:val="20"/>
                <w:color w:val="auto"/>
              </w:rPr>
            </w:pPr>
            <w:r>
              <w:rPr>
                <w:rFonts w:ascii="Arial" w:cs="Arial" w:eastAsia="Arial" w:hAnsi="Arial"/>
                <w:sz w:val="13"/>
                <w:szCs w:val="13"/>
                <w:color w:val="auto"/>
              </w:rPr>
              <w:t>IP subsystem interconnect</w:t>
            </w:r>
          </w:p>
        </w:tc>
      </w:tr>
      <w:tr>
        <w:trPr>
          <w:trHeight w:val="170"/>
        </w:trPr>
        <w:tc>
          <w:tcPr>
            <w:tcW w:w="2340" w:type="dxa"/>
            <w:vAlign w:val="bottom"/>
            <w:gridSpan w:val="2"/>
          </w:tcPr>
          <w:p>
            <w:pPr>
              <w:ind w:left="20"/>
              <w:spacing w:after="0"/>
              <w:rPr>
                <w:sz w:val="20"/>
                <w:szCs w:val="20"/>
                <w:color w:val="auto"/>
              </w:rPr>
            </w:pPr>
            <w:r>
              <w:rPr>
                <w:rFonts w:ascii="Arial" w:cs="Arial" w:eastAsia="Arial" w:hAnsi="Arial"/>
                <w:sz w:val="13"/>
                <w:szCs w:val="13"/>
                <w:b w:val="1"/>
                <w:bCs w:val="1"/>
                <w:color w:val="auto"/>
              </w:rPr>
              <w:t>FlexPSI</w:t>
            </w:r>
          </w:p>
        </w:tc>
        <w:tc>
          <w:tcPr>
            <w:tcW w:w="1500" w:type="dxa"/>
            <w:vAlign w:val="bottom"/>
          </w:tcPr>
          <w:p>
            <w:pPr>
              <w:jc w:val="center"/>
              <w:spacing w:after="0"/>
              <w:rPr>
                <w:sz w:val="20"/>
                <w:szCs w:val="20"/>
                <w:color w:val="auto"/>
              </w:rPr>
            </w:pPr>
            <w:r>
              <w:rPr>
                <w:rFonts w:ascii="Arial" w:cs="Arial" w:eastAsia="Arial" w:hAnsi="Arial"/>
                <w:sz w:val="13"/>
                <w:szCs w:val="13"/>
                <w:color w:val="auto"/>
              </w:rPr>
              <w:t>2013</w:t>
            </w:r>
          </w:p>
        </w:tc>
        <w:tc>
          <w:tcPr>
            <w:tcW w:w="80" w:type="dxa"/>
            <w:vAlign w:val="bottom"/>
          </w:tcPr>
          <w:p>
            <w:pPr>
              <w:spacing w:after="0"/>
              <w:rPr>
                <w:sz w:val="14"/>
                <w:szCs w:val="14"/>
                <w:color w:val="auto"/>
              </w:rPr>
            </w:pPr>
          </w:p>
        </w:tc>
        <w:tc>
          <w:tcPr>
            <w:tcW w:w="7360" w:type="dxa"/>
            <w:vAlign w:val="bottom"/>
          </w:tcPr>
          <w:p>
            <w:pPr>
              <w:ind w:left="20"/>
              <w:spacing w:after="0"/>
              <w:rPr>
                <w:sz w:val="20"/>
                <w:szCs w:val="20"/>
                <w:color w:val="auto"/>
              </w:rPr>
            </w:pPr>
            <w:r>
              <w:rPr>
                <w:rFonts w:ascii="Arial" w:cs="Arial" w:eastAsia="Arial" w:hAnsi="Arial"/>
                <w:sz w:val="13"/>
                <w:szCs w:val="13"/>
                <w:color w:val="auto"/>
              </w:rPr>
              <w:t>All-digital inter chip link</w:t>
            </w:r>
          </w:p>
        </w:tc>
      </w:tr>
      <w:tr>
        <w:trPr>
          <w:trHeight w:val="170"/>
        </w:trPr>
        <w:tc>
          <w:tcPr>
            <w:tcW w:w="2340" w:type="dxa"/>
            <w:vAlign w:val="bottom"/>
            <w:gridSpan w:val="2"/>
          </w:tcPr>
          <w:p>
            <w:pPr>
              <w:ind w:left="20"/>
              <w:spacing w:after="0"/>
              <w:rPr>
                <w:sz w:val="20"/>
                <w:szCs w:val="20"/>
                <w:color w:val="auto"/>
              </w:rPr>
            </w:pPr>
            <w:r>
              <w:rPr>
                <w:rFonts w:ascii="Arial" w:cs="Arial" w:eastAsia="Arial" w:hAnsi="Arial"/>
                <w:sz w:val="13"/>
                <w:szCs w:val="13"/>
                <w:b w:val="1"/>
                <w:bCs w:val="1"/>
                <w:color w:val="auto"/>
              </w:rPr>
              <w:t>FlexNoC Resilience</w:t>
            </w:r>
          </w:p>
        </w:tc>
        <w:tc>
          <w:tcPr>
            <w:tcW w:w="1500" w:type="dxa"/>
            <w:vAlign w:val="bottom"/>
          </w:tcPr>
          <w:p>
            <w:pPr>
              <w:jc w:val="center"/>
              <w:spacing w:after="0"/>
              <w:rPr>
                <w:sz w:val="20"/>
                <w:szCs w:val="20"/>
                <w:color w:val="auto"/>
              </w:rPr>
            </w:pPr>
            <w:r>
              <w:rPr>
                <w:rFonts w:ascii="Arial" w:cs="Arial" w:eastAsia="Arial" w:hAnsi="Arial"/>
                <w:sz w:val="13"/>
                <w:szCs w:val="13"/>
                <w:color w:val="auto"/>
              </w:rPr>
              <w:t>2014</w:t>
            </w:r>
          </w:p>
        </w:tc>
        <w:tc>
          <w:tcPr>
            <w:tcW w:w="80" w:type="dxa"/>
            <w:vAlign w:val="bottom"/>
          </w:tcPr>
          <w:p>
            <w:pPr>
              <w:spacing w:after="0"/>
              <w:rPr>
                <w:sz w:val="14"/>
                <w:szCs w:val="14"/>
                <w:color w:val="auto"/>
              </w:rPr>
            </w:pPr>
          </w:p>
        </w:tc>
        <w:tc>
          <w:tcPr>
            <w:tcW w:w="7360" w:type="dxa"/>
            <w:vAlign w:val="bottom"/>
          </w:tcPr>
          <w:p>
            <w:pPr>
              <w:ind w:left="20"/>
              <w:spacing w:after="0"/>
              <w:rPr>
                <w:sz w:val="20"/>
                <w:szCs w:val="20"/>
                <w:color w:val="auto"/>
              </w:rPr>
            </w:pPr>
            <w:r>
              <w:rPr>
                <w:rFonts w:ascii="Arial" w:cs="Arial" w:eastAsia="Arial" w:hAnsi="Arial"/>
                <w:sz w:val="13"/>
                <w:szCs w:val="13"/>
                <w:color w:val="auto"/>
              </w:rPr>
              <w:t>Resilience for ISO 26262 compliance</w:t>
            </w:r>
          </w:p>
        </w:tc>
      </w:tr>
      <w:tr>
        <w:trPr>
          <w:trHeight w:val="170"/>
        </w:trPr>
        <w:tc>
          <w:tcPr>
            <w:tcW w:w="2340" w:type="dxa"/>
            <w:vAlign w:val="bottom"/>
            <w:gridSpan w:val="2"/>
          </w:tcPr>
          <w:p>
            <w:pPr>
              <w:ind w:left="20"/>
              <w:spacing w:after="0"/>
              <w:rPr>
                <w:sz w:val="20"/>
                <w:szCs w:val="20"/>
                <w:color w:val="auto"/>
              </w:rPr>
            </w:pPr>
            <w:r>
              <w:rPr>
                <w:rFonts w:ascii="Arial" w:cs="Arial" w:eastAsia="Arial" w:hAnsi="Arial"/>
                <w:sz w:val="13"/>
                <w:szCs w:val="13"/>
                <w:b w:val="1"/>
                <w:bCs w:val="1"/>
                <w:color w:val="auto"/>
              </w:rPr>
              <w:t>FlexNoC Physical</w:t>
            </w:r>
          </w:p>
        </w:tc>
        <w:tc>
          <w:tcPr>
            <w:tcW w:w="1500" w:type="dxa"/>
            <w:vAlign w:val="bottom"/>
          </w:tcPr>
          <w:p>
            <w:pPr>
              <w:jc w:val="center"/>
              <w:spacing w:after="0"/>
              <w:rPr>
                <w:sz w:val="20"/>
                <w:szCs w:val="20"/>
                <w:color w:val="auto"/>
              </w:rPr>
            </w:pPr>
            <w:r>
              <w:rPr>
                <w:rFonts w:ascii="Arial" w:cs="Arial" w:eastAsia="Arial" w:hAnsi="Arial"/>
                <w:sz w:val="13"/>
                <w:szCs w:val="13"/>
                <w:color w:val="auto"/>
              </w:rPr>
              <w:t>2015</w:t>
            </w:r>
          </w:p>
        </w:tc>
        <w:tc>
          <w:tcPr>
            <w:tcW w:w="80" w:type="dxa"/>
            <w:vAlign w:val="bottom"/>
          </w:tcPr>
          <w:p>
            <w:pPr>
              <w:spacing w:after="0"/>
              <w:rPr>
                <w:sz w:val="14"/>
                <w:szCs w:val="14"/>
                <w:color w:val="auto"/>
              </w:rPr>
            </w:pPr>
          </w:p>
        </w:tc>
        <w:tc>
          <w:tcPr>
            <w:tcW w:w="7360" w:type="dxa"/>
            <w:vAlign w:val="bottom"/>
          </w:tcPr>
          <w:p>
            <w:pPr>
              <w:ind w:left="20"/>
              <w:spacing w:after="0"/>
              <w:rPr>
                <w:sz w:val="20"/>
                <w:szCs w:val="20"/>
                <w:color w:val="auto"/>
              </w:rPr>
            </w:pPr>
            <w:r>
              <w:rPr>
                <w:rFonts w:ascii="Arial" w:cs="Arial" w:eastAsia="Arial" w:hAnsi="Arial"/>
                <w:sz w:val="13"/>
                <w:szCs w:val="13"/>
                <w:color w:val="auto"/>
              </w:rPr>
              <w:t>Links to physical placement and routing tools</w:t>
            </w:r>
          </w:p>
        </w:tc>
      </w:tr>
      <w:tr>
        <w:trPr>
          <w:trHeight w:val="170"/>
        </w:trPr>
        <w:tc>
          <w:tcPr>
            <w:tcW w:w="2340" w:type="dxa"/>
            <w:vAlign w:val="bottom"/>
            <w:gridSpan w:val="2"/>
          </w:tcPr>
          <w:p>
            <w:pPr>
              <w:ind w:left="20"/>
              <w:spacing w:after="0"/>
              <w:rPr>
                <w:sz w:val="20"/>
                <w:szCs w:val="20"/>
                <w:color w:val="auto"/>
              </w:rPr>
            </w:pPr>
            <w:r>
              <w:rPr>
                <w:rFonts w:ascii="Arial" w:cs="Arial" w:eastAsia="Arial" w:hAnsi="Arial"/>
                <w:sz w:val="13"/>
                <w:szCs w:val="13"/>
                <w:b w:val="1"/>
                <w:bCs w:val="1"/>
                <w:color w:val="auto"/>
              </w:rPr>
              <w:t>Ncore</w:t>
            </w:r>
          </w:p>
        </w:tc>
        <w:tc>
          <w:tcPr>
            <w:tcW w:w="1500" w:type="dxa"/>
            <w:vAlign w:val="bottom"/>
          </w:tcPr>
          <w:p>
            <w:pPr>
              <w:jc w:val="center"/>
              <w:spacing w:after="0"/>
              <w:rPr>
                <w:sz w:val="20"/>
                <w:szCs w:val="20"/>
                <w:color w:val="auto"/>
              </w:rPr>
            </w:pPr>
            <w:r>
              <w:rPr>
                <w:rFonts w:ascii="Arial" w:cs="Arial" w:eastAsia="Arial" w:hAnsi="Arial"/>
                <w:sz w:val="13"/>
                <w:szCs w:val="13"/>
                <w:color w:val="auto"/>
              </w:rPr>
              <w:t>2016</w:t>
            </w:r>
          </w:p>
        </w:tc>
        <w:tc>
          <w:tcPr>
            <w:tcW w:w="80" w:type="dxa"/>
            <w:vAlign w:val="bottom"/>
          </w:tcPr>
          <w:p>
            <w:pPr>
              <w:spacing w:after="0"/>
              <w:rPr>
                <w:sz w:val="14"/>
                <w:szCs w:val="14"/>
                <w:color w:val="auto"/>
              </w:rPr>
            </w:pPr>
          </w:p>
        </w:tc>
        <w:tc>
          <w:tcPr>
            <w:tcW w:w="7360" w:type="dxa"/>
            <w:vAlign w:val="bottom"/>
          </w:tcPr>
          <w:p>
            <w:pPr>
              <w:ind w:left="20"/>
              <w:spacing w:after="0"/>
              <w:rPr>
                <w:sz w:val="20"/>
                <w:szCs w:val="20"/>
                <w:color w:val="auto"/>
              </w:rPr>
            </w:pPr>
            <w:r>
              <w:rPr>
                <w:rFonts w:ascii="Arial" w:cs="Arial" w:eastAsia="Arial" w:hAnsi="Arial"/>
                <w:sz w:val="13"/>
                <w:szCs w:val="13"/>
                <w:color w:val="auto"/>
              </w:rPr>
              <w:t>Cache coherent interconnect</w:t>
            </w:r>
          </w:p>
        </w:tc>
      </w:tr>
      <w:tr>
        <w:trPr>
          <w:trHeight w:val="170"/>
        </w:trPr>
        <w:tc>
          <w:tcPr>
            <w:tcW w:w="2340" w:type="dxa"/>
            <w:vAlign w:val="bottom"/>
            <w:gridSpan w:val="2"/>
          </w:tcPr>
          <w:p>
            <w:pPr>
              <w:ind w:left="20"/>
              <w:spacing w:after="0"/>
              <w:rPr>
                <w:sz w:val="20"/>
                <w:szCs w:val="20"/>
                <w:color w:val="auto"/>
              </w:rPr>
            </w:pPr>
            <w:r>
              <w:rPr>
                <w:rFonts w:ascii="Arial" w:cs="Arial" w:eastAsia="Arial" w:hAnsi="Arial"/>
                <w:sz w:val="13"/>
                <w:szCs w:val="13"/>
                <w:b w:val="1"/>
                <w:bCs w:val="1"/>
                <w:color w:val="auto"/>
              </w:rPr>
              <w:t>PIANO</w:t>
            </w:r>
          </w:p>
        </w:tc>
        <w:tc>
          <w:tcPr>
            <w:tcW w:w="1500" w:type="dxa"/>
            <w:vAlign w:val="bottom"/>
          </w:tcPr>
          <w:p>
            <w:pPr>
              <w:jc w:val="center"/>
              <w:spacing w:after="0"/>
              <w:rPr>
                <w:sz w:val="20"/>
                <w:szCs w:val="20"/>
                <w:color w:val="auto"/>
              </w:rPr>
            </w:pPr>
            <w:r>
              <w:rPr>
                <w:rFonts w:ascii="Arial" w:cs="Arial" w:eastAsia="Arial" w:hAnsi="Arial"/>
                <w:sz w:val="13"/>
                <w:szCs w:val="13"/>
                <w:color w:val="auto"/>
              </w:rPr>
              <w:t>2017</w:t>
            </w:r>
          </w:p>
        </w:tc>
        <w:tc>
          <w:tcPr>
            <w:tcW w:w="80" w:type="dxa"/>
            <w:vAlign w:val="bottom"/>
          </w:tcPr>
          <w:p>
            <w:pPr>
              <w:spacing w:after="0"/>
              <w:rPr>
                <w:sz w:val="14"/>
                <w:szCs w:val="14"/>
                <w:color w:val="auto"/>
              </w:rPr>
            </w:pPr>
          </w:p>
        </w:tc>
        <w:tc>
          <w:tcPr>
            <w:tcW w:w="7360" w:type="dxa"/>
            <w:vAlign w:val="bottom"/>
          </w:tcPr>
          <w:p>
            <w:pPr>
              <w:ind w:left="20"/>
              <w:spacing w:after="0"/>
              <w:rPr>
                <w:sz w:val="20"/>
                <w:szCs w:val="20"/>
                <w:color w:val="auto"/>
              </w:rPr>
            </w:pPr>
            <w:r>
              <w:rPr>
                <w:rFonts w:ascii="Arial" w:cs="Arial" w:eastAsia="Arial" w:hAnsi="Arial"/>
                <w:sz w:val="13"/>
                <w:szCs w:val="13"/>
                <w:color w:val="auto"/>
              </w:rPr>
              <w:t>Automated timing closure</w:t>
            </w:r>
          </w:p>
        </w:tc>
      </w:tr>
      <w:tr>
        <w:trPr>
          <w:trHeight w:val="170"/>
        </w:trPr>
        <w:tc>
          <w:tcPr>
            <w:tcW w:w="2340" w:type="dxa"/>
            <w:vAlign w:val="bottom"/>
            <w:gridSpan w:val="2"/>
          </w:tcPr>
          <w:p>
            <w:pPr>
              <w:ind w:left="20"/>
              <w:spacing w:after="0"/>
              <w:rPr>
                <w:sz w:val="20"/>
                <w:szCs w:val="20"/>
                <w:color w:val="auto"/>
              </w:rPr>
            </w:pPr>
            <w:r>
              <w:rPr>
                <w:rFonts w:ascii="Arial" w:cs="Arial" w:eastAsia="Arial" w:hAnsi="Arial"/>
                <w:sz w:val="13"/>
                <w:szCs w:val="13"/>
                <w:b w:val="1"/>
                <w:bCs w:val="1"/>
                <w:color w:val="auto"/>
              </w:rPr>
              <w:t>CodaCache</w:t>
            </w:r>
          </w:p>
        </w:tc>
        <w:tc>
          <w:tcPr>
            <w:tcW w:w="1500" w:type="dxa"/>
            <w:vAlign w:val="bottom"/>
          </w:tcPr>
          <w:p>
            <w:pPr>
              <w:jc w:val="center"/>
              <w:spacing w:after="0"/>
              <w:rPr>
                <w:sz w:val="20"/>
                <w:szCs w:val="20"/>
                <w:color w:val="auto"/>
              </w:rPr>
            </w:pPr>
            <w:r>
              <w:rPr>
                <w:rFonts w:ascii="Arial" w:cs="Arial" w:eastAsia="Arial" w:hAnsi="Arial"/>
                <w:sz w:val="13"/>
                <w:szCs w:val="13"/>
                <w:color w:val="auto"/>
              </w:rPr>
              <w:t>2018</w:t>
            </w:r>
          </w:p>
        </w:tc>
        <w:tc>
          <w:tcPr>
            <w:tcW w:w="80" w:type="dxa"/>
            <w:vAlign w:val="bottom"/>
          </w:tcPr>
          <w:p>
            <w:pPr>
              <w:spacing w:after="0"/>
              <w:rPr>
                <w:sz w:val="14"/>
                <w:szCs w:val="14"/>
                <w:color w:val="auto"/>
              </w:rPr>
            </w:pPr>
          </w:p>
        </w:tc>
        <w:tc>
          <w:tcPr>
            <w:tcW w:w="7360" w:type="dxa"/>
            <w:vAlign w:val="bottom"/>
          </w:tcPr>
          <w:p>
            <w:pPr>
              <w:ind w:left="20"/>
              <w:spacing w:after="0"/>
              <w:rPr>
                <w:sz w:val="20"/>
                <w:szCs w:val="20"/>
                <w:color w:val="auto"/>
              </w:rPr>
            </w:pPr>
            <w:r>
              <w:rPr>
                <w:rFonts w:ascii="Arial" w:cs="Arial" w:eastAsia="Arial" w:hAnsi="Arial"/>
                <w:sz w:val="13"/>
                <w:szCs w:val="13"/>
                <w:color w:val="auto"/>
              </w:rPr>
              <w:t>Independent last-level cache</w:t>
            </w:r>
          </w:p>
        </w:tc>
      </w:tr>
      <w:tr>
        <w:trPr>
          <w:trHeight w:val="170"/>
        </w:trPr>
        <w:tc>
          <w:tcPr>
            <w:tcW w:w="2340" w:type="dxa"/>
            <w:vAlign w:val="bottom"/>
            <w:gridSpan w:val="2"/>
          </w:tcPr>
          <w:p>
            <w:pPr>
              <w:ind w:left="20"/>
              <w:spacing w:after="0"/>
              <w:rPr>
                <w:sz w:val="20"/>
                <w:szCs w:val="20"/>
                <w:color w:val="auto"/>
              </w:rPr>
            </w:pPr>
            <w:r>
              <w:rPr>
                <w:rFonts w:ascii="Arial" w:cs="Arial" w:eastAsia="Arial" w:hAnsi="Arial"/>
                <w:sz w:val="13"/>
                <w:szCs w:val="13"/>
                <w:b w:val="1"/>
                <w:bCs w:val="1"/>
                <w:color w:val="auto"/>
              </w:rPr>
              <w:t>AI Package</w:t>
            </w:r>
          </w:p>
        </w:tc>
        <w:tc>
          <w:tcPr>
            <w:tcW w:w="1500" w:type="dxa"/>
            <w:vAlign w:val="bottom"/>
          </w:tcPr>
          <w:p>
            <w:pPr>
              <w:jc w:val="center"/>
              <w:spacing w:after="0"/>
              <w:rPr>
                <w:sz w:val="20"/>
                <w:szCs w:val="20"/>
                <w:color w:val="auto"/>
              </w:rPr>
            </w:pPr>
            <w:r>
              <w:rPr>
                <w:rFonts w:ascii="Arial" w:cs="Arial" w:eastAsia="Arial" w:hAnsi="Arial"/>
                <w:sz w:val="13"/>
                <w:szCs w:val="13"/>
                <w:color w:val="auto"/>
              </w:rPr>
              <w:t>2019</w:t>
            </w:r>
          </w:p>
        </w:tc>
        <w:tc>
          <w:tcPr>
            <w:tcW w:w="80" w:type="dxa"/>
            <w:vAlign w:val="bottom"/>
          </w:tcPr>
          <w:p>
            <w:pPr>
              <w:spacing w:after="0"/>
              <w:rPr>
                <w:sz w:val="14"/>
                <w:szCs w:val="14"/>
                <w:color w:val="auto"/>
              </w:rPr>
            </w:pPr>
          </w:p>
        </w:tc>
        <w:tc>
          <w:tcPr>
            <w:tcW w:w="7360" w:type="dxa"/>
            <w:vAlign w:val="bottom"/>
          </w:tcPr>
          <w:p>
            <w:pPr>
              <w:ind w:left="20"/>
              <w:spacing w:after="0"/>
              <w:rPr>
                <w:sz w:val="20"/>
                <w:szCs w:val="20"/>
                <w:color w:val="auto"/>
              </w:rPr>
            </w:pPr>
            <w:r>
              <w:rPr>
                <w:rFonts w:ascii="Arial" w:cs="Arial" w:eastAsia="Arial" w:hAnsi="Arial"/>
                <w:sz w:val="13"/>
                <w:szCs w:val="13"/>
                <w:color w:val="auto"/>
              </w:rPr>
              <w:t>Machine learning interconnect</w:t>
            </w:r>
          </w:p>
        </w:tc>
      </w:tr>
      <w:tr>
        <w:trPr>
          <w:trHeight w:val="170"/>
        </w:trPr>
        <w:tc>
          <w:tcPr>
            <w:tcW w:w="2340" w:type="dxa"/>
            <w:vAlign w:val="bottom"/>
            <w:gridSpan w:val="2"/>
          </w:tcPr>
          <w:p>
            <w:pPr>
              <w:ind w:left="20"/>
              <w:spacing w:after="0"/>
              <w:rPr>
                <w:sz w:val="20"/>
                <w:szCs w:val="20"/>
                <w:color w:val="auto"/>
              </w:rPr>
            </w:pPr>
            <w:r>
              <w:rPr>
                <w:rFonts w:ascii="Arial" w:cs="Arial" w:eastAsia="Arial" w:hAnsi="Arial"/>
                <w:sz w:val="13"/>
                <w:szCs w:val="13"/>
                <w:b w:val="1"/>
                <w:bCs w:val="1"/>
                <w:color w:val="auto"/>
              </w:rPr>
              <w:t>Ncore 3</w:t>
            </w:r>
          </w:p>
        </w:tc>
        <w:tc>
          <w:tcPr>
            <w:tcW w:w="1500" w:type="dxa"/>
            <w:vAlign w:val="bottom"/>
          </w:tcPr>
          <w:p>
            <w:pPr>
              <w:jc w:val="center"/>
              <w:spacing w:after="0"/>
              <w:rPr>
                <w:sz w:val="20"/>
                <w:szCs w:val="20"/>
                <w:color w:val="auto"/>
              </w:rPr>
            </w:pPr>
            <w:r>
              <w:rPr>
                <w:rFonts w:ascii="Arial" w:cs="Arial" w:eastAsia="Arial" w:hAnsi="Arial"/>
                <w:sz w:val="13"/>
                <w:szCs w:val="13"/>
                <w:color w:val="auto"/>
              </w:rPr>
              <w:t>2020</w:t>
            </w:r>
          </w:p>
        </w:tc>
        <w:tc>
          <w:tcPr>
            <w:tcW w:w="80" w:type="dxa"/>
            <w:vAlign w:val="bottom"/>
          </w:tcPr>
          <w:p>
            <w:pPr>
              <w:spacing w:after="0"/>
              <w:rPr>
                <w:sz w:val="14"/>
                <w:szCs w:val="14"/>
                <w:color w:val="auto"/>
              </w:rPr>
            </w:pPr>
          </w:p>
        </w:tc>
        <w:tc>
          <w:tcPr>
            <w:tcW w:w="7360" w:type="dxa"/>
            <w:vAlign w:val="bottom"/>
          </w:tcPr>
          <w:p>
            <w:pPr>
              <w:ind w:left="20"/>
              <w:spacing w:after="0"/>
              <w:rPr>
                <w:sz w:val="20"/>
                <w:szCs w:val="20"/>
                <w:color w:val="auto"/>
              </w:rPr>
            </w:pPr>
            <w:r>
              <w:rPr>
                <w:rFonts w:ascii="Arial" w:cs="Arial" w:eastAsia="Arial" w:hAnsi="Arial"/>
                <w:sz w:val="13"/>
                <w:szCs w:val="13"/>
                <w:color w:val="auto"/>
              </w:rPr>
              <w:t>Multi-protocol cache coherency</w:t>
            </w:r>
          </w:p>
        </w:tc>
      </w:tr>
      <w:tr>
        <w:trPr>
          <w:trHeight w:val="179"/>
        </w:trPr>
        <w:tc>
          <w:tcPr>
            <w:tcW w:w="2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Harmony Trace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2021</w:t>
            </w:r>
          </w:p>
        </w:tc>
        <w:tc>
          <w:tcPr>
            <w:tcW w:w="80" w:type="dxa"/>
            <w:vAlign w:val="bottom"/>
            <w:tcBorders>
              <w:bottom w:val="single" w:sz="8" w:color="auto"/>
            </w:tcBorders>
          </w:tcPr>
          <w:p>
            <w:pPr>
              <w:spacing w:after="0"/>
              <w:rPr>
                <w:sz w:val="15"/>
                <w:szCs w:val="15"/>
                <w:color w:val="auto"/>
              </w:rPr>
            </w:pPr>
          </w:p>
        </w:tc>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Design-centric requirements traceability</w:t>
            </w:r>
          </w:p>
        </w:tc>
      </w:tr>
    </w:tbl>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 addition to historical annual introductions of new SoC system IP solutions, we regularly develop and deliver updates that provide product enhancements to our customers. We believe the combination of our solutions and the strategic neutrality that we offer to the semiconductor industry positions us well as a reliable, trusted and innovative SoC system IP solution for our customers.</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Interconnect IP Products</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believe we offer the semiconductor industry an industry-leading commercially available interconnect IP portfolio. By pioneering the use of our proprietary networking techniques for on-chip communications, we believe our solutions enable our customers to deliver higher SoC performance with shorter design schedules, lower research and development costs, lower SoC unit costs, and reduced project risk as compared to their own internally developed solutions. Select offerings of our semiconductor IP product portfolio include:</w:t>
      </w:r>
    </w:p>
    <w:p>
      <w:pPr>
        <w:spacing w:after="0" w:line="96" w:lineRule="exact"/>
        <w:rPr>
          <w:sz w:val="20"/>
          <w:szCs w:val="20"/>
          <w:color w:val="auto"/>
        </w:rPr>
      </w:pPr>
    </w:p>
    <w:p>
      <w:pPr>
        <w:jc w:val="both"/>
        <w:ind w:left="640" w:hanging="253"/>
        <w:spacing w:after="0" w:line="263" w:lineRule="auto"/>
        <w:tabs>
          <w:tab w:leader="none" w:pos="647"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 xml:space="preserve">FlexNoC: </w:t>
      </w:r>
      <w:r>
        <w:rPr>
          <w:rFonts w:ascii="Arial" w:cs="Arial" w:eastAsia="Arial" w:hAnsi="Arial"/>
          <w:sz w:val="13"/>
          <w:szCs w:val="13"/>
          <w:color w:val="auto"/>
        </w:rPr>
        <w:t>FlexNoC is a silicon-proven interconnect IP product that has been integrated into hundreds of chip designs. The product’s network-on-chip technology converts on-chip communications signals between IP blocks, such as reads from and writes to memory, into digital packets. Packetizing on-chip communications allows the interconnect to be configured for enhanced performance and simplifies the connections of on-chip IP blocks, similar to how the internet eases the simultaneous connectivity of large numbers of computing devices. We also provide optional add-on packages for FlexNoC, such as the FlexNoC Resilience Package, which provide on-chip data protection that enables customers to meet the ISO 26262 and IEC functional safety standards for markets like automotive, and the FlexNoC AI Package that addresses highly scalable peer-to-peer on-chip communications required by machine learning neural network chip designs. FlexNoC started shipping in 2010 and has been incorporated into approximately 2.9 billion SoCs that have been shipped in electronic systems.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both"/>
        <w:ind w:left="640" w:hanging="253"/>
        <w:spacing w:after="0" w:line="260" w:lineRule="auto"/>
        <w:tabs>
          <w:tab w:leader="none" w:pos="657"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Ncore: </w:t>
      </w:r>
      <w:r>
        <w:rPr>
          <w:rFonts w:ascii="Arial" w:cs="Arial" w:eastAsia="Arial" w:hAnsi="Arial"/>
          <w:sz w:val="13"/>
          <w:szCs w:val="13"/>
          <w:color w:val="auto"/>
        </w:rPr>
        <w:t>Ncore is a silicon-proven, cache coherent interconnect IP product that provides scalable, configurable and area efficient characteristics for use across multiple end-markets. In an SoC, cache coherency is a special data traffic class that requires complex interconnect IP features. In a multiprocessor system, cache coherency ensures all processors in the SoC have the same view of memory in order to simplify the task of programming software by making it unnecessary to understand the exact hardware implementation. Each CPU has its own cache memories where the same copy of the data is kept. As CPUs are changing their local copies of the data, a mechanism is implemented to ensure that other copies of the data in other CPUs and caches are maintained in a coherent manner and do not become stale and out of synchronization. Coherent interconnects have directories that keep track of the shared data across the different CPU and use messages to keep the shared data consistent across the cache coherent subsystem. Ncore uses a messaging protocol to keep data consistent across different processors and directories to keep track of shared data across the coherent sub-system. Hardware cache coherency eliminates the need for cumbersome software to maintain the data coherency. As compared to software-based solutions, we believe the Ncore hardware cache coherent interconnect provides higher performance, simplifies software programming, and reduces the chances of introducing software bugs, thereby increasing overall system quality. Since initial shipment in 2016, we have launched eight releases of Ncore which have been designed into numerous production cache coherent SoCs.</w:t>
      </w:r>
    </w:p>
    <w:p>
      <w:pPr>
        <w:spacing w:after="0" w:line="14" w:lineRule="exact"/>
        <w:rPr>
          <w:rFonts w:ascii="Arial" w:cs="Arial" w:eastAsia="Arial" w:hAnsi="Arial"/>
          <w:sz w:val="13"/>
          <w:szCs w:val="13"/>
          <w:color w:val="auto"/>
        </w:rPr>
      </w:pPr>
    </w:p>
    <w:p>
      <w:pPr>
        <w:jc w:val="both"/>
        <w:ind w:left="640" w:hanging="253"/>
        <w:spacing w:after="0" w:line="267" w:lineRule="auto"/>
        <w:tabs>
          <w:tab w:leader="none" w:pos="657"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CodaCache: </w:t>
      </w:r>
      <w:r>
        <w:rPr>
          <w:rFonts w:ascii="Arial" w:cs="Arial" w:eastAsia="Arial" w:hAnsi="Arial"/>
          <w:sz w:val="13"/>
          <w:szCs w:val="13"/>
          <w:color w:val="auto"/>
        </w:rPr>
        <w:t>CodaCache is a last-level cache (or local memory) semiconductor IP product, used anywhere in the network-on-chip, for minimization of SoC data latency or</w:t>
      </w:r>
      <w:r>
        <w:rPr>
          <w:rFonts w:ascii="Arial" w:cs="Arial" w:eastAsia="Arial" w:hAnsi="Arial"/>
          <w:sz w:val="13"/>
          <w:szCs w:val="13"/>
          <w:i w:val="1"/>
          <w:iCs w:val="1"/>
          <w:color w:val="auto"/>
        </w:rPr>
        <w:t xml:space="preserve"> </w:t>
      </w:r>
      <w:r>
        <w:rPr>
          <w:rFonts w:ascii="Arial" w:cs="Arial" w:eastAsia="Arial" w:hAnsi="Arial"/>
          <w:sz w:val="13"/>
          <w:szCs w:val="13"/>
          <w:color w:val="auto"/>
        </w:rPr>
        <w:t>improvement of performance. CodaCache is designed to decrease critical net latency of SoCs by minimizing off-chip read/write accesses to separate dynamic random-access memory (DRAM) chips. Off-chip DRAM access takes many more cycles, thereby increasing latency, compared to having certain data stored in a local on-chip CodaCache memory. For example, a complex SoC may have four DRAM memory controllers or have one CodaCache and only two DRAM memory controllers. Such a scheme offers lower cost in certain SoC architectures.</w:t>
      </w:r>
    </w:p>
    <w:p>
      <w:pPr>
        <w:spacing w:after="0" w:line="172" w:lineRule="exact"/>
        <w:rPr>
          <w:rFonts w:ascii="Arial" w:cs="Arial" w:eastAsia="Arial" w:hAnsi="Arial"/>
          <w:sz w:val="13"/>
          <w:szCs w:val="13"/>
          <w:color w:val="auto"/>
        </w:rPr>
      </w:pPr>
    </w:p>
    <w:p>
      <w:pPr>
        <w:jc w:val="both"/>
        <w:ind w:left="640" w:hanging="253"/>
        <w:spacing w:after="0" w:line="262" w:lineRule="auto"/>
        <w:tabs>
          <w:tab w:leader="none" w:pos="636"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PIANO: </w:t>
      </w:r>
      <w:r>
        <w:rPr>
          <w:rFonts w:ascii="Arial" w:cs="Arial" w:eastAsia="Arial" w:hAnsi="Arial"/>
          <w:sz w:val="13"/>
          <w:szCs w:val="13"/>
          <w:color w:val="auto"/>
        </w:rPr>
        <w:t>Physical interconnect aware NoC optimizer (PIANO) is a software tool that estimates physical layout effects during the architecture and logic development stages of an</w:t>
      </w:r>
      <w:r>
        <w:rPr>
          <w:rFonts w:ascii="Arial" w:cs="Arial" w:eastAsia="Arial" w:hAnsi="Arial"/>
          <w:sz w:val="13"/>
          <w:szCs w:val="13"/>
          <w:i w:val="1"/>
          <w:iCs w:val="1"/>
          <w:color w:val="auto"/>
        </w:rPr>
        <w:t xml:space="preserve"> </w:t>
      </w:r>
      <w:r>
        <w:rPr>
          <w:rFonts w:ascii="Arial" w:cs="Arial" w:eastAsia="Arial" w:hAnsi="Arial"/>
          <w:sz w:val="13"/>
          <w:szCs w:val="13"/>
          <w:color w:val="auto"/>
        </w:rPr>
        <w:t>SoC interconnect design. At 16 nm process geometries and below, PIANO enhances the ability to design a valid SoC interconnect architecture that could be difficult to layout physically. PIANO also enables input of a SoC floorplan with physical locations of IP blocks, routing channels and blockages. With this information, PIANO is able to place SoC library elements in available channel space, enabling computation of critical connection latencies. This information can be used to further optimize latency, lower power consumption and reduce die area of a particular SoC interconnect implementation. PIANO can also automatically provide timing closure estimation to validate the timing that can be closed on a particular SoC interconnect implementation. This information can then be sent to downstream physical placement and routing tools as a starting point for layout implementation, thereby reducing the number of place and route iterations and shortening time to market.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IP Deployment Products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provide a suite of IP deployment software solutions that enables the packaging, reuse and integration of most types of IP blocks using the IP-XACT (IEEE 1685) standard. This suite of IP deployment software provides a platform to any semiconductor design company from the architecture of the SoC through delivery of a fully documented and traceable chip design. This software suite manages register configurations of IP blocks, assembles multiple IP blocks into SoC devices, and links design parameters and metadata to documentation. Our IP deployment software is designed to shorten our customers’ design schedules and improve SoC engineers’ productivity. Our IP deployment products also deliver EDA front-end design environment software that provides seamless integration across specification, design, and documentation processes, along with design data intelligence. We believe the combination of IP deployment software and SoC interconnect hardware provides more comprehensive SoC integration capabilities to our customers. Our IP deployment product portfolio includes:</w:t>
      </w:r>
    </w:p>
    <w:p>
      <w:pPr>
        <w:spacing w:after="0" w:line="100" w:lineRule="exact"/>
        <w:rPr>
          <w:sz w:val="20"/>
          <w:szCs w:val="20"/>
          <w:color w:val="auto"/>
        </w:rPr>
      </w:pPr>
    </w:p>
    <w:p>
      <w:pPr>
        <w:jc w:val="both"/>
        <w:ind w:left="640" w:hanging="253"/>
        <w:spacing w:after="0" w:line="265" w:lineRule="auto"/>
        <w:tabs>
          <w:tab w:leader="none" w:pos="647"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Specification: </w:t>
      </w:r>
      <w:r>
        <w:rPr>
          <w:rFonts w:ascii="Arial" w:cs="Arial" w:eastAsia="Arial" w:hAnsi="Arial"/>
          <w:sz w:val="13"/>
          <w:szCs w:val="13"/>
          <w:color w:val="auto"/>
        </w:rPr>
        <w:t>Our IP deployment product suite captures connectivity and memory requirements and executes specifications to predict device behavior to streamline the design</w:t>
      </w:r>
      <w:r>
        <w:rPr>
          <w:rFonts w:ascii="Arial" w:cs="Arial" w:eastAsia="Arial" w:hAnsi="Arial"/>
          <w:sz w:val="13"/>
          <w:szCs w:val="13"/>
          <w:i w:val="1"/>
          <w:iCs w:val="1"/>
          <w:color w:val="auto"/>
        </w:rPr>
        <w:t xml:space="preserve"> </w:t>
      </w:r>
      <w:r>
        <w:rPr>
          <w:rFonts w:ascii="Arial" w:cs="Arial" w:eastAsia="Arial" w:hAnsi="Arial"/>
          <w:sz w:val="13"/>
          <w:szCs w:val="13"/>
          <w:color w:val="auto"/>
        </w:rPr>
        <w:t>phase. The suite enables customers to build the architecture of semiconductor systems, either from the software map (software intent flow), or from the hardware block diagram (hardware intent flow) and enables full compliance and traceability of its systems top-down and bottom-up, across software and hardware intent flows. Users can automatically build a virtual prototype of an electronic device and run and debug software on that virtual prototype. This enables software development far before the physical hardware board is ready to facilitate early software development.</w:t>
      </w:r>
    </w:p>
    <w:p>
      <w:pPr>
        <w:spacing w:after="0" w:line="12" w:lineRule="exact"/>
        <w:rPr>
          <w:rFonts w:ascii="Arial" w:cs="Arial" w:eastAsia="Arial" w:hAnsi="Arial"/>
          <w:sz w:val="13"/>
          <w:szCs w:val="13"/>
          <w:color w:val="auto"/>
        </w:rPr>
      </w:pPr>
    </w:p>
    <w:p>
      <w:pPr>
        <w:jc w:val="both"/>
        <w:ind w:left="640" w:hanging="253"/>
        <w:spacing w:after="0" w:line="276" w:lineRule="auto"/>
        <w:tabs>
          <w:tab w:leader="none" w:pos="647"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Design: </w:t>
      </w:r>
      <w:r>
        <w:rPr>
          <w:rFonts w:ascii="Arial" w:cs="Arial" w:eastAsia="Arial" w:hAnsi="Arial"/>
          <w:sz w:val="13"/>
          <w:szCs w:val="13"/>
          <w:color w:val="auto"/>
        </w:rPr>
        <w:t>We provide a broad suite of software tools that can accelerate designs with highly configurable and scalable solutions. Our solutions address packaging, connectivity,</w:t>
      </w:r>
      <w:r>
        <w:rPr>
          <w:rFonts w:ascii="Arial" w:cs="Arial" w:eastAsia="Arial" w:hAnsi="Arial"/>
          <w:sz w:val="13"/>
          <w:szCs w:val="13"/>
          <w:i w:val="1"/>
          <w:iCs w:val="1"/>
          <w:color w:val="auto"/>
        </w:rPr>
        <w:t xml:space="preserve"> </w:t>
      </w:r>
      <w:r>
        <w:rPr>
          <w:rFonts w:ascii="Arial" w:cs="Arial" w:eastAsia="Arial" w:hAnsi="Arial"/>
          <w:sz w:val="13"/>
          <w:szCs w:val="13"/>
          <w:color w:val="auto"/>
        </w:rPr>
        <w:t>register configuration, embedded software, and EDA flows and we believe we provide best-in-class front-end design environments based on worldwide IP-XACT extensible markup language (XML) standards through our ready-made design solutions.</w:t>
      </w:r>
    </w:p>
    <w:p>
      <w:pPr>
        <w:spacing w:after="0" w:line="4" w:lineRule="exact"/>
        <w:rPr>
          <w:rFonts w:ascii="Arial" w:cs="Arial" w:eastAsia="Arial" w:hAnsi="Arial"/>
          <w:sz w:val="13"/>
          <w:szCs w:val="13"/>
          <w:color w:val="auto"/>
        </w:rPr>
      </w:pPr>
    </w:p>
    <w:p>
      <w:pPr>
        <w:jc w:val="both"/>
        <w:ind w:left="640" w:hanging="253"/>
        <w:spacing w:after="0" w:line="269" w:lineRule="auto"/>
        <w:tabs>
          <w:tab w:leader="none" w:pos="636"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Documentation: </w:t>
      </w:r>
      <w:r>
        <w:rPr>
          <w:rFonts w:ascii="Arial" w:cs="Arial" w:eastAsia="Arial" w:hAnsi="Arial"/>
          <w:sz w:val="13"/>
          <w:szCs w:val="13"/>
          <w:color w:val="auto"/>
        </w:rPr>
        <w:t>Our documentation capabilities provide full traceability and consistent product information with content reuse and multi-channel publishing to manage, update, and</w:t>
      </w:r>
      <w:r>
        <w:rPr>
          <w:rFonts w:ascii="Arial" w:cs="Arial" w:eastAsia="Arial" w:hAnsi="Arial"/>
          <w:sz w:val="13"/>
          <w:szCs w:val="13"/>
          <w:i w:val="1"/>
          <w:iCs w:val="1"/>
          <w:color w:val="auto"/>
        </w:rPr>
        <w:t xml:space="preserve"> </w:t>
      </w:r>
      <w:r>
        <w:rPr>
          <w:rFonts w:ascii="Arial" w:cs="Arial" w:eastAsia="Arial" w:hAnsi="Arial"/>
          <w:sz w:val="13"/>
          <w:szCs w:val="13"/>
          <w:color w:val="auto"/>
        </w:rPr>
        <w:t>synchronize content. The product suite addresses challenging content management use cases by enabling the consistency, integrity, and quality of all design-related content. The product also provides an incremental traceability framework that allows system engineers to create, edit, and manage interdependencies between the various and heterogeneous system data and properties that make up a design flow.</w:t>
      </w:r>
    </w:p>
    <w:p>
      <w:pPr>
        <w:spacing w:after="0" w:line="8" w:lineRule="exact"/>
        <w:rPr>
          <w:rFonts w:ascii="Arial" w:cs="Arial" w:eastAsia="Arial" w:hAnsi="Arial"/>
          <w:sz w:val="13"/>
          <w:szCs w:val="13"/>
          <w:color w:val="auto"/>
        </w:rPr>
      </w:pPr>
    </w:p>
    <w:p>
      <w:pPr>
        <w:jc w:val="both"/>
        <w:ind w:left="640" w:hanging="253"/>
        <w:spacing w:after="0" w:line="269" w:lineRule="auto"/>
        <w:tabs>
          <w:tab w:leader="none" w:pos="657"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AI Package; </w:t>
      </w:r>
      <w:r>
        <w:rPr>
          <w:rFonts w:ascii="Arial" w:cs="Arial" w:eastAsia="Arial" w:hAnsi="Arial"/>
          <w:sz w:val="13"/>
          <w:szCs w:val="13"/>
          <w:color w:val="auto"/>
        </w:rPr>
        <w:t>Machine Learning SoCs require regular structures in order to implement Convolutional Neural Networks (CNNs) and other machine learning variations. The AI</w:t>
      </w:r>
      <w:r>
        <w:rPr>
          <w:rFonts w:ascii="Arial" w:cs="Arial" w:eastAsia="Arial" w:hAnsi="Arial"/>
          <w:sz w:val="13"/>
          <w:szCs w:val="13"/>
          <w:i w:val="1"/>
          <w:iCs w:val="1"/>
          <w:color w:val="auto"/>
        </w:rPr>
        <w:t xml:space="preserve"> </w:t>
      </w:r>
      <w:r>
        <w:rPr>
          <w:rFonts w:ascii="Arial" w:cs="Arial" w:eastAsia="Arial" w:hAnsi="Arial"/>
          <w:sz w:val="13"/>
          <w:szCs w:val="13"/>
          <w:color w:val="auto"/>
        </w:rPr>
        <w:t>Package accelerates design of Machine Learning SoCs and IP blocks by automating interconnect generation of regular structures such as meshes and rings, offering multicast of CNN level weights, providing high bandwidth access to memories and providing anti-deadlock algorithms. We have launched the AI Package in 2019 and it has been used on many production Machine Learning designs since that time.</w:t>
      </w:r>
    </w:p>
    <w:p>
      <w:pPr>
        <w:spacing w:after="0" w:line="8" w:lineRule="exact"/>
        <w:rPr>
          <w:rFonts w:ascii="Arial" w:cs="Arial" w:eastAsia="Arial" w:hAnsi="Arial"/>
          <w:sz w:val="13"/>
          <w:szCs w:val="13"/>
          <w:color w:val="auto"/>
        </w:rPr>
      </w:pPr>
    </w:p>
    <w:p>
      <w:pPr>
        <w:jc w:val="both"/>
        <w:ind w:left="640" w:hanging="253"/>
        <w:spacing w:after="0" w:line="269" w:lineRule="auto"/>
        <w:tabs>
          <w:tab w:leader="none" w:pos="647"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Design Data Intelligence: </w:t>
      </w:r>
      <w:r>
        <w:rPr>
          <w:rFonts w:ascii="Arial" w:cs="Arial" w:eastAsia="Arial" w:hAnsi="Arial"/>
          <w:sz w:val="13"/>
          <w:szCs w:val="13"/>
          <w:color w:val="auto"/>
        </w:rPr>
        <w:t>Our design data intelligence capabilities enable our customers to unlock their data potential to better understand their business contexts. The product</w:t>
      </w:r>
      <w:r>
        <w:rPr>
          <w:rFonts w:ascii="Arial" w:cs="Arial" w:eastAsia="Arial" w:hAnsi="Arial"/>
          <w:sz w:val="13"/>
          <w:szCs w:val="13"/>
          <w:i w:val="1"/>
          <w:iCs w:val="1"/>
          <w:color w:val="auto"/>
        </w:rPr>
        <w:t xml:space="preserve"> </w:t>
      </w:r>
      <w:r>
        <w:rPr>
          <w:rFonts w:ascii="Arial" w:cs="Arial" w:eastAsia="Arial" w:hAnsi="Arial"/>
          <w:sz w:val="13"/>
          <w:szCs w:val="13"/>
          <w:color w:val="auto"/>
        </w:rPr>
        <w:t>suite includes a design environment that enables SoC developers to efficiently view, track, monitor and share their design objects stored on a central server through a thin client web browser and generate real-time, customizable reports on their design data. It also provides a knowledge capture toolset that enables real-time collection and analysis of large volumes of free-format text, enabling our customers to extract the collective intelligence of its teams.</w:t>
      </w:r>
    </w:p>
    <w:p>
      <w:pPr>
        <w:spacing w:after="0" w:line="8" w:lineRule="exact"/>
        <w:rPr>
          <w:rFonts w:ascii="Arial" w:cs="Arial" w:eastAsia="Arial" w:hAnsi="Arial"/>
          <w:sz w:val="13"/>
          <w:szCs w:val="13"/>
          <w:color w:val="auto"/>
        </w:rPr>
      </w:pPr>
    </w:p>
    <w:p>
      <w:pPr>
        <w:ind w:left="640" w:hanging="253"/>
        <w:spacing w:after="0" w:line="280" w:lineRule="auto"/>
        <w:tabs>
          <w:tab w:leader="none" w:pos="647"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Harmony Trace: </w:t>
      </w:r>
      <w:r>
        <w:rPr>
          <w:rFonts w:ascii="Arial" w:cs="Arial" w:eastAsia="Arial" w:hAnsi="Arial"/>
          <w:sz w:val="13"/>
          <w:szCs w:val="13"/>
          <w:color w:val="auto"/>
        </w:rPr>
        <w:t>Harmony Trace offering is an enterprise level server-based application with a web-based user interface (UI) that interfaces to existing requirements, EDA tool,</w:t>
      </w:r>
      <w:r>
        <w:rPr>
          <w:rFonts w:ascii="Arial" w:cs="Arial" w:eastAsia="Arial" w:hAnsi="Arial"/>
          <w:sz w:val="13"/>
          <w:szCs w:val="13"/>
          <w:i w:val="1"/>
          <w:iCs w:val="1"/>
          <w:color w:val="auto"/>
        </w:rPr>
        <w:t xml:space="preserve"> </w:t>
      </w:r>
      <w:r>
        <w:rPr>
          <w:rFonts w:ascii="Arial" w:cs="Arial" w:eastAsia="Arial" w:hAnsi="Arial"/>
          <w:sz w:val="13"/>
          <w:szCs w:val="13"/>
          <w:color w:val="auto"/>
        </w:rPr>
        <w:t>documentation, and support systems, creating a system-of-systems that allows visibility of requirements traceability through the entire SoC design flow and product life cycle.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We sell to a global and diverse customer base, including semiconductor manufacturers, OEMs, hyperscale system houses, semiconductor design houses and other producers of electronic systems. We work directly with our customers throughout their design processes and seek to develop long-term, sustainable relationships with them as our technology becomes embedded in their products. As a result, we believe we are well-positioned to continue to attract and retain customers, and to continue developing next-generation SoC system IP solutions for their future products. As of December 31, 2021, we have 192 Active Customers, which we define as customers who have entered into a license agreement with us that remains in effect. We have 148 Active Customers for our interconnect IP solutions and 44 Active Customers for our IP deployment software solutions as of December 31, 2021.</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During 2021, in addition to growth within our existing customer base, we added 36 net new Active Customers for our interconnect IP products and 6 net new Active Customers for our IP deployment solutions. We have added 198 new customers since the beginning of 2014. In 2021, we had one customer that represented more than 10% of our revenue.</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As of December 31, 2021, we had 192 Active Customers for both IP licensing and software products. This includes 40 customers whose primary vertical is automotive, 42 customers in machine learning/artificial intelligence, 20 customers in 5G and wireless communications, 36 customers in infrastructure, 47 customers in consumer electronics and 7 customers in other verticals.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2021, our customers were geographically distributed as follows:</w:t>
      </w:r>
    </w:p>
    <w:p>
      <w:pPr>
        <w:spacing w:after="0" w:line="137" w:lineRule="exact"/>
        <w:rPr>
          <w:sz w:val="20"/>
          <w:szCs w:val="20"/>
          <w:color w:val="auto"/>
        </w:rPr>
      </w:pPr>
    </w:p>
    <w:p>
      <w:pPr>
        <w:ind w:left="640" w:hanging="253"/>
        <w:spacing w:after="0"/>
        <w:tabs>
          <w:tab w:leader="none" w:pos="6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50 customers based in the Americas;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31 customers based in Europe and the Middle East; and</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111 customers based in the Asia Pacific region.</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Our key customers include Intel, Samsung, NXP, STMicroelectronics, and Bosch.</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During fiscal year 2021, our revenue by geographic area based on customer location was as follows::</w:t>
      </w:r>
    </w:p>
    <w:p>
      <w:pPr>
        <w:spacing w:after="0" w:line="137" w:lineRule="exact"/>
        <w:rPr>
          <w:sz w:val="20"/>
          <w:szCs w:val="20"/>
          <w:color w:val="auto"/>
        </w:rPr>
      </w:pPr>
    </w:p>
    <w:p>
      <w:pPr>
        <w:ind w:left="640" w:hanging="253"/>
        <w:spacing w:after="0"/>
        <w:tabs>
          <w:tab w:leader="none" w:pos="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43.4% of our revenue was derived from customers based in the Americas;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12.4% of our revenue was derived from customers based in Europe and the Middle East; and</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44.2% of our revenue was derived from customers based in the Asia Pacific region.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work closely with our customers throughout the SoC design lifecycle to help them use our SoC system IP solutions to meet their specific needs. It is important to our success that we engage our customers early and collaborate throughout the design cycle. Our support organization is able to communicate best SoC design practices and receive early insight into customer requirements. This insight often results in new and innovative product features.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SoC system IP sales cycles range from two to nine months or longer. For repeat customers, our sales cycle length is generally shorter.</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As of December 31, 2021, we maintained sales offices, sales personnel, or sales representatives in the United States, China, France, South Korea, Japan, Israel, and India. As of December 31, 2021, our sales management had an average of 23 years of sales experience. As of December 31, 2021, we had 30 corporate and field application engineers, which we believe is the largest such support force in the interconnect IP market. Corporate and field application engineers work closely with our customers in both presales and support roles, providing expert advice to our SoC architect and engineering users on how best to use our IP and software to design and implement their SoCs. As a result of these close relationships and detailed information sharing, our application engineers gather early knowledge of future expected customer needs including potential new sales opportunities within the customer and requirements for new capabilities for our products. As a result, we believe our close relationships and technical credibility with our customers provide a competitive advantage.</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Our marketing strategy emphasizes thought leadership and educates potential customers about how our products can address their system IP challenges. We use technical papers, in-person and online events, to highlight our capabilities.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devote the majority of our operating expenses to research and development of interconnect IP and IP deployment solutions and technologies. The development of interconnect IPs for complex SoCs is a challenging task that requires multiple competencies and close contact with customers in order to deliver sophisticated solutions. The development and maintenance of these solutions requires:</w:t>
      </w:r>
    </w:p>
    <w:p>
      <w:pPr>
        <w:spacing w:after="0" w:line="110" w:lineRule="exact"/>
        <w:rPr>
          <w:sz w:val="20"/>
          <w:szCs w:val="20"/>
          <w:color w:val="auto"/>
        </w:rPr>
      </w:pPr>
    </w:p>
    <w:p>
      <w:pPr>
        <w:ind w:left="640" w:hanging="253"/>
        <w:spacing w:after="0" w:line="274" w:lineRule="auto"/>
        <w:tabs>
          <w:tab w:leader="none" w:pos="668"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Management of an interdisciplinary engineering team with expertise and skill set across a wide-range of sciences and domains such as architecture, design, design verification, EDA-class software development, and SystemC modeling, as well as deep understanding of physical design, design methodologies and networking architectures;</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Advanced SoC architectures for handling data coherency and consistency that result in a high-performance implementation with low power;</w:t>
      </w:r>
    </w:p>
    <w:p>
      <w:pPr>
        <w:spacing w:after="0" w:line="52" w:lineRule="exact"/>
        <w:rPr>
          <w:rFonts w:ascii="Arial" w:cs="Arial" w:eastAsia="Arial" w:hAnsi="Arial"/>
          <w:sz w:val="13"/>
          <w:szCs w:val="13"/>
          <w:color w:val="auto"/>
        </w:rPr>
      </w:pPr>
    </w:p>
    <w:p>
      <w:pPr>
        <w:ind w:left="640" w:hanging="253"/>
        <w:spacing w:after="0" w:line="274" w:lineRule="auto"/>
        <w:tabs>
          <w:tab w:leader="none" w:pos="647"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Complex design flows and methodologies, as well as specialized languages for generating configurable interconnect IP. The designs require configuration using thousands of parameters that must be meticulously managed with millions of combinations;</w:t>
      </w:r>
    </w:p>
    <w:p>
      <w:pPr>
        <w:spacing w:after="0" w:line="19"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14"/>
        </w:numPr>
        <w:rPr>
          <w:rFonts w:ascii="Arial" w:cs="Arial" w:eastAsia="Arial" w:hAnsi="Arial"/>
          <w:sz w:val="13"/>
          <w:szCs w:val="13"/>
          <w:color w:val="auto"/>
        </w:rPr>
      </w:pPr>
      <w:r>
        <w:rPr>
          <w:rFonts w:ascii="Arial" w:cs="Arial" w:eastAsia="Arial" w:hAnsi="Arial"/>
          <w:sz w:val="13"/>
          <w:szCs w:val="13"/>
          <w:color w:val="auto"/>
        </w:rPr>
        <w:t>Capability to understand the physical implementation and floorplan of the target SoC in order to generate a design that meets physical implementation requirements in terms of timing, area and power;</w:t>
      </w:r>
    </w:p>
    <w:p>
      <w:pPr>
        <w:spacing w:after="0" w:line="19" w:lineRule="exact"/>
        <w:rPr>
          <w:rFonts w:ascii="Arial" w:cs="Arial" w:eastAsia="Arial" w:hAnsi="Arial"/>
          <w:sz w:val="13"/>
          <w:szCs w:val="13"/>
          <w:color w:val="auto"/>
        </w:rPr>
      </w:pPr>
    </w:p>
    <w:p>
      <w:pPr>
        <w:ind w:left="640" w:hanging="253"/>
        <w:spacing w:after="0" w:line="274" w:lineRule="auto"/>
        <w:tabs>
          <w:tab w:leader="none" w:pos="647" w:val="left"/>
        </w:tabs>
        <w:numPr>
          <w:ilvl w:val="0"/>
          <w:numId w:val="14"/>
        </w:numPr>
        <w:rPr>
          <w:rFonts w:ascii="Arial" w:cs="Arial" w:eastAsia="Arial" w:hAnsi="Arial"/>
          <w:sz w:val="13"/>
          <w:szCs w:val="13"/>
          <w:color w:val="auto"/>
        </w:rPr>
      </w:pPr>
      <w:r>
        <w:rPr>
          <w:rFonts w:ascii="Arial" w:cs="Arial" w:eastAsia="Arial" w:hAnsi="Arial"/>
          <w:sz w:val="13"/>
          <w:szCs w:val="13"/>
          <w:color w:val="auto"/>
        </w:rPr>
        <w:t>Sophisticated design verification methodologies to ensure quality of configurable interconnect IP across millions of possible combinations, as well as complex test benches for simulation and emulation;</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In-depth knowledge of common interface protocols, graph theory, data models and graphical user interfaces;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In-depth knowledge of safety standards, including ISO 26262 ASIL B/D for automotive and IP-XACT IP packaging standards for all SoCs; and</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Support of a broad ecosystem of SoC design tools, semiconductor foundry libraries, processor and other IP.</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IP deployment software development is similarly challenging as it requires broad support of the IP packaging standard, IP-XACT, and the ability to deliver features and enhancements required as customers deploy ever changing IP block libraries for their SoC projects. Our IP deployment software has to conform not only to industry standards, but also to ever evolving SoC integration methodologies.</w:t>
      </w:r>
    </w:p>
    <w:p>
      <w:pPr>
        <w:spacing w:after="0" w:line="11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Once interconnect IP is designed into customer SoC projects, there are significant switching costs to adopting different interconnect IP and IP deployment solutions, especially in the automotive sector where switching interconnect IP solutions may involve product functional safety re-certification.</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Our research and development strategy includes offering customers several product enhancement releases per year, complemented with a planned introduction of at least one new interconnect IP or IP deployment product every year.</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believe we have assembled one of the premier engineering teams for interconnect IP development and IP deployment in the world. As of December 31, 2021, we had 76 engineers devoted to interconnect IP development and 52 engineers devoted to IP deployment software totaling 128 employees. In 2021, we spent $30.8 million on research and development, which represented 81% of our revenue.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For interconnect IP, we primarily compete with interconnect solutions developed internally by our SoC customers and potential customers. Many of the largest semiconductor companies have their own interconnect IP development teams which makes customer penetration relatively difficult, time consuming and expensive. However, we believe that over time the expense and difficulty of developing a broad suite of interconnect IP and IP deployment solutions has the potential to expand the use of commercial SoC integration solutions. In addition, we also compete with third-party providers, including Arm and several smaller companies. While we do compete with Arm in the interconnect IP market, we believe our solutions are complementary to Arm’s processor portfolio and protocol deployment. We often execute integration of Arm processors in heterogeneous environments, which can accelerate deployment of Arm processors. While there are several smaller companies developing interconnect solutions, we believe that our extensive investment in research and development over many years creates a barrier to entry. Developing interconnect IP solutions that are robust, configurable, and capable of handling multiple functionalities requires deep technology expertise and large research and development investments. We compete based on die area reduction, lower idle power consumption, improved data movement performance such as frequency, latency and bandwidth, as well as faster time to market. We believe we compete favorably with respect to these factors.</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IP deployment similarly competes mainly against internally developed solutions. Commercial competitors consist of smaller companies that generally provide point products rather than complete solutions.</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Based on management’s experience, we believe that in order to develop a new interconnect IP product, it would take a new entrant in the interconnect IP market three to four years to develop a mature product, two to four years of market development and five to seven years to build a royalty generating customer base.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 and Proprietary Rights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We rely on a combination of intellectual property rights, including patents, trade secrets, copyrights and trademarks, and contractual protections, to protect our core technology and intellectual property. As of December 31, 2021, we had 98 total issued patents, pending patent applications and non-expired provisional patent applications worldwide. Of these, we had 35 issued patents, 34 of which are U.S. issued patents and one is a U.K. issued patent. The 35 issued patents generally expire between 2035 and 2041. As of December 31, 2021, we had 63 pending non-provisional and provisional patent application filings, including 40 in the United States, nine in Europe, eight in China, four in Korea and two in Japan. In addition, we have a trademark program covering, where feasible and in accordance with local laws, our products as well as our corporate names and logos.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progress in developing our technology and products, and our ability to compete worldwide, is a direct result of our commitment to develop and maintain leadership of our proprietary products and to develop and file to protect our intellectual property. We rely on a combination of patent, trademark, trade secret and copyright laws, as well as contractual and licensing restrictions to protect the proprietary aspects of our technology. We also take steps to protect against misuse of our licensed products, for example with license keys that limit the time allowed for our licensee customers to use configuration tools to generate hardware description source code that is used in their semiconductor hardware products.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routinely use non-disclosure agreements, limited evaluation agreements, and substantive license agreements with procedures to assist customer usage while limiting wrongful disclosure or misuse of our intellectual property. In addition, we are committed to develop products not only in the U.S. but in France and other countries, where the country or origin may favorably impact the ability to license our IP solutions and technology in accordance with applicable export laws and regulations. Technological change and customer needs for emerging feature needs in our solutions inspire and motivate our personnel to update and enhance our offerings periodically.</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focus patent protection beyond the United States in countries and jurisdictions where we determine that such filings will assist the strategic reach and value of our patent portfolio. Patents and other legal IP protections arise when we have conceived or developed novel and valuable new or improved technology relating to our IP solutions, that may affect our customer and our own licensing business outside the U.S. Certain countries in which our IP solutions are or may be developed, manufactured or sold may not have or enforce laws that protect our technology and intellectual property rights to the same extent as under U.S. law.</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Agreement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Qualcomm Agreements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In connection with an Asset Purchase Agreement by and among Qualcomm Technologies, Inc. and Qualcomm France SARL (collectively, “Qualcomm”) and us and certain of our subsidiaries dated as of October 9, 2013 pursuant to which we sold to Qualcomm certain assets and intellectual property related to our FlexNoC product (the “Purchase Agreement”), we and our affiliates retained a non-exclusive, worldwide, perpetual right under patents acquired under the Purchase Agreement to, among other things, manufacture, license and distribute certain FlexNoC products and certain modifications thereto (the “Retained Rights”). In addition, we and Qualcomm Technologies, Inc. entered into a License Agreement dated as of October 11, 2013 (the “License Agreement”) pursuant to which we and our affiliates obtained a license to, among other things, reproduce, use, license and distribute certain FlexNoC-related works of authorship and technology that were acquired or owned by Qualcomm in connection with the Purchase Agreement for the purpose of enabling us to continue to offer and support FlexNoC products and certain modifications thereto (the “Licensed Rights”). There is no charge under the Purchase Agreement for our use of the Retained Rights or the Licensed Rights. Our rights in the Retained Rights continue until the last to expire of the relevant patents, and the License Agreement continues in perpetuity, in each case unless terminated as described below.</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Qualcomm may terminate the Retained Rights in the event (i) we or our subsidiaries that are party to the Purchase Agreement breach any material terms of the Purchase Agreement applicable to the Retained Rights or any material terms of the License Agreement and fail to cure any such breach within 90 days after notice of such breach from Qualcomm, or (ii) we or any of our affiliates initiate a claim of patent infringement against Qualcomm or its affiliates (excluding such claims that are counterclaims in proceedings initiated by Qualcomm or its affiliates) and does not withdraw such claim within 30 days after Qualcomm’s written request to do so. Qualcomm may terminate the License Agreement in the event we breach any material terms of the License Agreement or any material terms of the Purchase Agreement applicable to the Retained Rights and fail to cure such breach within 90 days after notice of such breach from Qualcomm. Qualcomm may also terminate rights granted under the License Agreement to a certain development environment used in connection with our FlexNoC product (which could effectively preclude us from continuing to enhance our FlexNoC product and adversely affect our FlexNoc business) in the event of a change of control of our company (as defined in the License Agreement) which would effectively include, in a transaction or series of related transactions, a sale of our company, or the sales of securities by us or our stockholders that would result in the stockholders and optionholders of our company as of the date of the License Agreement not retaining beneficial ownership of more than 50% of our company. We believe that, as we have and continue to deliver new products since the date of the License Agreement, such as our range of IP deployment products, Ncore cache coherent interconnect, CodaCache last-level cache and PIANO physical awareness, the importance to our business and product portfolio of the FlexNoC development environment will decrease over time.</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may not assign the License Agreement without Qualcomm’s written consent (and a change of control of our company shall be considered an assignment for the purposes of such prohibition) except that we may assign the License Agreement to an acquirer of our business that consists of licensing certain FlexNoC products, and we may only assign the Retained Rights to an entity to whom we have assigned the License Agreement.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Governmental Regulation</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We are subject to regulation by various governmental agencies in the United States and other jurisdictions in which we operate. These laws and regulations (and the government entities, regulators and agencies responsible for their enforcement) in the United States cover among other things: radio frequency emission regulatory activities (Federal Communications Commission); anti-trust regulatory activities (Federal Trade Commission and Department of Justice); insider trading, anti-bribery and anti-corruption (Department of Justice), consumer protection (Federal Trade Commission); import/export regulatory activities (Department of Commerce and Department of Treasury);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federal and state tax and other regulations by a variety of regulatory authorities in each of the areas in which we conduct business. Our operations are also subject to the U.S. Foreign Corrupt Practices Act of 1977, as amended (the FCPA), the U.S. domestic bribery statute contained in 18 U.S.C. § 201, the U.S. Travel Act, the USA PATRIOT Act, as well as the anti-corruption, anti-bribery, and anti-money laundering laws in the U.S. and other countries where we conduct business.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addition, 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(OFAC). Other products are subject to French export controls. These regulations may limit the export of our products and technology, and provision of our services outside of the United States and/or France,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The export and re-export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In March 2021, we submitted an initial voluntary self-disclosure (VSD) to the Bureau of Industry and Security (BIS), noting potential violations of the EAR. We submitted a final VSD to BIS on July 23, 2021. In our VSD submission, we identified two parties included on the BIS Entity List. Our VSD is currently under review at BIS. While BIS has historically closed a significant majority of voluntary self-disclosures with warning letters and no monetary penalty because, in part, BIS gives great weight and mitigating credit to companies that submit a VSD, we cannot rule out the possibility that BIS could impose a civil monetary penalty. In addition, BIS also has the power to impose a denial of export privileges, although it is not commonly imposed in cases involving VSDs. We believe it is premature and speculative to provide further guidance on the likelihood that a civil penalty or other penalty would or could be imposed, or the amount and nature of such penalty, because BIS has discretion whether to issue a warning letter or proposed charging letter. With respect to government authorizations, we have no pending export license requests to BIS or any other government agency, and no export licenses are currently required to export our products from the United States or other countries to countries where we do business.</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Complying with export control and sanctions laws may be time 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From time to time, we have adopted and will continue to adopt remedial measures in response to government regulation. For example, we have adopted several remedial measures prior to, in connection with and following the initial notification of voluntary self-disclosure we submitted to BIS. These compliance enhancements were developed and implemented in consultation with outside counsel specializing in U.S. trade compliance. These steps have included annual basic export compliance training within our company, updating our written export control policies and procedures, and adopting a revised export compliance manual in 2021. We have provided export awareness training for relevant personnel including in 2021 and 2020. We previously provided our sales employees worldwide with training on basic export compliance. We engaged third-party vendor software to assist us with ongoing screening of new and existing customers, third-party agents or representatives, suppliers, and other vendors against U.S., France and several other jurisdictions’ prohibited or restricted party lists. We screen all customers against applicable lists of denied or restricted parties, including the Entity List administered by BIS as well as the list of Specially Designated Nationals and Blocked Persons, administered by the Treasury Department’s Office of Foreign Assets Control.</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For a discussion of the various risks we face from regulation and compliance matters, see “Risk Factors—Risks Related to Our Business and Industry—We are subject to governmental regulation and other legal obligations, particularly related to privacy, data protection and information security, and consumer protection laws across different markets where we conduct our business. Our actual or perceived failure to comply with such obligations could harm our business,” “Risk Factors—Risks Related to Legal, Regulatory, Accounting and Tax Matters—Our failure to comply with the large body of laws and regulations to which we are subject could materially harm our business,” “Risk Factors—Risks Related to Legal, Regulatory, Accounting and Tax Matters—Our failure to comply with the Foreign Corrupt Practices Act, other applicable anti-corruption and anti-bribery laws, and applicable anti-money laundering laws could subject us to penalties and other adverse consequences,” “Risk Factors—Risks Related to Legal, Regulatory, Accounting and Tax Matters—We are subject to government regulation, including import, export and economic sanctions laws and regulations that may expose us to liability and increase our costs,” “Risk Factors—Risks Related to Legal, Regulatory, Accounting and Tax Matters— We will lose sales if we are unable to obtain government authorization to export certain of our products, and we will be subject to legal and regulatory consequences if we do not comply with applicable export control laws and regulations.”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2021, we had 217 full-time equivalent employees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80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Number</w:t>
            </w:r>
          </w:p>
        </w:tc>
      </w:tr>
      <w:tr>
        <w:trPr>
          <w:trHeight w:val="150"/>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Function</w:t>
            </w:r>
          </w:p>
        </w:tc>
        <w:tc>
          <w:tcPr>
            <w:tcW w:w="1480" w:type="dxa"/>
            <w:vAlign w:val="bottom"/>
            <w:shd w:val="clear" w:color="auto" w:fill="CCEEFF"/>
          </w:tcPr>
          <w:p>
            <w:pPr>
              <w:spacing w:after="0"/>
              <w:rPr>
                <w:sz w:val="13"/>
                <w:szCs w:val="13"/>
                <w:color w:val="auto"/>
              </w:rPr>
            </w:pPr>
          </w:p>
        </w:tc>
      </w:tr>
      <w:tr>
        <w:trPr>
          <w:trHeight w:val="200"/>
        </w:trPr>
        <w:tc>
          <w:tcPr>
            <w:tcW w:w="980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1480" w:type="dxa"/>
            <w:vAlign w:val="bottom"/>
          </w:tcPr>
          <w:p>
            <w:pPr>
              <w:jc w:val="right"/>
              <w:spacing w:after="0"/>
              <w:rPr>
                <w:sz w:val="20"/>
                <w:szCs w:val="20"/>
                <w:color w:val="auto"/>
              </w:rPr>
            </w:pPr>
            <w:r>
              <w:rPr>
                <w:rFonts w:ascii="Arial" w:cs="Arial" w:eastAsia="Arial" w:hAnsi="Arial"/>
                <w:sz w:val="13"/>
                <w:szCs w:val="13"/>
                <w:color w:val="auto"/>
              </w:rPr>
              <w:t>128</w:t>
            </w:r>
          </w:p>
        </w:tc>
      </w:tr>
      <w:tr>
        <w:trPr>
          <w:trHeight w:val="203"/>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r>
      <w:tr>
        <w:trPr>
          <w:trHeight w:val="200"/>
        </w:trPr>
        <w:tc>
          <w:tcPr>
            <w:tcW w:w="9800" w:type="dxa"/>
            <w:vAlign w:val="bottom"/>
          </w:tcPr>
          <w:p>
            <w:pPr>
              <w:ind w:left="20"/>
              <w:spacing w:after="0"/>
              <w:rPr>
                <w:sz w:val="20"/>
                <w:szCs w:val="20"/>
                <w:color w:val="auto"/>
              </w:rPr>
            </w:pPr>
            <w:r>
              <w:rPr>
                <w:rFonts w:ascii="Arial" w:cs="Arial" w:eastAsia="Arial" w:hAnsi="Arial"/>
                <w:sz w:val="13"/>
                <w:szCs w:val="13"/>
                <w:color w:val="auto"/>
              </w:rPr>
              <w:t>Administration</w:t>
            </w:r>
          </w:p>
        </w:tc>
        <w:tc>
          <w:tcPr>
            <w:tcW w:w="148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203"/>
        </w:trPr>
        <w:tc>
          <w:tcPr>
            <w:tcW w:w="98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78"/>
        </w:trPr>
        <w:tc>
          <w:tcPr>
            <w:tcW w:w="9800" w:type="dxa"/>
            <w:vAlign w:val="bottom"/>
          </w:tcPr>
          <w:p>
            <w:pPr>
              <w:ind w:left="20"/>
              <w:spacing w:after="0"/>
              <w:rPr>
                <w:sz w:val="20"/>
                <w:szCs w:val="20"/>
                <w:color w:val="auto"/>
              </w:rPr>
            </w:pPr>
            <w:r>
              <w:rPr>
                <w:rFonts w:ascii="Arial" w:cs="Arial" w:eastAsia="Arial" w:hAnsi="Arial"/>
                <w:sz w:val="13"/>
                <w:szCs w:val="13"/>
                <w:b w:val="1"/>
                <w:bCs w:val="1"/>
                <w:color w:val="auto"/>
              </w:rPr>
              <w:t>Geographic Distribution</w:t>
            </w:r>
          </w:p>
        </w:tc>
        <w:tc>
          <w:tcPr>
            <w:tcW w:w="1480" w:type="dxa"/>
            <w:vAlign w:val="bottom"/>
          </w:tcPr>
          <w:p>
            <w:pPr>
              <w:spacing w:after="0"/>
              <w:rPr>
                <w:sz w:val="15"/>
                <w:szCs w:val="15"/>
                <w:color w:val="auto"/>
              </w:rPr>
            </w:pPr>
          </w:p>
        </w:tc>
      </w:tr>
      <w:tr>
        <w:trPr>
          <w:trHeight w:val="24"/>
        </w:trPr>
        <w:tc>
          <w:tcPr>
            <w:tcW w:w="98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2"/>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r>
      <w:tr>
        <w:trPr>
          <w:trHeight w:val="200"/>
        </w:trPr>
        <w:tc>
          <w:tcPr>
            <w:tcW w:w="9800" w:type="dxa"/>
            <w:vAlign w:val="bottom"/>
          </w:tcPr>
          <w:p>
            <w:pPr>
              <w:ind w:left="20"/>
              <w:spacing w:after="0"/>
              <w:rPr>
                <w:sz w:val="20"/>
                <w:szCs w:val="20"/>
                <w:color w:val="auto"/>
              </w:rPr>
            </w:pPr>
            <w:r>
              <w:rPr>
                <w:rFonts w:ascii="Arial" w:cs="Arial" w:eastAsia="Arial" w:hAnsi="Arial"/>
                <w:sz w:val="13"/>
                <w:szCs w:val="13"/>
                <w:color w:val="auto"/>
              </w:rPr>
              <w:t>France</w:t>
            </w:r>
          </w:p>
        </w:tc>
        <w:tc>
          <w:tcPr>
            <w:tcW w:w="148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203"/>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China</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200"/>
        </w:trPr>
        <w:tc>
          <w:tcPr>
            <w:tcW w:w="9800" w:type="dxa"/>
            <w:vAlign w:val="bottom"/>
          </w:tcPr>
          <w:p>
            <w:pPr>
              <w:ind w:left="20"/>
              <w:spacing w:after="0"/>
              <w:rPr>
                <w:sz w:val="20"/>
                <w:szCs w:val="20"/>
                <w:color w:val="auto"/>
              </w:rPr>
            </w:pPr>
            <w:r>
              <w:rPr>
                <w:rFonts w:ascii="Arial" w:cs="Arial" w:eastAsia="Arial" w:hAnsi="Arial"/>
                <w:sz w:val="13"/>
                <w:szCs w:val="13"/>
                <w:color w:val="auto"/>
              </w:rPr>
              <w:t>South Korea</w:t>
            </w:r>
          </w:p>
        </w:tc>
        <w:tc>
          <w:tcPr>
            <w:tcW w:w="14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03"/>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Japan</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99"/>
        </w:trPr>
        <w:tc>
          <w:tcPr>
            <w:tcW w:w="9800" w:type="dxa"/>
            <w:vAlign w:val="bottom"/>
          </w:tcPr>
          <w:p>
            <w:pPr>
              <w:ind w:left="20"/>
              <w:spacing w:after="0"/>
              <w:rPr>
                <w:sz w:val="20"/>
                <w:szCs w:val="20"/>
                <w:color w:val="auto"/>
              </w:rPr>
            </w:pPr>
            <w:r>
              <w:rPr>
                <w:rFonts w:ascii="Arial" w:cs="Arial" w:eastAsia="Arial" w:hAnsi="Arial"/>
                <w:sz w:val="13"/>
                <w:szCs w:val="13"/>
                <w:color w:val="auto"/>
              </w:rPr>
              <w:t>Elsewhere</w:t>
            </w:r>
          </w:p>
        </w:tc>
        <w:tc>
          <w:tcPr>
            <w:tcW w:w="1480" w:type="dxa"/>
            <w:vAlign w:val="bottom"/>
          </w:tcPr>
          <w:p>
            <w:pPr>
              <w:jc w:val="right"/>
              <w:spacing w:after="0"/>
              <w:rPr>
                <w:sz w:val="20"/>
                <w:szCs w:val="20"/>
                <w:color w:val="auto"/>
              </w:rPr>
            </w:pPr>
            <w:r>
              <w:rPr>
                <w:rFonts w:ascii="Arial" w:cs="Arial" w:eastAsia="Arial" w:hAnsi="Arial"/>
                <w:sz w:val="13"/>
                <w:szCs w:val="13"/>
                <w:color w:val="auto"/>
              </w:rPr>
              <w:t>1</w:t>
            </w:r>
          </w:p>
        </w:tc>
      </w:tr>
    </w:tbl>
    <w:p>
      <w:pPr>
        <w:spacing w:after="0" w:line="19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consider relations with our employees to be good and have never experienced a work stoppage. None of our employees are either represented by a labor union, although our employees in France are subject to a collective bargaining agreement.</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Corporation Information</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were incorporated in the State of Delaware in April 2004. Our principal executive offices are located at 595 Millich Dr. Suite 200 Campbell, CA 95008. Our telephone number is (408) 470-7300, and our website address is www.arteris.com. The information contained on, or that can be accessed through, our website is not incorporated by reference in this report and does not form a part of this report. You should not consider information contained on our website to be part of this report in deciding whether to purchase shares of our common stock. Our common stock is traded on the Nasdaq Stock Market under the symbol “AIP”.</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website address is www.arteris.com. Information found on, or accessible through, our website is not a part of, and is not incorporated into, this Annual Report on Form 10-K. We file electronically with the SEC our annual reports on Form 10-K, quarterly reports on Form 10-Q, current reports on Form 8-K, and amendments to those reports filed or furnished pursuant to Section 13(a) or 15(d) of the Exchange Act. We make available on our website at www.arteris.com, free of charge, copies of these reports and other information as soon as reasonably practicable after we electronically file such material with, or furnish it to, the SEC.</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3"/>
          <w:szCs w:val="13"/>
          <w:i w:val="1"/>
          <w:iCs w:val="1"/>
          <w:color w:val="auto"/>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before deciding whether to invest in our common stock.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event, the trading price of our common stock could decline, and you could lose all or part of your investment. Additional risks and uncertainties not presently known to us or not believed by us to be material may also negatively impact us.</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significant competition from larger companies and third party providers that may deploy their resources so they can develop their IP solutions internally.</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Often, we compete against larger companies that possess substantial financial, technical, research and development and engineering resources that can be deployed so they can develop their IP solutions internally. In addition, we also compete against other third-party providers of IP integration solutions that similarly possess substantial financial, technical, research and development and engineering resources. In addition,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spacing w:after="0" w:line="27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 addition, our ability to compete in our market is subject to a variety of factors, many of which are beyond our control. The occurrence of any of the below could adversely affect our ability to compete and harm our business:</w:t>
      </w:r>
    </w:p>
    <w:p>
      <w:pPr>
        <w:spacing w:after="0" w:line="104" w:lineRule="exact"/>
        <w:rPr>
          <w:sz w:val="20"/>
          <w:szCs w:val="20"/>
          <w:color w:val="auto"/>
        </w:rPr>
      </w:pPr>
    </w:p>
    <w:p>
      <w:pPr>
        <w:ind w:left="640" w:hanging="253"/>
        <w:spacing w:after="0" w:line="274" w:lineRule="auto"/>
        <w:tabs>
          <w:tab w:leader="none" w:pos="636"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ability to anticipate and lead critical product development cycles and technological shifts as driven by our target markets, to innovate rapidly and efficiently and to improve our existing solutions.</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Whether any competitor substantially increases its engineering and marketing resources to compete with us in the semiconductor IP deployment software technology arena.</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Whether a new entrant with substantially greater resources and/or supported by governmental resources decides to enter the markets in which we compete.</w:t>
      </w:r>
    </w:p>
    <w:p>
      <w:pPr>
        <w:spacing w:after="0" w:line="52"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15"/>
        </w:numPr>
        <w:rPr>
          <w:rFonts w:ascii="Arial" w:cs="Arial" w:eastAsia="Arial" w:hAnsi="Arial"/>
          <w:sz w:val="13"/>
          <w:szCs w:val="13"/>
          <w:color w:val="auto"/>
        </w:rPr>
      </w:pPr>
      <w:r>
        <w:rPr>
          <w:rFonts w:ascii="Arial" w:cs="Arial" w:eastAsia="Arial" w:hAnsi="Arial"/>
          <w:sz w:val="13"/>
          <w:szCs w:val="13"/>
          <w:color w:val="auto"/>
        </w:rPr>
        <w:t>Whether any existing or new competitor bundles its technologies into one package at a discounted price that would make it uneconomical for our customers to license our products separately.</w:t>
      </w:r>
    </w:p>
    <w:p>
      <w:pPr>
        <w:spacing w:after="0" w:line="19" w:lineRule="exact"/>
        <w:rPr>
          <w:rFonts w:ascii="Arial" w:cs="Arial" w:eastAsia="Arial" w:hAnsi="Arial"/>
          <w:sz w:val="13"/>
          <w:szCs w:val="13"/>
          <w:color w:val="auto"/>
        </w:rPr>
      </w:pPr>
    </w:p>
    <w:p>
      <w:pPr>
        <w:ind w:left="640" w:hanging="253"/>
        <w:spacing w:after="0" w:line="274" w:lineRule="auto"/>
        <w:tabs>
          <w:tab w:leader="none" w:pos="647"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challenges of developing, or acquiring externally developed, technology solutions that are adequate and competitive in meeting the rapidly evolving requirements of next-generation design challenges.</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ability to compete on the basis of payment and pricing features and terms.</w:t>
      </w:r>
    </w:p>
    <w:p>
      <w:pPr>
        <w:spacing w:after="0" w:line="52"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15"/>
        </w:numPr>
        <w:rPr>
          <w:rFonts w:ascii="Arial" w:cs="Arial" w:eastAsia="Arial" w:hAnsi="Arial"/>
          <w:sz w:val="13"/>
          <w:szCs w:val="13"/>
          <w:color w:val="auto"/>
        </w:rPr>
      </w:pPr>
      <w:r>
        <w:rPr>
          <w:rFonts w:ascii="Arial" w:cs="Arial" w:eastAsia="Arial" w:hAnsi="Arial"/>
          <w:sz w:val="13"/>
          <w:szCs w:val="13"/>
          <w:color w:val="auto"/>
        </w:rPr>
        <w:t>Decisions by semiconductor companies, system companies, device or other end product producers, and/or OEMs to develop IP development internally, rather than license IP from outside vendors due to budget constraints or excess engineering capacity.</w:t>
      </w:r>
    </w:p>
    <w:p>
      <w:pPr>
        <w:spacing w:after="0" w:line="19"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15"/>
        </w:numPr>
        <w:rPr>
          <w:rFonts w:ascii="Arial" w:cs="Arial" w:eastAsia="Arial" w:hAnsi="Arial"/>
          <w:sz w:val="13"/>
          <w:szCs w:val="13"/>
          <w:color w:val="auto"/>
        </w:rPr>
      </w:pPr>
      <w:r>
        <w:rPr>
          <w:rFonts w:ascii="Arial" w:cs="Arial" w:eastAsia="Arial" w:hAnsi="Arial"/>
          <w:sz w:val="13"/>
          <w:szCs w:val="13"/>
          <w:color w:val="auto"/>
        </w:rPr>
        <w:t>Actions by regulators or governmental entities to limit product availability, trade and exportability or the features or contractual terms that either we or our customers can apply to product and service offerings, or to affect monetary policy.</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Actions by regulators or governmental entities to modify or augment tax treatment of our product and service offerings.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ind w:left="640" w:hanging="253"/>
        <w:spacing w:after="0" w:line="274" w:lineRule="auto"/>
        <w:tabs>
          <w:tab w:leader="none" w:pos="636"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impact of global and regional inflation on our and our customers’ profitability due to increases in wages, salaries, operating expenses, and costs of insurance, benefits and medical coverage.</w:t>
      </w:r>
    </w:p>
    <w:p>
      <w:pPr>
        <w:spacing w:after="0" w:line="19"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potential effects of geopolitical conflicts, such as the military conflict between Russia and Ukraine, including retaliatory and regulatory actions, on purchasing, development, sales and innovation responses and trends in response to such conflicts.</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Competition, embargoes, sanctions, boycotts and/or social unrest.</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Local or international economic headwind trends that may lead to recessions, economic slowdowns or sudden changes in economic needs of regions and consumers.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Silicon chip supply chain and shipment volume restrictions on our customers and their end customers that will impact the amount of royalties payable to us.</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We may also be unable to reduce the cost of our products sufficiently to enable us to compete with our competitors. Our cost reduction efforts may not allow us to keep pace with competitive pricing pressures and/or other economic factors including inflation and customer and end market supply chain constraints and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a history of net losses, and we may not achieve or maintain profitability in the future.</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have incurred net losses in certain periods historically. We incurred a net loss of $23.4 million in 2021 and $3.3 million in 2020, which has resulted in us having an accumulated deficit of $39.0 million and $15.6 million as of December 31, 2021 and 2020, respectively. We have spent significant funds on organizational and start-up activities, to recruit engineers and other employees and to support our research and development. The net losses we incur may fluctuate significantly from quarter to quarter and may increase as a result of the COVID-19 pandemic.</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long-term success is dependent upon our ability to successfully market our interconnect IP and IP deployment solutions, develop new interconnect IP and IP deployment 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spacing w:after="0" w:line="98"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i w:val="1"/>
          <w:iCs w:val="1"/>
          <w:color w:val="auto"/>
        </w:rPr>
        <w:t>Because our IP solutions are components of end products, if semiconductor, system producers and/or end product producer companies in the automotive market, artificial intelligence/machine learning (AI/ML) market, 5G and wireless communications market, large scale cloud and data center market and consumer electronics market do not incorporate our solutions into their end products or if the end products of our customers do not achieve market acceptance, we may not be able to generate adequate license sales and royalty income from our products.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Our IP solutions include technology that manages on-chip communications in SoC semiconductor devices. We do not license our IP solutions and deployment tools directly to end-users; we license our technology primarily to companies in the automotive market, AI/ML market, 5G and wireless communications market, large scale cloud and data center market and consumer electronics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Moreover, even after a customer agrees to incorporate our technology into its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actually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to start their own product designs and manufacture and ship their products, including target product market conditions, our customers’ financial stability, our customers’ competitive positioning and external economic conditions (such as but not limited to inflation, customer and end market supply chain constraints, geopolitical conflict, sanctions and competition) that may prolong the customers’ decision-making process and design cycle.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spacing w:after="0" w:line="88"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We depend on growth and economic stability in the end markets that use our products. Any slowdown in the growth and economic stability of these end markets could harm our business.</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Our continued success will depend in large part on general economic growth and stability, and growth and stability within our target markets in the automotive market, AI/ML market, 5G and wireless communications market, large scale cloud and data center market and consumer electronics market. Factors affecting these markets could seriously harm our customers and/or end customers and, as a result, harm us, examples of which include:</w:t>
      </w:r>
    </w:p>
    <w:p>
      <w:pPr>
        <w:spacing w:after="0" w:line="110" w:lineRule="exact"/>
        <w:rPr>
          <w:sz w:val="20"/>
          <w:szCs w:val="20"/>
          <w:color w:val="auto"/>
        </w:rPr>
      </w:pPr>
    </w:p>
    <w:p>
      <w:pPr>
        <w:ind w:left="640" w:hanging="253"/>
        <w:spacing w:after="0"/>
        <w:tabs>
          <w:tab w:leader="none" w:pos="6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Reduced sales of our customers’ and/or end customers’ products.</w:t>
      </w:r>
    </w:p>
    <w:p>
      <w:pPr>
        <w:spacing w:after="0" w:line="52" w:lineRule="exact"/>
        <w:rPr>
          <w:rFonts w:ascii="Arial" w:cs="Arial" w:eastAsia="Arial" w:hAnsi="Arial"/>
          <w:sz w:val="13"/>
          <w:szCs w:val="13"/>
          <w:color w:val="auto"/>
        </w:rPr>
      </w:pPr>
    </w:p>
    <w:p>
      <w:pPr>
        <w:jc w:val="both"/>
        <w:ind w:left="640" w:hanging="253"/>
        <w:spacing w:after="0" w:line="265" w:lineRule="auto"/>
        <w:tabs>
          <w:tab w:leader="none" w:pos="679"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effects of catastrophic and other disruptive events at our customers’ and/or end customers’ offices or facilities including, but not limited to, natural disasters, telecommunications failures, cyber-attacks, terrorist attacks, pandemics, epidemics or other outbreaks of infectious disease, including the current COVID-19 pandemic, breaches of security or loss of critical data.</w:t>
      </w:r>
    </w:p>
    <w:p>
      <w:pPr>
        <w:spacing w:after="0" w:line="24" w:lineRule="exact"/>
        <w:rPr>
          <w:rFonts w:ascii="Arial" w:cs="Arial" w:eastAsia="Arial" w:hAnsi="Arial"/>
          <w:sz w:val="13"/>
          <w:szCs w:val="13"/>
          <w:color w:val="auto"/>
        </w:rPr>
      </w:pPr>
    </w:p>
    <w:p>
      <w:pPr>
        <w:ind w:left="640" w:hanging="253"/>
        <w:spacing w:after="0"/>
        <w:tabs>
          <w:tab w:leader="none" w:pos="6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Increased costs associated with potential disruptions to our customers’ and/or end markets’ supply chain and other manufacturing and production operations.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deterioration of our customers’ and/or end customers’ financial condition.</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Delays and project cancellations as a result of design flaws in the products developed by our customers and/or end customers.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inability of our customers and/or end customers to dedicate the resources necessary to promote and commercialize their products.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inability of our customers and/or end customers to adapt to changing technological demands resulting in their products becoming obsolete.</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failure of our customers’ and/or end customers’ products to achieve market success and gain broad market acceptance.</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supply chain disruptions and regional and/or worldwide chip shortages, unemployment spikes, labor shortages or end market reactions to regional or global geopolitical uncertainties or conflicts, or other factors beyond our control, it would adversely affect demand for our products from customers and royalty revenue and impact our ability to execute our growth strategy.</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depend on market acceptance of third-party semiconductor IP.</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IP deployment software. Furthermore, the third-party licensable IP model is highly dependent on the market adoption of new services and products, including in the automotive market, AI/ML market, 5G and wireless communications market, large scale cloud and data center market and consumer electronics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trends that would enable our growth are largely beyond our control. Semiconductor customers also may choose to adopt a multi-chip, off-the-shelf chip solution versus licensing or using highly-integrated chipsets that embed our technologies or use our deployment software. If these market shifts do not materialize or third-party semiconductor IP does not achieve market acceptance, our business could be harmed.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The success of our business depends on sustaining or growing our licensing revenue and the failure to achieve such revenue would lead to a material decline in our results of operations.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 In addition, our customer acquisition cycle for new licenses and license renewals for existing licensees can be lengthy, typically between two to nine months, and can also be costly and unpredictable. We cannot provide any assurance that we will be successful in signing new license agreements or renewing existing license agreements on equal or favorable terms or at all. If we do not achieve our revenue goals, our results of operations could decline.</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3"/>
          <w:szCs w:val="13"/>
          <w:b w:val="1"/>
          <w:bCs w:val="1"/>
          <w:i w:val="1"/>
          <w:iCs w:val="1"/>
          <w:color w:val="auto"/>
        </w:rPr>
        <w:t>The nature of the design win process requires us to incur significant expenses without any guarantee that research and development and sales efforts will generate revenue, which could adversely affect our financial results.</w:t>
      </w:r>
    </w:p>
    <w:p>
      <w:pPr>
        <w:jc w:val="both"/>
        <w:spacing w:after="0" w:line="235" w:lineRule="auto"/>
        <w:rPr>
          <w:sz w:val="20"/>
          <w:szCs w:val="20"/>
          <w:color w:val="auto"/>
        </w:rPr>
      </w:pPr>
      <w:r>
        <w:rPr>
          <w:rFonts w:ascii="Arial" w:cs="Arial" w:eastAsia="Arial" w:hAnsi="Arial"/>
          <w:sz w:val="13"/>
          <w:szCs w:val="13"/>
          <w:color w:val="auto"/>
        </w:rPr>
        <w:t xml:space="preserve">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w:t>
      </w:r>
      <w:r>
        <w:rPr>
          <w:rFonts w:ascii="Arial" w:cs="Arial" w:eastAsia="Arial" w:hAnsi="Arial"/>
          <w:sz w:val="14"/>
          <w:szCs w:val="14"/>
          <w:color w:val="auto"/>
        </w:rPr>
        <w:t>and anticipate that for our newer products, we are and will remain highly dependent on revenue from newer design wins. Failure to achieve initial design wins may</w:t>
      </w:r>
      <w:r>
        <w:rPr>
          <w:rFonts w:ascii="Arial" w:cs="Arial" w:eastAsia="Arial" w:hAnsi="Arial"/>
          <w:sz w:val="13"/>
          <w:szCs w:val="13"/>
          <w:color w:val="auto"/>
        </w:rPr>
        <w:t xml:space="preserve"> </w:t>
      </w:r>
      <w:r>
        <w:rPr>
          <w:rFonts w:ascii="Arial" w:cs="Arial" w:eastAsia="Arial" w:hAnsi="Arial"/>
          <w:sz w:val="14"/>
          <w:szCs w:val="14"/>
          <w:color w:val="auto"/>
        </w:rPr>
        <w:t>also weaken our position in future competitive selection processes because we may not be perceived as an industry leader</w:t>
      </w:r>
      <w:r>
        <w:rPr>
          <w:rFonts w:ascii="Arial" w:cs="Arial" w:eastAsia="Arial" w:hAnsi="Arial"/>
          <w:sz w:val="13"/>
          <w:szCs w:val="13"/>
          <w:color w:val="auto"/>
        </w:rPr>
        <w:t>.</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271"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spacing w:after="0" w:line="88"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Even if we succeed in securing design wins for our IP interconnect and other solutions and our IP deployment solutions, we may not generate timely or sufficient margins or margins from those wins and our financial results could suffer.</w:t>
      </w:r>
    </w:p>
    <w:p>
      <w:pPr>
        <w:spacing w:after="0" w:line="8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spacing w:after="0" w:line="265" w:lineRule="exact"/>
        <w:rPr>
          <w:sz w:val="20"/>
          <w:szCs w:val="20"/>
          <w:color w:val="auto"/>
        </w:rPr>
      </w:pPr>
    </w:p>
    <w:p>
      <w:pPr>
        <w:ind w:left="640" w:hanging="253"/>
        <w:spacing w:after="0"/>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Changing customer requirements, resulting in an extended development cycle for the product.</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Delay in the ramp-up of volume production of the customer’s products into which our solutions are designed.</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Delay or cancellation of the customer’s product development plans.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Competitive pressures to reduce our selling price for the customer’s end-product.</w:t>
      </w:r>
    </w:p>
    <w:p>
      <w:pPr>
        <w:spacing w:after="0" w:line="52"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Lower than expected acceptance of the customers’ end-products.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spacing w:after="0" w:line="88"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We continually pursue new IP interconnect and other solutions and IP deployment technology initiatives, and if we fail to successfully carry out these initiatives, our business could be harmed.</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As part of the evolution of our business, we have made substantial investments to develop IP interconnect and other solutions, IP deployment software solutions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AI/ML market, 5G and wireless communications market, large scale cloud and data center market and consumer electronics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IP deployment solutions in a timely and cost-effective manner, or if we fail to introduce new technologies that meet market demand, we may lose our competitive position, our products may become obsolete, and our business could be harmed.</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Additionally, from time to time, we invest in expansion into adjacent markets, including our recent acquisition of Magillem and our entry into the IP deployment solutions market. Although we believe these solutions are complementary to our IP interconnect solutions, we have less experience and a more limited operating history in offering software that, among other things, manages register configurations of IP blocks, assembles multiple IP blocks into SoC platforms and links design parameters and metadata to documentation, and our efforts in this area may not be successful. Our success in these new markets depends on a variety of factors, including the following:</w:t>
      </w:r>
    </w:p>
    <w:p>
      <w:pPr>
        <w:spacing w:after="0" w:line="114" w:lineRule="exact"/>
        <w:rPr>
          <w:sz w:val="20"/>
          <w:szCs w:val="20"/>
          <w:color w:val="auto"/>
        </w:rPr>
      </w:pPr>
    </w:p>
    <w:p>
      <w:pPr>
        <w:ind w:left="640" w:hanging="253"/>
        <w:spacing w:after="0"/>
        <w:tabs>
          <w:tab w:leader="none" w:pos="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ability to attract a new customer base, including in industries in which we have less experience.</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successful development of new sales and marketing strategies to meet customer requirements.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ability to accurately predict, prepare for, and promptly respond to technological developments in new fields.</w:t>
      </w:r>
    </w:p>
    <w:p>
      <w:pPr>
        <w:spacing w:after="0" w:line="52" w:lineRule="exact"/>
        <w:rPr>
          <w:rFonts w:ascii="Arial" w:cs="Arial" w:eastAsia="Arial" w:hAnsi="Arial"/>
          <w:sz w:val="13"/>
          <w:szCs w:val="13"/>
          <w:color w:val="auto"/>
        </w:rPr>
      </w:pPr>
    </w:p>
    <w:p>
      <w:pPr>
        <w:jc w:val="both"/>
        <w:ind w:left="640" w:hanging="253"/>
        <w:spacing w:after="0" w:line="273" w:lineRule="auto"/>
        <w:tabs>
          <w:tab w:leader="none" w:pos="647"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ability to compete with new and existing competitors in these new industries, many of which may have more financial resources, industry experience, brand recognition, relevant IP rights, and/or more established customer relationships than we currently do, and they could include free and open-source solutions that provide similar IP deployment solutions.</w:t>
      </w:r>
    </w:p>
    <w:p>
      <w:pPr>
        <w:spacing w:after="0" w:line="179" w:lineRule="exact"/>
        <w:rPr>
          <w:rFonts w:ascii="Arial" w:cs="Arial" w:eastAsia="Arial" w:hAnsi="Arial"/>
          <w:sz w:val="13"/>
          <w:szCs w:val="13"/>
          <w:color w:val="auto"/>
        </w:rPr>
      </w:pPr>
    </w:p>
    <w:p>
      <w:pPr>
        <w:ind w:left="640" w:hanging="253"/>
        <w:spacing w:after="0"/>
        <w:tabs>
          <w:tab w:leader="none" w:pos="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ability to skillfully balance our investment in adjacent markets with investment in our existing products and services.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ability to attract and retain employees with expertise in new or emerging fields affecting our business.</w:t>
      </w:r>
    </w:p>
    <w:p>
      <w:pPr>
        <w:spacing w:after="0" w:line="13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Difficulties in any of our new product development efforts or our efforts to enter adjacent markets, including delays or disruptions due to factors outside of our control such as any adverse impact resulting from the COVID-19 pandemic, could harm our business.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have to invest more resources in research and development than anticipated, which could increase our operating expenses and negatively affect our operating results.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currently devote substantial resources to the research and development of new and enhanced interconnect IP and IP deployment 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increase in the foreseeable future as our technology development efforts continue, and there can be no guarantee that our research and development investments will result in products that create additional revenue.</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We may also decide to increase our research and development investment to seize customer or market opportunities, which could negatively impact our financial results.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We are also faced with hiring constraints, including for hiring engineering resources.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Product errors or defects could expose us to liability and harm our reputation and we could lose market share.</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IP deployment solutions, could delay the development or release of new solutions or new versions and could adversely affect market acceptance or perception of our technology. In addition, any allegations of manufacturability issues resulting from use of our IP interconnect and other solutions or semiconductor design efficiency issues resulting from our IP deployment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offer high-quality support, our reputation could suffer.</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Interconnect IP technology is complex, and our customer support is critical for the successful deployment of our IP in our customers’ designs, and we have 30 corporate and field application engineers in our global support organization. High-quality support is important for customer retention, and the importance of our support function will increase as we expand our business and pursue new customers. If we do not help our customers quickly resolve issues and provide effective ongoing support, our ability to maintain and expand our offerings to existing and new customers could suffer, and our reputation with existing or potential customers could suffer.</w:t>
      </w:r>
    </w:p>
    <w:p>
      <w:pPr>
        <w:spacing w:after="0" w:line="98"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For 2021 and 2020, 56.9% and 67.1%, respectively, of our revenue was derived from sales to customers outside of the United States. In particular, we derived 27.1% and 44.9% of our revenue in 2021 and 2020, respectively,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China, South Korea and Japan. Moreover, conducting business outside the United States subjects us to a number of additional risks and challenges, including:</w:t>
      </w:r>
    </w:p>
    <w:p>
      <w:pPr>
        <w:spacing w:after="0" w:line="113" w:lineRule="exact"/>
        <w:rPr>
          <w:sz w:val="20"/>
          <w:szCs w:val="20"/>
          <w:color w:val="auto"/>
        </w:rPr>
      </w:pPr>
    </w:p>
    <w:p>
      <w:pPr>
        <w:ind w:left="640" w:hanging="253"/>
        <w:spacing w:after="0"/>
        <w:tabs>
          <w:tab w:leader="none" w:pos="6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a specific country’s or region’s political, regulatory or economic conditions.</w:t>
      </w:r>
    </w:p>
    <w:p>
      <w:pPr>
        <w:spacing w:after="0" w:line="52"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20"/>
        </w:numPr>
        <w:rPr>
          <w:rFonts w:ascii="Arial" w:cs="Arial" w:eastAsia="Arial" w:hAnsi="Arial"/>
          <w:sz w:val="13"/>
          <w:szCs w:val="13"/>
          <w:color w:val="auto"/>
        </w:rPr>
      </w:pPr>
      <w:r>
        <w:rPr>
          <w:rFonts w:ascii="Arial" w:cs="Arial" w:eastAsia="Arial" w:hAnsi="Arial"/>
          <w:sz w:val="13"/>
          <w:szCs w:val="13"/>
          <w:color w:val="auto"/>
        </w:rPr>
        <w:t>A pandemic, epidemic or other outbreak of an infectious disease, including the current COVID-19 pandemic, which may cause us or our distributors, vendors and/or customers to temporarily suspend our or their respective operations in the affected city or country or completely.</w:t>
      </w:r>
    </w:p>
    <w:p>
      <w:pPr>
        <w:spacing w:after="0" w:line="19" w:lineRule="exact"/>
        <w:rPr>
          <w:rFonts w:ascii="Arial" w:cs="Arial" w:eastAsia="Arial" w:hAnsi="Arial"/>
          <w:sz w:val="13"/>
          <w:szCs w:val="13"/>
          <w:color w:val="auto"/>
        </w:rPr>
      </w:pPr>
    </w:p>
    <w:p>
      <w:pPr>
        <w:jc w:val="both"/>
        <w:ind w:left="640" w:hanging="253"/>
        <w:spacing w:after="0" w:line="265" w:lineRule="auto"/>
        <w:tabs>
          <w:tab w:leader="none" w:pos="636"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Compliance with a wide variety of domestic and foreign laws and regulations (including those of municipalities or provinces where we have operations) and unexpected changes in those laws and regulatory requirements, including uncertainties regarding taxes, social insurance contributions and other payroll taxes and fees to governmental entities, tariffs, quotas, export controls, export licenses and other trade barriers.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ind w:left="640" w:hanging="253"/>
        <w:spacing w:after="0" w:line="274" w:lineRule="auto"/>
        <w:tabs>
          <w:tab w:leader="none" w:pos="657" w:val="left"/>
        </w:tabs>
        <w:numPr>
          <w:ilvl w:val="0"/>
          <w:numId w:val="21"/>
        </w:numPr>
        <w:rPr>
          <w:rFonts w:ascii="Arial" w:cs="Arial" w:eastAsia="Arial" w:hAnsi="Arial"/>
          <w:sz w:val="13"/>
          <w:szCs w:val="13"/>
          <w:color w:val="auto"/>
        </w:rPr>
      </w:pPr>
      <w:r>
        <w:rPr>
          <w:rFonts w:ascii="Arial" w:cs="Arial" w:eastAsia="Arial" w:hAnsi="Arial"/>
          <w:sz w:val="13"/>
          <w:szCs w:val="13"/>
          <w:color w:val="auto"/>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Imposition of tariffs and other barriers and restrictions, including trade tensions such as U.S.-China trade tensions.</w:t>
      </w:r>
    </w:p>
    <w:p>
      <w:pPr>
        <w:spacing w:after="0" w:line="52"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21"/>
        </w:numPr>
        <w:rPr>
          <w:rFonts w:ascii="Arial" w:cs="Arial" w:eastAsia="Arial" w:hAnsi="Arial"/>
          <w:sz w:val="13"/>
          <w:szCs w:val="13"/>
          <w:color w:val="auto"/>
        </w:rPr>
      </w:pPr>
      <w:r>
        <w:rPr>
          <w:rFonts w:ascii="Arial" w:cs="Arial" w:eastAsia="Arial" w:hAnsi="Arial"/>
          <w:sz w:val="13"/>
          <w:szCs w:val="13"/>
          <w:color w:val="auto"/>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Difficulties and costs of staffing and managing international operations across different geographic areas, time zones and cultures.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Changes in diplomatic and trade relationships.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Potential political, legal and economic instability, armed conflict, and civil unrest in the countries in which we and our customers are located.</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Difficulty and costs of maintaining effective data security.</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Inadequate protection of our IP.</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Nationalization and expropriation.</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Restrictions on the transfer of funds to and from foreign countries, including withholding taxes and other potentially negative tax consequences.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Unfavorable and/or changing foreign tax treaties and policies.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Increased exposure to general market and economic conditions outside of the United States.</w:t>
      </w:r>
    </w:p>
    <w:p>
      <w:pPr>
        <w:spacing w:after="0" w:line="52" w:lineRule="exact"/>
        <w:rPr>
          <w:rFonts w:ascii="Arial" w:cs="Arial" w:eastAsia="Arial" w:hAnsi="Arial"/>
          <w:sz w:val="13"/>
          <w:szCs w:val="13"/>
          <w:color w:val="auto"/>
        </w:rPr>
      </w:pPr>
    </w:p>
    <w:p>
      <w:pPr>
        <w:ind w:left="640" w:hanging="253"/>
        <w:spacing w:after="0" w:line="257" w:lineRule="auto"/>
        <w:tabs>
          <w:tab w:leader="none" w:pos="636" w:val="left"/>
        </w:tabs>
        <w:numPr>
          <w:ilvl w:val="0"/>
          <w:numId w:val="21"/>
        </w:numPr>
        <w:rPr>
          <w:rFonts w:ascii="Arial" w:cs="Arial" w:eastAsia="Arial" w:hAnsi="Arial"/>
          <w:sz w:val="13"/>
          <w:szCs w:val="13"/>
          <w:color w:val="auto"/>
        </w:rPr>
      </w:pPr>
      <w:r>
        <w:rPr>
          <w:rFonts w:ascii="Arial" w:cs="Arial" w:eastAsia="Arial" w:hAnsi="Arial"/>
          <w:sz w:val="13"/>
          <w:szCs w:val="13"/>
          <w:color w:val="auto"/>
        </w:rPr>
        <w:t>Currency exchange rate fluctuations and the resulting effect on our revenue and expenses, and the cost and risk of entering into hedging transactions if we chose to do so in the future.</w:t>
      </w:r>
    </w:p>
    <w:p>
      <w:pPr>
        <w:spacing w:after="0" w:line="200"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Increased regulatory uncertainties with respect to our wholly foreign-owned enterprise operating in China and any joint ventures we may form or contribute IP or other resources to in the future.</w:t>
      </w:r>
    </w:p>
    <w:p>
      <w:pPr>
        <w:spacing w:after="0" w:line="19" w:lineRule="exact"/>
        <w:rPr>
          <w:rFonts w:ascii="Arial" w:cs="Arial" w:eastAsia="Arial" w:hAnsi="Arial"/>
          <w:sz w:val="13"/>
          <w:szCs w:val="13"/>
          <w:color w:val="auto"/>
        </w:rPr>
      </w:pPr>
    </w:p>
    <w:p>
      <w:pPr>
        <w:jc w:val="both"/>
        <w:ind w:left="640" w:hanging="253"/>
        <w:spacing w:after="0" w:line="265" w:lineRule="auto"/>
        <w:tabs>
          <w:tab w:leader="none" w:pos="647" w:val="left"/>
        </w:tabs>
        <w:numPr>
          <w:ilvl w:val="0"/>
          <w:numId w:val="21"/>
        </w:numPr>
        <w:rPr>
          <w:rFonts w:ascii="Arial" w:cs="Arial" w:eastAsia="Arial" w:hAnsi="Arial"/>
          <w:sz w:val="13"/>
          <w:szCs w:val="13"/>
          <w:color w:val="auto"/>
        </w:rPr>
      </w:pPr>
      <w:r>
        <w:rPr>
          <w:rFonts w:ascii="Arial" w:cs="Arial" w:eastAsia="Arial" w:hAnsi="Arial"/>
          <w:sz w:val="13"/>
          <w:szCs w:val="13"/>
          <w:color w:val="auto"/>
        </w:rPr>
        <w:t>Trends such as global and regional inflation, supply shortages and supply chain disruptions, geopolitical conflicts and retaliatory actions and regulations affecting or relating to regions such as but not limited to Ukraine, Russia, Eastern Europe or in the Greater China region, may lead to the deterioration of our immediate customers’ and/or end market customers’ ability and/or willingness to purchase, use, develop, market or sell products or solutions that incorporate or are made while using our products.</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These factors, individually or in combination, could impair our ability to effectively operate one or more of our foreign facilities or deliver our semiconductor IP or IP deployment solutions, result in unexpected and material expenses, or cause an unexpected decline in the demand for our products in certain countries or regions. For example, one formerly substantial royalty customer became unable to source a key material in 2020 as a result of the trade disputes between the United States and China, and consequently shipment volumes of products containing our interconnect IP have been significantly lower, adversely affecting our royalty revenue. Our failure to manage the risks and challenges associated with our international business and operations could harm our business.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Downturns or volatility in general economic conditions, including as a result of the current COVID-19 pandemic or any other outbreak of an infectious disease, could harm our business.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Our revenue, gross margin, and ability to achieve and maintain profitability depend significantly on general economic conditions and the demand for products in the markets in which our customers compete. Weaknesses in the global economy and financial markets, including the current weaknesses resulting from the ongoing COVID-19 pandemic,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AI/ML market, 5G and wireless communications market, large scale cloud and data center market and consumer electronics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any disruption in the credit markets, including as a result of the current COVID-19 pandemic, could impede our access to capital. If we have limited access to additional financing sources, we may be required to defer capital expenditures or seek other sources of liquidity, which may not be available to us on acceptable terms or at all. All of these factors related to global economic conditions, which are beyond our control, could harm our business. For a more detailed discussion of the COVID-19 pandemic and its recent and potential impact on our business, see “—Our business has been, and may continue to be, adversely affected by health epidemics, pandemics and other outbreaks of infectious disease, including the current COVID-19 pandemic.”</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cyclical nature of the semiconductor industry may limit our ability to maintain or improve our revenue.</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We have experienced downturns in the past and may experience such downturns in the future. For example, the industry experienced a significant downtown in connection with the most recent global recession in 2008, and further experienced a downturn in 2020, which may be prolonged as a result of the economic impact of the COVID-19 pandemic. These downturns have been characterized by diminished product demand, production overcapacity, high inventory levels and accelerated erosion of average selling prices. Recently, downturns in the semiconductor industry have been attributed to a variety of factors, including the current COVID-19 pandemic, ongoing trade disputes among the United States and China, weakness in demand and pricing for semiconductors across applications and excess inventory. Recent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spacing w:after="0" w:line="100"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Our revenue has been concentrated among a small number of licensees and customers, and if we lose any of these customers and fail to replace them, our revenue may decrease substantially.</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A significant amount of our revenue is derived from a limited number of customers. In 2021 and 2020, sales to Intel Corporation accounted for 22.8% and 15.3%, respectively, and sales to SZ DJI Technology Co., Ltd. accounted for nil and 24.7%, respectively, of our revenue. We expect that a relatively small number of customers will continue to account for a substantial portion of our revenue for the foreseeable future.</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effectively expand our sales and marketing capabilities could harm our ability to increase our customer base and achieve broader market acceptance of our products.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98"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We experience a strong seasonality in sales in the fourth calendar quarter of the year. As a result, our results of operations are subject to substantial quarterly fluctuations, which may seriously harm our business.</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have experienced, and expect to continue to experience, seasonal fluctuations in sales due to the spending patterns of semiconductor customers who license our products. Typically, the number of total new license agreements we enter into have generally been lowest in the first and second calendar quarters. We expect these seasonality trends to continue. As a result, revenue recognized from our total new license agreements are subject to seasonal fluctuations, which may seriously harm our business.</w:t>
      </w:r>
    </w:p>
    <w:p>
      <w:pPr>
        <w:spacing w:after="0" w:line="94"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Substantial portions of our sales are made, and we anticipate will be made, to consumer, automotive, network, AI/ML, large-scale cloud and data center, and other industry suppliers. Any downturn in any of these the markets could significantly harm our business.</w:t>
      </w:r>
    </w:p>
    <w:p>
      <w:pPr>
        <w:spacing w:after="0" w:line="8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Of our annual contract value at December 31, 2021, 32% was derived from customers supplying to the consumer industry, 15% was to customers that supply various systems and components to the automotive industry, 18% was to customers in the AI/ML industry and 13% was to customers supplying large scale cloud and data center customers.</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Each of these sectors is subject to specific market risks. The consumer sector, for example, is subject to changes in end consumer spending patterns, technology developments and general economic conditions.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are also exposed to the risks associated with the automotive market. For example, our anticipated future growth is highly dependent on the adoption of autonomous driving technologies, which are expected to have increased sensor and power product content. A downturn in the automotive market could delay automakers’ plans to introduce new vehicles with these features, which would negatively impact the demand for our products and our ability to grow our business.</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spacing w:after="0" w:line="265"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Moreover, as a result of the COVID-19 pandemic and the associated responses by governments of various countries to prevent its spread, the automotive industry, including manufacturers, dealers, distributors and third-party suppliers have been adversely impacted. For example, many automotive manufacturers were forced to suspend manufacturing operations and may be required to do so again. In addition, government-imposed restrictions on businesses, operations and travel and the related economic uncertainty have impacted demand in many global markets. While demand in the automotive industry is dependent on a number of factors, automotive manufacturers expect the impact of COVID-19 to be highly dependent on its duration and severity. The foregoing impacts and other adverse effects on the automotive industry could harm our business, as well as our ability to execute our growth strategy.</w:t>
      </w:r>
    </w:p>
    <w:p>
      <w:pPr>
        <w:spacing w:after="0" w:line="97"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Our business has been, and may continue to be, adversely affected by health epidemics, pandemics and other outbreaks of infectious disease, including the current COVID-19 pandemic.</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customers, end users of our products, and our and their respective vendors, suppliers and other business partners. Any of these public health threats and related consequences could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5" w:lineRule="exact"/>
        <w:rPr>
          <w:sz w:val="20"/>
          <w:szCs w:val="20"/>
          <w:color w:val="auto"/>
        </w:rPr>
      </w:pPr>
    </w:p>
    <w:p>
      <w:pPr>
        <w:jc w:val="both"/>
        <w:spacing w:after="0"/>
        <w:rPr>
          <w:sz w:val="20"/>
          <w:szCs w:val="20"/>
          <w:color w:val="auto"/>
        </w:rPr>
      </w:pPr>
      <w:r>
        <w:rPr>
          <w:rFonts w:ascii="Arial" w:cs="Arial" w:eastAsia="Arial" w:hAnsi="Arial"/>
          <w:sz w:val="13"/>
          <w:szCs w:val="13"/>
          <w:color w:val="auto"/>
        </w:rPr>
        <w:t>COVID-19, a potentially deadly respiratory tract infection caused by the SARS-CoV-2 virus, and its variants, has spread rapidly and enveloped most of the world, causing a global public health crisis. On March 11, 2020, the COVID-19 outbreak was declared a pandemic by the World Health Organization. The pandemic resulted in national and local governments in affected countries around the world implementing increasingly stringent measures to help control the spread of the virus, including quarantines and other emergency public health measures and substantial lockdown measures. Vaccine resistance, coupled with the emergence of fast-spreading variants and the potential waning effectiveness of vaccines, have introduced renewed uncertainty into whether additional measures will be implemented to combat the spread of COVID-19. There is considerable uncertainty regarding such measures and potential future measures. The measures implemented by various authorities in response to the COVID-19 pandemic have caused us to change our business practices, including those related to where employees work, the distance between employees in our facilities, limitations on in-person meetings between employees and with customers, potential customers, suppliers, service providers and stakeholders, as well as restrictions on business travel to domestic and international locations and to attend trade shows, technical conferences and other events. These restrictions have had, and future prevention and mitigation measures are also likely to have, an adverse impact on global economic conditions, which could further affect our operations. The considerable uncertainty regarding the economic impact of the COVID-19 pandemic is likely to result in sustained market turmoil, which could also harm our business.</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These current and potential future measures that could restrict access to our facilities, limit support operations and place restrictions on our workforce, suppliers and other business partners have impacted and may further impact our workforce and operations, the operations of our customers and end users of our products, and those of our respective vendors, suppliers and other business partners. The disruptions to our operations caused by the COVID-19 pandemic may result in inefficiencies, delays and additional costs in our product development, sales, marketing, and customer service efforts that we cannot fully mitigate through remote or other alternative work arrangements. In addition, the severe global economic disruption, including recession, depression or other sustained adverse market impact caused by the COVID-19 pandemic, may cause our customers and end-users of our products to suffer significant economic hardship and potentially even go out of business, which could result in decreased demand for our products and harm our business. To the extent that the COVID-19 pandemic harms our business, it may also heighten many of the other risks discussed in this report. For instance, if the business impacts of the COVID-19 pandemic continue for an extended period, it could cause us to recognize impairments for goodwill and certain long-lived assets including amortizable intangible assets.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impact of the COVID-19 pandemic continues to evolve and its duration and ultimate disruption to our business and the businesses of our customers and end-users, the overall demand for our products and the related financial impact to us, as well as any similar disruptions that may result from any future pandemic, epidemic or other outbreak of infectious disease, will depend on future developments, which are highly uncertain and cannot be predicted, including, but not limited to, the duration and spread of the pandemic, its severity, the effectiveness of actions to contain the virus or treat its impact and how quickly and to what extent normal economic and operating conditions can resume, among others. The longer any such disruption continues, however, the more severe and adverse we would expect the effect to be on our business. Even after the COVID-19 pandemic has lessened or subsided, we may continue to experience harm to our business as a result of its global economic impact. As new information regarding the COVID-19 pandemic continues to emerge, it is difficult to predict the full extent to which the disease adversely impacts our financial performance. Additionally, weaker economic conditions generally could result in impairment in value of our tangible or intangible assets and our ability to raise additional capital, if needed.</w:t>
      </w:r>
    </w:p>
    <w:p>
      <w:pPr>
        <w:spacing w:after="0" w:line="260"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We received a Paycheck Protection Program loan, and our application for the PPP Loan could in the future be determined to have been impermissible or could result in damage to our reputation.</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In April 2020, we applied for and received an unsecured $1.6 million loan under the Paycheck Protection Program (the “PPP Loan”). In December 2020, the PPP Loan was forgiven in full. The Paycheck Protection Program was established under the Coronavirus Aid, Relief, and Economic Security Act (the “CARES Act”), and is administered by the U.S. Small Business Administration (the “SBA”).</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Our receipt of the PPP Loan or the forgiveness of the PPP Loan could result in adverse publicity. In addition, if we are later determined to have been ineligible to receive the PPP Loan or loan forgiveness, we may be subject to significant penalties, including significant civil, criminal and administrative penalties, we could be required to repay the PPP Loan in its entirety, and our reputation could suffer. A review or audit by the SBA or other government entity or claims under the U.S. False Claims Act could consume significant financial and management resources.</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significant portion of our revenue comes from licensing fees, which may vary period to period.</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License agreements for our interconnect IP are generally treated as ratable revenue, with revenue being recognized evenly over the license term. However, certain license agreements for our IP interconnect solutions are recognized as point in time revenue, including one agreement resulting in our recognizing revenue of $7.4 million in 2020.</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Additionally, the majority of software license agreements for our IP deployment solutions are generally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vary significantly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quality, breadth and depth of our current and future IP interconnect and other solutions as well as our sales and marketing skills. Our failure to obtain future licensing customers would impede our future revenue growth and could materially harm our business.</w:t>
      </w:r>
    </w:p>
    <w:p>
      <w:pPr>
        <w:spacing w:after="0" w:line="11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Royalty rates could decrease for existing and future license agreements, which could materially adversely affect our operating results.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Royalty payments to us under existing and future license agreements could be lower than currently anticipated for a variety of reasons. Average selling prices for semiconductor products generally decrease over time during the lifespan of a product.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use of our technology could decrease with new or renewed customers, thereby decreasing future anticipated revenue and cash flow. Royalty revenue was 7.0% and 10.9% of our revenue for 2021 and 2020, respectively. Therefore, a significant decrease in our royalty revenue could materially adversely affect our operating results.</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Moreover, royalty rates may be negatively affected by macroeconomic trends, including from global semiconductor supply chain issues (including from shortages in the availability of the supply of chips in several semiconductor sectors and applications), the recent COVID-19 pandemic and its world effects and changes in products mix. Furthermore, consolidation among our customers may increase the leverage of our existing customers to extract concessions from us in royalty rates.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Changing currency exchange rates could harm our business.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 the impact to our consolidated statements of operations could be significant and may affect the comparability of operating results. The impact from foreign currency transactions during 2021 and 2020 was approximately $0.6 million and insignificant, respectively.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spacing w:after="0" w:line="11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 particular, in light of the military conflict between Russia and Ukraine and the resulting tensions between the European Union, other European countries, as well as the United States, with Russia, any resulting material change to the valuation of the Euro relative to the U.S. dollar could adversely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We have made acquisitions and in the future expect to pursue acquisitions of and investments in new businesses, products or technologies, joint ventures and other strategic transactions that involve numerous risks and could disrupt and harm our business.</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As part of our business strategy, we make acquisitions of and investments in new businesses, such as our acquisition of Magillem,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even if we are able to consummate acquisitions and enter into joint ventures and other strategic relationships, these transactions and relationships, including our acquisition of Magillem, present a number of potential risks and challenges that could, if not met, disrupt our business operations, increase our operating costs, negatively affect our growth rate and the trading price of our common stock, and may harm our business. In addition, our Magillem acquisition as well as any acquisition, investment, joint venture or other strategic transaction we may enter into in the future, involve a number of additional financial, accounting, managerial, operational, legal, regulatory and other risks, which may include, among others:</w:t>
      </w:r>
    </w:p>
    <w:p>
      <w:pPr>
        <w:spacing w:after="0" w:line="114" w:lineRule="exact"/>
        <w:rPr>
          <w:sz w:val="20"/>
          <w:szCs w:val="20"/>
          <w:color w:val="auto"/>
        </w:rPr>
      </w:pPr>
    </w:p>
    <w:p>
      <w:pPr>
        <w:ind w:left="640" w:hanging="253"/>
        <w:spacing w:after="0" w:line="274" w:lineRule="auto"/>
        <w:tabs>
          <w:tab w:leader="none" w:pos="636"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spacing w:after="0" w:line="19" w:lineRule="exact"/>
        <w:rPr>
          <w:rFonts w:ascii="Arial" w:cs="Arial" w:eastAsia="Arial" w:hAnsi="Arial"/>
          <w:sz w:val="13"/>
          <w:szCs w:val="13"/>
          <w:color w:val="auto"/>
        </w:rPr>
      </w:pPr>
    </w:p>
    <w:p>
      <w:pPr>
        <w:jc w:val="both"/>
        <w:ind w:left="640" w:hanging="253"/>
        <w:spacing w:after="0" w:line="265" w:lineRule="auto"/>
        <w:tabs>
          <w:tab w:leader="none" w:pos="636"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spacing w:after="0" w:line="24"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22"/>
        </w:numPr>
        <w:rPr>
          <w:rFonts w:ascii="Arial" w:cs="Arial" w:eastAsia="Arial" w:hAnsi="Arial"/>
          <w:sz w:val="13"/>
          <w:szCs w:val="13"/>
          <w:color w:val="auto"/>
        </w:rPr>
      </w:pPr>
      <w:r>
        <w:rPr>
          <w:rFonts w:ascii="Arial" w:cs="Arial" w:eastAsia="Arial" w:hAnsi="Arial"/>
          <w:sz w:val="13"/>
          <w:szCs w:val="13"/>
          <w:color w:val="auto"/>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Pre-closing and post-closing earnings charges could adversely impact operating results in any given period, and the impact may be substantially different from period to period.</w:t>
      </w:r>
    </w:p>
    <w:p>
      <w:pPr>
        <w:spacing w:after="0" w:line="52"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22"/>
        </w:numPr>
        <w:rPr>
          <w:rFonts w:ascii="Arial" w:cs="Arial" w:eastAsia="Arial" w:hAnsi="Arial"/>
          <w:sz w:val="13"/>
          <w:szCs w:val="13"/>
          <w:color w:val="auto"/>
        </w:rPr>
      </w:pPr>
      <w:r>
        <w:rPr>
          <w:rFonts w:ascii="Arial" w:cs="Arial" w:eastAsia="Arial" w:hAnsi="Arial"/>
          <w:sz w:val="13"/>
          <w:szCs w:val="13"/>
          <w:color w:val="auto"/>
        </w:rPr>
        <w:t>Acquisitions, joint ventures and other strategic relationships could create demands on our management, operational resources and financial and internal control systems that we are unable to effectively address.</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could experience difficulty in integrating personnel, operations and financial and other controls and systems and retaining key employees and customers.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be unable to achieve cost savings or other synergies anticipated in connection with an acquisition, joint venture or other strategic relationship.</w:t>
      </w:r>
    </w:p>
    <w:p>
      <w:pPr>
        <w:spacing w:after="0" w:line="52" w:lineRule="exact"/>
        <w:rPr>
          <w:rFonts w:ascii="Arial" w:cs="Arial" w:eastAsia="Arial" w:hAnsi="Arial"/>
          <w:sz w:val="13"/>
          <w:szCs w:val="13"/>
          <w:color w:val="auto"/>
        </w:rPr>
      </w:pPr>
    </w:p>
    <w:p>
      <w:pPr>
        <w:jc w:val="both"/>
        <w:ind w:left="640" w:hanging="253"/>
        <w:spacing w:after="0" w:line="265" w:lineRule="auto"/>
        <w:tabs>
          <w:tab w:leader="none" w:pos="636"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24" w:lineRule="exact"/>
        <w:rPr>
          <w:rFonts w:ascii="Arial" w:cs="Arial" w:eastAsia="Arial" w:hAnsi="Arial"/>
          <w:sz w:val="13"/>
          <w:szCs w:val="13"/>
          <w:color w:val="auto"/>
        </w:rPr>
      </w:pPr>
    </w:p>
    <w:p>
      <w:pPr>
        <w:ind w:left="640" w:hanging="253"/>
        <w:spacing w:after="0" w:line="274" w:lineRule="auto"/>
        <w:tabs>
          <w:tab w:leader="none" w:pos="668"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 connection with acquisitions and joint ventures, we often enter into post-closing financial arrangements such as purchase price adjustments, earn-out obligations and indemnification obligations, which may have unpredictable financial results.</w:t>
      </w:r>
    </w:p>
    <w:p>
      <w:pPr>
        <w:spacing w:after="0" w:line="19"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22"/>
        </w:numPr>
        <w:rPr>
          <w:rFonts w:ascii="Arial" w:cs="Arial" w:eastAsia="Arial" w:hAnsi="Arial"/>
          <w:sz w:val="13"/>
          <w:szCs w:val="13"/>
          <w:color w:val="auto"/>
        </w:rPr>
      </w:pPr>
      <w:r>
        <w:rPr>
          <w:rFonts w:ascii="Arial" w:cs="Arial" w:eastAsia="Arial" w:hAnsi="Arial"/>
          <w:sz w:val="13"/>
          <w:szCs w:val="13"/>
          <w:color w:val="auto"/>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spacing w:after="0" w:line="19"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have interests that diverge from those of our joint venture partners or other strategic partners and we may not be able to direct the management and operations of the joint venture or other strategic relationship in the manner we believe is most appropriate, exposing us to additional risk.</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ind w:left="640" w:hanging="253"/>
        <w:spacing w:after="0" w:line="274" w:lineRule="auto"/>
        <w:tabs>
          <w:tab w:leader="none" w:pos="636"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Furthermore, potential acquisitions, investments, joint ventures and other strategic transactions, whether or not consummated, may divert our management’s attention and require considerable cash outlays at the expense of our existing operations. This, and any of the risks set forth above, could harm our business.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raise capital in the future may be limited and could prevent us from executing our growth strategy.</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Our ability to operate and expand our business depends on the availability of adequate capital, which in turn depends on cash flow generated by our business and equity or other applicable financing arrangements. We believe that our cash flow from operations, existing cash, and the net proceeds from our initial public offering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113" w:lineRule="exact"/>
        <w:rPr>
          <w:sz w:val="20"/>
          <w:szCs w:val="20"/>
          <w:color w:val="auto"/>
        </w:rPr>
      </w:pPr>
    </w:p>
    <w:p>
      <w:pPr>
        <w:ind w:left="640" w:hanging="253"/>
        <w:spacing w:after="0"/>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market acceptance of our semiconductor IP and other solutions, and our IP deployment solutions;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need to adapt to changing technologies and technical requirements;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existence of opportunities for expansion; and</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access to and availability of sufficient management, technical, marketing and financial personnel.</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97"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spacing w:after="0" w:line="17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harm our business.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appreciated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management team has limited experience managing a public company.</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Many members of our management team have limited experience managing a publicly-traded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Catastrophic events may disrupt our business.</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 Information Technology and Data Security and Privacy</w:t>
      </w:r>
    </w:p>
    <w:p>
      <w:pPr>
        <w:spacing w:after="0" w:line="134"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If we are unable to protect our proprietary technology and inventions through patents and other IP rights, our ability to compete successfully and our financial results could be adversely impacted.</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seek to protect our proprietary technology and innovations, particularly those relating to the design of our products, through patents, trade secrets and other IP rights. As of December 31, 2021, we had 98 total issued patents, pending patent applications and non-expired provisional patent applications worldwide. Of these, we had 35 issued patents, 34 of which are U.S. issued patents and one is a U.K. issued patent. The 35 issued patents generally expire between 2035 and 2041. As of December 31, 2021, we had 63 pending non-provisional and provisional patent application filings, including 40 in the United States, nine in Europe, eight in China, four in Korea and two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Additionally, it is difficult and costly to monitor the use of our IP. It may be the case that our IP is already being infringed and infringement may occur in the future without our knowledge. Litigation may be necessary to enforce our IP rights. While it is our policy to protect and defend our rights to our IP, we cannot predict whether steps taken by us to enforce and protect our IP rights will be adequate to prevent infringement, misappropriation, or other violations of our IP rights. Any inability to meaningfully enforce our IP rights could harm our ability to compete. Moreover, in any lawsuit we bring to enforce our IP rights, a court may refuse to stop the other party from using the technology at issue on grounds that our IP rights do not cover the technology in question. Further, in such proceedings, the defendant could counterclaim that our IP is invalid or unenforceable and the court may agree, in which case we could lose valuable IP rights. Any litigation of this nature, regardless of outcome or merit, could materially harm our business and hurt our competitive advantage.</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protect our proprietary technology and inventions through trade secrets, our competitive position and financial results could be adversely affected.</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noted above, we seek to protect our proprietary technology and innovations, particularly those relating to our products, as patents, trade secrets and other forms of IP.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compete successfully depends in part on our ability to commercialize our IP solutions without infringing the patent, trade secret or other IP rights of others.</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To the same extent that we seek to protect our technology and inventions with patents, trade secrets and other IP rights, our competitors and other third parties do the same for their technology and inventions. We have no means of knowing the content of patent applications filed by third parties until they are published. It is also difficult and costly to continuously monitor the IP portfolios of our competitors to ensure our technologies do not violate the IP rights of any third parties.</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semiconductor industry is ripe with patent assertion entities and is characterized by frequent litigation regarding patent and other IP rights. From time to time, we receive communications from third parties that allege that our products or technologies infringe their patent or other IP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In the event that any third-party succeeds in asserting a valid claim against us or any of our customers, we could be forced to do one or more of the following:</w:t>
      </w:r>
    </w:p>
    <w:p>
      <w:pPr>
        <w:spacing w:after="0" w:line="114" w:lineRule="exact"/>
        <w:rPr>
          <w:sz w:val="20"/>
          <w:szCs w:val="20"/>
          <w:color w:val="auto"/>
        </w:rPr>
      </w:pPr>
    </w:p>
    <w:p>
      <w:pPr>
        <w:ind w:left="640" w:hanging="253"/>
        <w:spacing w:after="0" w:line="274" w:lineRule="auto"/>
        <w:tabs>
          <w:tab w:leader="none" w:pos="636"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discontinue selling access to certain technologies that contain the allegedly infringing IP which would result in a decline in our revenue and could result in breach of contract claim by our affected customers and damage to our reputation;</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stop receiving payment from a customer that can no longer sell the end-product if it contains allegedly infringing IP;</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seek to develop non-infringing technologies, which may not be feasible;</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incur significant legal expenses;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pay substantial monetary damages to the party whose IP rights we may be found to be infringing; and/or</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we or our customers could be required to seek licenses to the infringed technology that may not be available on commercially reasonable terms, if at all.</w:t>
      </w:r>
    </w:p>
    <w:p>
      <w:pPr>
        <w:spacing w:after="0" w:line="13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If a third-party causes us to discontinue the use of any of our technologies, we could be required to design around those technologies. This could be costly and time consuming and could have an adverse effect on our financial results. Any significant impairments of our IP rights from any litigation we face could harm our business and our ability to compete in our industry.</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able to continue to obtain licenses to third-party software and IP on reasonable terms or at all, which may disrupt our business and harm our financial results.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license third-party software and other IP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IP rights may be licensed to us on a non-exclusive basis, and accordingly, the owners of such IP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Third parties may stop adequately supporting or maintaining their technology, or they or their technology may be acquired by our competitors. If we are unable to obtain licenses to these third-party software and IP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invalidated and or result in fines and other damages. If any of the following were to occur, it could harm our business and our reputation.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also cannot be certain that our licensors are not infringing the IP rights of others or that our licensors have sufficient rights to the IP to grant us the applicable licenses. Although we seek to mitigate this risk contractually, we may not be able to sufficiently limit our potential liability. If we are unable to obtain or maintain rights to any of this IP because of IP infringement claims brought by third parties against our licensors or against us, our ability to develop, maintain and support our products and technology incorporating that IP could be severely limited and our business could be harmed. Furthermore, regardless of outcome, infringement claims may require us to use significant resources and may divert management’s attention.</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Moreover, some open-source software licenses, if applicable, could require users who distribute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open-source software in a certain manner, we could, under certain circumstances, be required to comply with such license terms. Although we have tools and processes to monitor and restrict our use of open-source software, the risks associated with open-source usage may not be eliminated and may, if not properly addressed, result in unanticipated obligations that could harm our business.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dispute regarding our IP may require us to indemnify certain customers, the cost of which could severely harm our business.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any potential dispute involving our patents or other IP, our customers could also become the target of litigation. While we generally do not indemnify our customers, some of our agreements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We have been and in the future may be subject to incidents, disruptions or breaches of our information technology systems that could damage our reputation and our business, expose us to liability and materially and adversely affect our results of operations, potentially irreparably.</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conducting our business, we routinely collect and store sensitive data, including proprietary technology and information about our business and our customers, suppliers and business partners, including our customers’ proprietary chip design architecture information, personal information and sensitive information owned by our customers. The secure processing, maintenance and transmission of this information is critical to our operations and business strategy. Increasingly, companies are subject to a wide variety of attacks on their networks and information technology infrastructure on an ongoing basis. Traditional computer “hackers,” malicious code (such as viruses, and worms), phishing attempts, employee theft or misuse, denial of service attacks, and sophisticated nation-state and nation-state supported actors engage in intrusions and attacks that create risks for our (and our third-party service providers’) products and services, internal networks, infrastructure, and cloud deployed products and the information each stores and processes (such products, services, networks, infrastructure, and cloud resources collectively “Resources”). Although we have implemented security measures to prevent such attacks, our Resources have been and may in the future be breached due to the actions of outside parties, employee error, malfeasance, a combination of these, or otherwise, and as a result, an unauthorized party may obtain access to our Resources. We have been (and our third-party service providers), and may in the future be, subject to such disruptions or security breaches of our secured network caused by caused by computer viruses, ransomware, supply chain attacks and worldwide and/or regional shortages in the availability of chip supply in several semiconductor sectors and applications, illegal hacking, criminal fraud or impersonation, acts of vandalism or terrorism or actions or failure to act by our employees or other with access to our network. For example, in 2019 a customer paid an invoice to a fraudulent third party and such amount could not be recovered. Our security measures, those of our third-party service providers, or our customers may not timely detect or prevent such security breaches. The costs to us to reduce the risk of or alleviate cyber security breaches and vulnerabilities could be significant. Any type of security breach, attack, unauthorized access to or misuse of data, whether experienced by us or an associated third-party, could harm our reputation or deter existing or prospective customers from using our products and applications, increase our operating expenses in order to contain and remediate the incident, expose us to unbudgeted or uninsured liability, disrupt our operations, divert management focus away from other priorities, increase our risk of regulatory scrutiny, result in the imposition of penalties and fines under state, federal and foreign laws or by payment networks and adversely affect our continued payment network registration and financial institution sponsorship. We would also be exposed to a risk of loss or litigation and potential liability under laws, regulations and contracts that protect the privacy and security of personal information. For example, the California Consumer Privacy Act of 2018, or the CCPA, imposes a private right of action for security breaches that could lead to some form of remedy including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We may also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liability to customer claims. Any of the foregoing could irreparably damage our reputation and business, which could have a material adverse effect on our results of operations.</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Further, notifications and follow-up actions related to a security incident could impact our reputation and cause us to incur significant costs, including legal expenses and remediation costs.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we could be exposed to litigation and governmental investigations, the further development and commercialization of our products could be delayed, and we could be subject to significant fines or penalties for any noncompliance with certain state, federal and/or international privacy and security laws.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98"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We are subject to governmental regulation and other legal obligations, particularly related to privacy, data protection and information security, and consumer protection laws across different markets where we conduct our business. Our actual or perceived failure to comply with such obligations could harm our business.</w:t>
      </w:r>
    </w:p>
    <w:p>
      <w:pPr>
        <w:spacing w:after="0" w:line="8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We are subject to a number of legal requirements, contractual obligations and industry standards regarding security, data protection and privacy and any failure to comply with these requirements, obligations or standards could harm our reputation and business. These include the GDPR and applicable United States federal, California and other jurisdictional privacy laws and regulations.</w:t>
      </w:r>
    </w:p>
    <w:p>
      <w:pPr>
        <w:spacing w:after="0" w:line="2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the United States and other jurisdictions in which we operate, we are subject to various privacy, data protection and consumer protection laws and related regulations. If we are found to have breached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As part of our business, we collect information about individuals, also referred to as personal data, and other potentially sensitive and/or regulated data from our customers. Laws and regulations in the United States and around the world restrict how personal information is collected, processed, stored, used and disclosed, as well as set standards for its security, implement notice requirements regarding privacy practices, and provide individuals with certain rights regarding the use, disclosure and sale of their protected personal information.</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the United States, both the federal and various state governments have adopted or are considering, laws, or regulations for the collection, distribution, use and storage of information collected from or about individuals or their devices. A range of enforcement agencies exist at both the state and federal levels that can enforce these laws and regulations. These laws and regulations may apply to our activities, including, for example, state data breach notification laws, state personal data privacy laws, and federal and state consumer protection laws. For example, California enacted the California Consumer Privacy Act (CCPA) which became operative on January 1, 2020 and became enforceable by the California Attorney General on July 1, 2020, along with related regulations which came into force on August 14, 2020. Additionally, although not effective until January 1, 2023, the California Privacy Rights Act, or the CPRA, which expands upon the CCPA, was passed on November 3, 2020. The CCPA requires (and the CPRA will require) covered companies to, among other things, provide new disclosures to California consumers,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Further, Virginia enacted the Virginia Consumer Data Protection Act, or the CDPA, another comprehensive state privacy law, that will also be effective January 1, 2023. Also in 2021, Colorado enacted the Colorado Privacy Act, or the CPA, which goes into effect July 1, 2023. The CCPA, CPRA, CDPA, and CPA may increase our compliance costs and potential liability, particularly in the event of a data breach, and could harm our business, including how we use personal information. A number of other proposals exist for new federal and state privacy legislation that, if passed, could increase our potential liability, increase our compliance costs and harm our business.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Several foreign jurisdictions, including the European Union (EU) and United Kingdom (UK), have laws and regulations which are more restrictive in certain respects than those in the United States. For example, the EU General Data Protection Regulation (EU GDPR) and the UK General Data Protection Regulation and the UK Data Protection Act 2018 (UK GDPR) (collectively, the GDPR) includes stringent operational requirements for the use of personal data. The European and UK regime also includes laws which, among other things, require EU member states and the UK to regulate marketing by electronic means and the use of cookies and similar technologies. The GDPR has resulted in, and will continue to result in, significant compliance burdens and costs for companies with customers and/or operations in the European Union and the UK. The GDPR, and national implementing legislation in each member state, imposes a strict data protection compliance regime including: providing detailed disclosures about how personal data is collected and processed; demonstrating that an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defining for the first time pseudonymized (i.e., key-coded) data; imposing limitations on retention of personal data; maintaining a record of data processing; and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are also subject to European Union rules with respect to cross-border transfers of personal data out of the European Economic Area (EEA) and the UK. Recent legal developments in Europe have created complexity and uncertainty regarding transfers of personal data from the EEA and the UK to the United States. Most recently, on July 16, 2020, the Court of Justice of the European Union (CJEU) invalidated the EU-US Privacy Shield Framework (Privacy Shield)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and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In addition, the European Commission has published revised standard contractual clauses for data transfers from the EEA: the revised clauses must be used for relevant new data transfers from September 27, 2021; existing standard contractual clauses arrangements must be migrated to the revised clauses by December 27, 2022. We will be required to implement the revised applicable standard contractual clauses within the relevant time frames. In addition, the UK’s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We will be required to implement the latest UK data transfer documentation for data transfers subject to the UK GDPR, within the relevant time frames. These recent developments may require us to review and amend the legal mechanisms by which we make and/ or receive personal data transfers to/ in the U.S.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5"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Further, the exit of the UK from the EU, often referred to as Brexit, has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Restrictions on the collection, use, sharing or disclosure of personal information or additional requirements and liability for security and data integrity could require us to modify our solutions and features, possibly in a material manner, could limit our ability to develop new products and features and could subject us to increased compliance obligations and regulatory scrutiny.</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Although we make reasonable efforts to comply with all applicable data protection laws and regulations, our interpretations and such measures may have been or may prove to be insufficient or incorrect. Any failure to comply with any data protection laws and/or regulations that results in a data security breach could require notifications to data subjects and/or owners under federal, state and/or international data breach notification laws and regulations. The effects of any applicable U.S. state, U.S.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distracting to management, and cause reputational harm. In addition to government regulation, privacy advocates and industry groups may propose new and different self-regulatory standards. Because the interpretation and application of privacy and data protection laws are still uncertain, it is possible that these laws may be interpreted and applied in a manner that is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or our third-party service providers’ business. Any of the foregoing could result in additional cost and liability to us, damage our reputation, inhibit sales, and harm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Legal, Regulatory, Accounting and Tax Matters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failure to comply with the large body of laws and regulations to which we are subject could materially harm our business.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spacing w:after="0" w:line="100"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Our failure to comply with the Foreign Corrupt Practices Act, other applicable anti-corruption and anti-bribery laws, and applicable anti-money laundering laws could subject us to penalties and other adverse consequences.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government regulation, including import, export and economic sanctions laws and regulations that may expose us to liability and increase our costs.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spacing w:after="0" w:line="99"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We will lose sales if we are unable to obtain government authorization to export certain of our products and services, and we will be subject to legal and regulatory consequences if we do not comply with applicable export control laws and regulations.</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the Department of Commerce’s Bureau of Industry and Security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derived 0.1%, and 31.2% of our revenue in 2021 and 2020, respectively, from parties that are currently subject to the Entity List of the EAR (a list of entities to which the transfer of EAR-controlled technology or software is generally prohibited absent a U.S. export license), including Chongxin Bada Technology Development Co., Ltd. (Bada), HiSilicon Technologies Co. Ltd. (HiSilicon), and SZ DJI Technology Co., Ltd. Current and future business with these entities may be limited in scope or suspended entirely in order to comply with the EAR and as a result, our revenue could be adversely impacted. Regulatory changes concerning the export classification of our products, changes to the applicability of the EAR to certain product offerings, or the addition of new entities to the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spacing w:after="0" w:line="167"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In addition, the U.S. federal government has increased its Entity List materially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March 2021, we submitted an initial voluntary self-disclosure (VSD) to the BIS, noting potential violations of the EAR. On July 23, 2021, we submitted a final VSD to BIS after completing our review. In our VSD submission, we identified discrete transactions with two customers. The first customer is Bada, a customer to which we provided EAR-regulated know-how after BIS added Bada to the Entity List and without authorization under the EAR. We no longer have a relationship with or support this customer. The second customer is HiSilicon. We entered into a contract with, and provided products to, HiSilicon the same week in 2019 that BIS added HiSilicon to the Entity List. This may have resulted in an inadvertent violation of the EAR due to the timing of the Entity List restrictions. While we currently maintain a business relationship with HiSilicon to collect royalties for products that had been licensed to HiSilicon in earlier years, we no longer provide HiSilicon with products or ongoing support. We have taken and continue to take remedial measures to help prevent similar situations from occurring in the future. Our VSD is currently under review at BIS.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risks associated with doing business in China.</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We derived 27.1% and 44.9% of our revenue in 2021 and 2020, respectively,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spacing w:after="0" w:line="115" w:lineRule="exact"/>
        <w:rPr>
          <w:sz w:val="20"/>
          <w:szCs w:val="20"/>
          <w:color w:val="auto"/>
        </w:rPr>
      </w:pPr>
    </w:p>
    <w:p>
      <w:pPr>
        <w:ind w:left="640" w:hanging="253"/>
        <w:spacing w:after="0"/>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Chinese government exerts substantial influence over the manner in which we must conduct our business activities.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Restrictions on currency exchange may limit our ability to receive, transfer and use our cash effectively.</w:t>
      </w:r>
    </w:p>
    <w:p>
      <w:pPr>
        <w:spacing w:after="0" w:line="9" w:lineRule="exact"/>
        <w:rPr>
          <w:rFonts w:ascii="Arial" w:cs="Arial" w:eastAsia="Arial" w:hAnsi="Arial"/>
          <w:sz w:val="13"/>
          <w:szCs w:val="13"/>
          <w:color w:val="auto"/>
        </w:rPr>
      </w:pPr>
    </w:p>
    <w:p>
      <w:pPr>
        <w:ind w:left="640" w:right="260" w:hanging="253"/>
        <w:spacing w:after="0" w:line="257" w:lineRule="auto"/>
        <w:tabs>
          <w:tab w:leader="none" w:pos="636"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Increased uncertainties related to the enforcement of IP rights including any IP rights that we may license to a Chinese (or other emerging jurisdiction) entity, including any joint ventures we may form.</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Increased uncertainties relating to Chinese regulation of exports of products and technology to and from China.</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Increased and rapidly changing export and related trade regulations and restrictions imposed by U.S. and Chinese legislation, executive actions and regulations.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Difficulty of travel to and from China (and to and from United States) arising from or related to the COVID-19 pandemic or any future pandemic.</w:t>
      </w:r>
    </w:p>
    <w:p>
      <w:pPr>
        <w:spacing w:after="0" w:line="52" w:lineRule="exact"/>
        <w:rPr>
          <w:rFonts w:ascii="Arial" w:cs="Arial" w:eastAsia="Arial" w:hAnsi="Arial"/>
          <w:sz w:val="13"/>
          <w:szCs w:val="13"/>
          <w:color w:val="auto"/>
        </w:rPr>
      </w:pPr>
    </w:p>
    <w:p>
      <w:pPr>
        <w:ind w:left="640" w:hanging="253"/>
        <w:spacing w:after="0" w:line="274" w:lineRule="auto"/>
        <w:tabs>
          <w:tab w:leader="none" w:pos="647"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Chinese government may favor its local businesses and make it more difficult for foreign businesses to operate in China on an equal footing, or create generally difficult conditions for foreign headquartered businesses to operate.</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Increased uncertainties related to the enforcement of contracts with certain parties.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More restrictive rules on foreign investment could adversely affect our ability to expand our operations in China.</w:t>
      </w:r>
    </w:p>
    <w:p>
      <w:pPr>
        <w:spacing w:after="0" w:line="52" w:lineRule="exact"/>
        <w:rPr>
          <w:rFonts w:ascii="Arial" w:cs="Arial" w:eastAsia="Arial" w:hAnsi="Arial"/>
          <w:sz w:val="13"/>
          <w:szCs w:val="13"/>
          <w:color w:val="auto"/>
        </w:rPr>
      </w:pPr>
    </w:p>
    <w:p>
      <w:pPr>
        <w:ind w:left="640" w:hanging="253"/>
        <w:spacing w:after="0" w:line="274" w:lineRule="auto"/>
        <w:tabs>
          <w:tab w:leader="none" w:pos="647" w:val="left"/>
        </w:tabs>
        <w:numPr>
          <w:ilvl w:val="0"/>
          <w:numId w:val="26"/>
        </w:numPr>
        <w:rPr>
          <w:rFonts w:ascii="Arial" w:cs="Arial" w:eastAsia="Arial" w:hAnsi="Arial"/>
          <w:sz w:val="13"/>
          <w:szCs w:val="13"/>
          <w:color w:val="auto"/>
        </w:rPr>
      </w:pPr>
      <w:r>
        <w:rPr>
          <w:rFonts w:ascii="Arial" w:cs="Arial" w:eastAsia="Arial" w:hAnsi="Arial"/>
          <w:sz w:val="13"/>
          <w:szCs w:val="13"/>
          <w:color w:val="auto"/>
        </w:rPr>
        <w:t>Geopolitical tensions between China on the one hand and the United States and/or the European Union on the other hand, may increase and may lead to increased export sanctions with Chinese entities and sanctions made against China.</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As a result of our growing operations in China, these risks could harm our business.</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Further, on June 3, 2021, the President issued Executive Order 14032 (Addressing the Threat from Securities Investments that Finance Certain Companies of the People’s Republic of China) targeting entities that are deemed part of the Chinese military-industrial complex. The executive order, and the subsequent Office of Foreign Assets Control additions to its Non-SDN Chinese Military-Industrial Complex Companies List, include one or more entities that have indirectly invested in us.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i w:val="1"/>
          <w:iCs w:val="1"/>
          <w:color w:val="auto"/>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i w:val="1"/>
          <w:iCs w:val="1"/>
          <w:color w:val="auto"/>
        </w:rPr>
        <w:t>Joint ventures are subject to a number of risks, the occurrence of which could adversely impact any of our current or future joint ventures, which in turn could harm our business.</w:t>
      </w:r>
    </w:p>
    <w:p>
      <w:pPr>
        <w:spacing w:after="0" w:line="29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Joint ventures such as the joint venture we may form for which we are in preliminary discussions as discussed elsewhere in this report, are subject to a number of risks, including but not limited to:</w:t>
      </w:r>
    </w:p>
    <w:p>
      <w:pPr>
        <w:spacing w:after="0" w:line="286" w:lineRule="exact"/>
        <w:rPr>
          <w:sz w:val="20"/>
          <w:szCs w:val="20"/>
          <w:color w:val="auto"/>
        </w:rPr>
      </w:pPr>
    </w:p>
    <w:p>
      <w:pPr>
        <w:ind w:left="640" w:hanging="253"/>
        <w:spacing w:after="0"/>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joint venture partners may not commit sufficient resources to market and distribute our products or to otherwise support the joint venture and its intended operations.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joint venture partners may infringe the IP we assign to such joint venture, or the IP of other parties, which may expose us to litigation and other potential liabilities.</w:t>
      </w:r>
    </w:p>
    <w:p>
      <w:pPr>
        <w:spacing w:after="0" w:line="52" w:lineRule="exact"/>
        <w:rPr>
          <w:rFonts w:ascii="Arial" w:cs="Arial" w:eastAsia="Arial" w:hAnsi="Arial"/>
          <w:sz w:val="13"/>
          <w:szCs w:val="13"/>
          <w:color w:val="auto"/>
        </w:rPr>
      </w:pPr>
    </w:p>
    <w:p>
      <w:pPr>
        <w:ind w:left="640" w:hanging="253"/>
        <w:spacing w:after="0" w:line="274" w:lineRule="auto"/>
        <w:tabs>
          <w:tab w:leader="none" w:pos="647" w:val="left"/>
        </w:tabs>
        <w:numPr>
          <w:ilvl w:val="0"/>
          <w:numId w:val="27"/>
        </w:numPr>
        <w:rPr>
          <w:rFonts w:ascii="Arial" w:cs="Arial" w:eastAsia="Arial" w:hAnsi="Arial"/>
          <w:sz w:val="13"/>
          <w:szCs w:val="13"/>
          <w:color w:val="auto"/>
        </w:rPr>
      </w:pPr>
      <w:r>
        <w:rPr>
          <w:rFonts w:ascii="Arial" w:cs="Arial" w:eastAsia="Arial" w:hAnsi="Arial"/>
          <w:sz w:val="13"/>
          <w:szCs w:val="13"/>
          <w:color w:val="auto"/>
        </w:rPr>
        <w:t>Disputes may arise among us and our joint venture partners that result in the delay or termination of activities contemplated by such joint venture or that could result in costly litigation or arbitration that diverts management attention and resources.</w:t>
      </w:r>
    </w:p>
    <w:p>
      <w:pPr>
        <w:spacing w:after="0" w:line="19"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joint venture partners may not provide us with timely and accurate information regarding the status or activities of the joint venture which could, among other things, impact our ability to accurately forecast financial results or provide timely information to our shareholders.</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Any of the risks related to doing business in China or having a Chinese joint venture that are discussed elsewhere in these risk factors.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occurrence of one or more of the above risks, or any other negative events, could adversely impact our joint ventures and could in turn harm our business.</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In addition to the risks mentioned above, we cannot guarantee that we will enter into the potential joint venture for which we are in preliminary discussions mentioned elsewhere in this report, despite expending substantial management time and other resources on such potential transaction. In addition, even if we do enter into this joint venture, we cannot guarantee that it will be successful.</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We could be subject to changes in tax rates or the adoption of new tax legislation, whether in or out of the United States, or could otherwise have exposure to additional tax liabilities, which could harm our business.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use net operating losses to offset future taxable income may be subject to certain limitations.</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spacing w:after="0" w:line="97"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spacing w:after="0" w:line="257"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spacing w:after="0" w:line="98"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spacing w:after="0" w:line="110" w:lineRule="exact"/>
        <w:rPr>
          <w:sz w:val="20"/>
          <w:szCs w:val="20"/>
          <w:color w:val="auto"/>
        </w:rPr>
      </w:pPr>
    </w:p>
    <w:p>
      <w:pPr>
        <w:ind w:left="640" w:hanging="253"/>
        <w:spacing w:after="0"/>
        <w:tabs>
          <w:tab w:leader="none" w:pos="6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not being required to engage an auditor to report on our internal controls over financial reporting pursuant to Section 404(b) of the Sarbanes-Oxley Act;</w:t>
      </w:r>
    </w:p>
    <w:p>
      <w:pPr>
        <w:spacing w:after="0" w:line="52" w:lineRule="exact"/>
        <w:rPr>
          <w:rFonts w:ascii="Arial" w:cs="Arial" w:eastAsia="Arial" w:hAnsi="Arial"/>
          <w:sz w:val="13"/>
          <w:szCs w:val="13"/>
          <w:color w:val="auto"/>
        </w:rPr>
      </w:pPr>
    </w:p>
    <w:p>
      <w:pPr>
        <w:ind w:left="640" w:hanging="253"/>
        <w:spacing w:after="0" w:line="274" w:lineRule="auto"/>
        <w:tabs>
          <w:tab w:leader="none" w:pos="657"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ind w:left="640" w:hanging="253"/>
        <w:spacing w:after="0"/>
        <w:tabs>
          <w:tab w:leader="none" w:pos="6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not being required to submit certain executive compensation matters to stockholder advisory votes, such as “say-on-pay,” “say-on-frequency,” and “say-on-golden-parachutes”; and</w:t>
      </w:r>
    </w:p>
    <w:p>
      <w:pPr>
        <w:spacing w:after="0" w:line="52" w:lineRule="exact"/>
        <w:rPr>
          <w:rFonts w:ascii="Arial" w:cs="Arial" w:eastAsia="Arial" w:hAnsi="Arial"/>
          <w:sz w:val="13"/>
          <w:szCs w:val="13"/>
          <w:color w:val="auto"/>
        </w:rPr>
      </w:pPr>
    </w:p>
    <w:p>
      <w:pPr>
        <w:ind w:left="640" w:hanging="253"/>
        <w:spacing w:after="0" w:line="274" w:lineRule="auto"/>
        <w:tabs>
          <w:tab w:leader="none" w:pos="647" w:val="left"/>
        </w:tabs>
        <w:numPr>
          <w:ilvl w:val="0"/>
          <w:numId w:val="29"/>
        </w:numPr>
        <w:rPr>
          <w:rFonts w:ascii="Arial" w:cs="Arial" w:eastAsia="Arial" w:hAnsi="Arial"/>
          <w:sz w:val="13"/>
          <w:szCs w:val="13"/>
          <w:color w:val="auto"/>
        </w:rPr>
      </w:pPr>
      <w:r>
        <w:rPr>
          <w:rFonts w:ascii="Arial" w:cs="Arial" w:eastAsia="Arial" w:hAnsi="Arial"/>
          <w:sz w:val="13"/>
          <w:szCs w:val="13"/>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are $1.07 billion or more; (ii) the date on which we have, during the previous three-year period, issued more than $1.0 billion in non-convertible debt securities; and</w:t>
      </w:r>
    </w:p>
    <w:p>
      <w:pPr>
        <w:spacing w:after="0" w:line="1" w:lineRule="exact"/>
        <w:rPr>
          <w:sz w:val="20"/>
          <w:szCs w:val="20"/>
          <w:color w:val="auto"/>
        </w:rPr>
      </w:pPr>
    </w:p>
    <w:p>
      <w:pPr>
        <w:jc w:val="both"/>
        <w:ind w:firstLine="5"/>
        <w:spacing w:after="0" w:line="265" w:lineRule="auto"/>
        <w:tabs>
          <w:tab w:leader="none" w:pos="219"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active and liquid trading market for our common stock may not be sustained.</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the Nasdaq exchange. If we fail to satisfy the continued listing standards, we could be de-listed, which would negatively impact the value and liquidity of your investment.</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stock price may be volatile, and investors in our common stock may not be able to resell shares of our common stock at or above the price paid, or at all.</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trading price of our common stock could be volatile and subject to wide fluctuations in response to various factors, many of which are beyond our control, including, but not limited to:</w:t>
      </w:r>
    </w:p>
    <w:p>
      <w:pPr>
        <w:spacing w:after="0" w:line="137" w:lineRule="exact"/>
        <w:rPr>
          <w:sz w:val="20"/>
          <w:szCs w:val="20"/>
          <w:color w:val="auto"/>
        </w:rPr>
      </w:pPr>
    </w:p>
    <w:p>
      <w:pPr>
        <w:ind w:left="640" w:hanging="253"/>
        <w:spacing w:after="0"/>
        <w:tabs>
          <w:tab w:leader="none" w:pos="6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variations in our actual or anticipated annual or quarterly operating results or those of others in our industry;</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potential effects arising if U.S. inflationary and/or currency devaluation trends appear or increase;</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results of operations that otherwise fail to meet the expectations of securities analysts and investors;</w:t>
      </w:r>
    </w:p>
    <w:p>
      <w:pPr>
        <w:spacing w:after="0" w:line="52" w:lineRule="exact"/>
        <w:rPr>
          <w:rFonts w:ascii="Arial" w:cs="Arial" w:eastAsia="Arial" w:hAnsi="Arial"/>
          <w:sz w:val="13"/>
          <w:szCs w:val="13"/>
          <w:color w:val="auto"/>
        </w:rPr>
      </w:pPr>
    </w:p>
    <w:p>
      <w:pPr>
        <w:ind w:left="640" w:hanging="253"/>
        <w:spacing w:after="0" w:line="274" w:lineRule="auto"/>
        <w:tabs>
          <w:tab w:leader="none" w:pos="647" w:val="left"/>
        </w:tabs>
        <w:numPr>
          <w:ilvl w:val="0"/>
          <w:numId w:val="31"/>
        </w:numPr>
        <w:rPr>
          <w:rFonts w:ascii="Arial" w:cs="Arial" w:eastAsia="Arial" w:hAnsi="Arial"/>
          <w:sz w:val="13"/>
          <w:szCs w:val="13"/>
          <w:color w:val="auto"/>
        </w:rPr>
      </w:pPr>
      <w:r>
        <w:rPr>
          <w:rFonts w:ascii="Arial" w:cs="Arial" w:eastAsia="Arial" w:hAnsi="Arial"/>
          <w:sz w:val="13"/>
          <w:szCs w:val="13"/>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market conditions in the semiconductor industry;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ind w:left="640" w:hanging="253"/>
        <w:spacing w:after="0"/>
        <w:tabs>
          <w:tab w:leader="none" w:pos="6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publications, reports or other media exposure of our products or those of others in our industry, or of our industry generally;</w:t>
      </w:r>
    </w:p>
    <w:p>
      <w:pPr>
        <w:spacing w:after="0" w:line="52" w:lineRule="exact"/>
        <w:rPr>
          <w:rFonts w:ascii="Arial" w:cs="Arial" w:eastAsia="Arial" w:hAnsi="Arial"/>
          <w:sz w:val="13"/>
          <w:szCs w:val="13"/>
          <w:color w:val="auto"/>
        </w:rPr>
      </w:pPr>
    </w:p>
    <w:p>
      <w:pPr>
        <w:jc w:val="both"/>
        <w:ind w:left="640" w:hanging="253"/>
        <w:spacing w:after="0" w:line="265" w:lineRule="auto"/>
        <w:tabs>
          <w:tab w:leader="none" w:pos="636"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24" w:lineRule="exact"/>
        <w:rPr>
          <w:rFonts w:ascii="Arial" w:cs="Arial" w:eastAsia="Arial" w:hAnsi="Arial"/>
          <w:sz w:val="13"/>
          <w:szCs w:val="13"/>
          <w:color w:val="auto"/>
        </w:rPr>
      </w:pPr>
    </w:p>
    <w:p>
      <w:pPr>
        <w:ind w:left="640" w:hanging="253"/>
        <w:spacing w:after="0"/>
        <w:tabs>
          <w:tab w:leader="none" w:pos="6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additions or departures of key management personnel;</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regulatory actions involving us or others in our industry, or actual or anticipated changes in applicable government regulations or enforcement thereof;</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development and sustainability of an active trading market for our common stock;</w:t>
      </w:r>
    </w:p>
    <w:p>
      <w:pPr>
        <w:spacing w:after="0" w:line="52"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32"/>
        </w:numPr>
        <w:rPr>
          <w:rFonts w:ascii="Arial" w:cs="Arial" w:eastAsia="Arial" w:hAnsi="Arial"/>
          <w:sz w:val="13"/>
          <w:szCs w:val="13"/>
          <w:color w:val="auto"/>
        </w:rPr>
      </w:pPr>
      <w:r>
        <w:rPr>
          <w:rFonts w:ascii="Arial" w:cs="Arial" w:eastAsia="Arial" w:hAnsi="Arial"/>
          <w:sz w:val="13"/>
          <w:szCs w:val="13"/>
          <w:color w:val="auto"/>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general economic and securities market conditions; and</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other factors discussed in this “Risk Factors” section and elsewhere in this report.</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Since our stock price may be volatile, investors in our common stock may not be able to resell shares of our common stock at or above the price paid, or at all.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If equity research analysts or industry analysts do not publish research or reports about our business, or if they change their recommendations regarding our stock adversely, our stock price and trading volume could decline.</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Future sales of shares by our stockholders could cause the market price of our common stock to drop significantly, even if our business is doing well.</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Sales of a substantial number of shares of our common stock in the public market, or the perception in the market that such sales may occur, could reduce the market price of our common stock. We had 31.5 million shares of common stock outstanding as of December 31, 2021. Of this, 31.5 million shares are currently restricted as a result of securities laws, lock-up agreements (which may be waived, in whole or in part, with or without notice, by Jefferies LLC) or market standoff or other similar restrictions between the holder and us, but will become eligible to be sold at various times beginning 180 days after the date of our initial public offering, unless held by one of our affiliates, in which case the resale of those securities will be subject to volume limitations under Rule 144 of the Securities Act of 1933, as amended (the “Securities Act”). Moreover, holders of an aggregate of 4.5 million shares of our common stock are entitled to rights, subject to certain conditions and limitations, to require us to file registration statements covering their shares or to include their shares in registration statements that we may</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file for ourselves or other stockholders, until such rights terminate pursuant to the terms of our Registration Rights Agreement filed as an exhibit hereto. We also registered all shares of common stock that may be issued under equity compensation plans. These shares can be freely sold in the public market upon issuance, subject to volume limitations applicable to affiliates and the lock-up agreements. In addition, a significant amount of our stock could be sold if holders of restricted units, options or other derivative securities sell a portion of the underlying stock to satisfy tax obligations or to cover the exercise price of exercising such security (if applicable). As these restrictions on resale end and/or derivative securities vest and either incur tax obligations or require the payment of an exercise price, the market price of our common stock could drop significantly if the holders of those shares sell them or are perceived by the market as intending to sell them. These declines in our stock price could occur even if our business is otherwise doing well and, as a result, shareholders may lose all or a part of their investment.</w:t>
      </w:r>
    </w:p>
    <w:p>
      <w:pPr>
        <w:spacing w:after="0" w:line="98"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Our principal stockholder Ventech Capital F, which is affiliated with our director Christian Claussen, and K. Charles Janac, our President, Chief Executive Officer and Chairman, beneficially own a significant percentage of our stock and will be able to exert significant control over matters subject to stockholder approval.</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As of December 31, 2021, Ventech Capital F, which is affiliated with our director Christian Claussen, and K. Charles Janac, our President, Chief Executive Officer and Chairman, held voting power over approximately 10% and 32%, respectively, of our outstanding voting stock. Therefore, these stockholders will have the ability to influence us through this ownership position. While there is no voting agreement or other arrangement between the stockholders, if they vote together they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Our issuance of additional capital stock in connection with financings, acquisitions, investments, our stock incentive plans or otherwise could dilute the ownership and voting power of our other stockholders.</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We have 300,000,000 shares of common stock authorized but unissued, based on the number of shares of our common stock outstanding as of December 31, 2021.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expect to declare or pay any dividends on our common stock for the foreseeable future.</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Management may apply our net proceeds from our initial public offering to uses that do not increase our market value or improve our operating results.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Our management has broad discretion in the application of the net proceeds from our initial public offering and could use these proceeds in ways that do not improve our results of operations or enhance the value of our common stock. We intend to use these proceeds for general corporate purposes. We may also use a portion of our net proceeds to acquire or invest in complementary businesses, products, services or technologies, though we do not have any agreements or commitments for any significant acquisitions or investments at this time. We have not reserved or allocated our net proceeds for any specific purpose, and we cannot state with certainty how our management will use our net proceeds. Accordingly, our management will have considerable discretion in applying our net proceeds, and you will not have the opportunity, as part of your investment decision, to assess whether we are using our net proceeds appropriately. We may use our net proceeds for purposes that do not result in any improvement in our results of operations or increase the market value of our common stock. The failure by our management to apply the net proceeds from our initial public offering effectively could impair our growth prospects and result in financial losses that could harm our business and cause the price of our common stock to decline. Until the net proceeds we receive are used, they may be placed in investments that do not produce income or that lose value.</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in our Certificate of Incorporation and Bylaws and under the DGCL contain antitakeover provisions that could prevent or discourage a takeover.</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13" w:lineRule="exact"/>
        <w:rPr>
          <w:sz w:val="20"/>
          <w:szCs w:val="20"/>
          <w:color w:val="auto"/>
        </w:rPr>
      </w:pPr>
    </w:p>
    <w:p>
      <w:pPr>
        <w:ind w:left="640" w:hanging="253"/>
        <w:spacing w:after="0" w:line="274" w:lineRule="auto"/>
        <w:tabs>
          <w:tab w:leader="none" w:pos="636"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classified board of directors with three-year staggered terms, which may have the effect of deferring, delaying or discouraging hostile takeovers, or changes in control of us or our management;</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no cumulative voting in the election of directors, which limits the ability of minority stockholders to elect director candidates;</w:t>
      </w:r>
    </w:p>
    <w:p>
      <w:pPr>
        <w:spacing w:after="0" w:line="52"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9" w:lineRule="exact"/>
        <w:rPr>
          <w:rFonts w:ascii="Arial" w:cs="Arial" w:eastAsia="Arial" w:hAnsi="Arial"/>
          <w:sz w:val="13"/>
          <w:szCs w:val="13"/>
          <w:color w:val="auto"/>
        </w:rPr>
      </w:pPr>
    </w:p>
    <w:p>
      <w:pPr>
        <w:ind w:left="640" w:hanging="253"/>
        <w:spacing w:after="0" w:line="274" w:lineRule="auto"/>
        <w:tabs>
          <w:tab w:leader="none" w:pos="647"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ability of our board of directors to alter our bylaws without obtaining stockholder approval;</w:t>
      </w:r>
    </w:p>
    <w:p>
      <w:pPr>
        <w:spacing w:after="0" w:line="52"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spacing w:after="0" w:line="19" w:lineRule="exact"/>
        <w:rPr>
          <w:rFonts w:ascii="Arial" w:cs="Arial" w:eastAsia="Arial" w:hAnsi="Arial"/>
          <w:sz w:val="13"/>
          <w:szCs w:val="13"/>
          <w:color w:val="auto"/>
        </w:rPr>
      </w:pPr>
    </w:p>
    <w:p>
      <w:pPr>
        <w:ind w:left="640" w:hanging="253"/>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prohibition on stockholder action by written consent, which forces stockholder action to be taken at an annual or special meeting of our stockholders;</w:t>
      </w:r>
    </w:p>
    <w:p>
      <w:pPr>
        <w:spacing w:after="0" w:line="52"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spacing w:after="0" w:line="19" w:lineRule="exact"/>
        <w:rPr>
          <w:rFonts w:ascii="Arial" w:cs="Arial" w:eastAsia="Arial" w:hAnsi="Arial"/>
          <w:sz w:val="13"/>
          <w:szCs w:val="13"/>
          <w:color w:val="auto"/>
        </w:rPr>
      </w:pPr>
    </w:p>
    <w:p>
      <w:pPr>
        <w:jc w:val="both"/>
        <w:ind w:left="640" w:hanging="253"/>
        <w:spacing w:after="0" w:line="265" w:lineRule="auto"/>
        <w:tabs>
          <w:tab w:leader="none" w:pos="647" w:val="left"/>
        </w:tabs>
        <w:numPr>
          <w:ilvl w:val="0"/>
          <w:numId w:val="33"/>
        </w:numPr>
        <w:rPr>
          <w:rFonts w:ascii="Arial" w:cs="Arial" w:eastAsia="Arial" w:hAnsi="Arial"/>
          <w:sz w:val="13"/>
          <w:szCs w:val="13"/>
          <w:color w:val="auto"/>
        </w:rPr>
      </w:pPr>
      <w:r>
        <w:rPr>
          <w:rFonts w:ascii="Arial" w:cs="Arial" w:eastAsia="Arial" w:hAnsi="Arial"/>
          <w:sz w:val="13"/>
          <w:szCs w:val="13"/>
          <w:color w:val="auto"/>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88"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We 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Actions of stockholders could cause us to incur substantial costs, divert management’s attention and resources and have an adverse effect on our business.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Litigation, including securities class action litigation, may impair our reputation and lead us to incur significant costs.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From time to time, we may be party to various lawsuits and claims arising in the normal course of business, which may include lawsuits or claims relating to contracts, third-party contractors, IP, employment matters or other aspects of our business. 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Although 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Our principal executive office is located in Campbell, California. We currently lease offices in the United States in Campbell, California and Austin, Texas which consists of approximately 16,300 square feet of space. We also lease space in France, China, Japan and South Korea.</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lease all our facilities and do not own any real property. We believe our existing facilities are adequate and suitable for our current needs and that, should it be needed, suitable additional or alternative space will be available on commercially reasonable terms to accommodate our operations.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From time to time, we have been and will continue to be subject to legal proceedings and claims. We are not presently a party to any legal proceedings that, if determined adversely to us, would individually or taken together have a material adverse effect on our business, results of operations, financial condition, or cash flows.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Future litigation may be necessary to defend ourselves, or our customers or partners on indemnity matters, by determining the scope, enforceability and validity of third-party proprietary rights or by establishing our proprietary rights. Further, the ultimate outcome of any litigation is uncertain and, regardless of outcome, litigation can have an adverse impact on us because of defense costs, potential negative publicity, diversion of management resources and other factors. While we are not aware of any material pending legal matters or claims, individually or in the aggregate, that are expected to have a material adverse impact on our business, consolidated financial position, results of operations or cash flows, our analysis of whether a claim may proceed to litigation cannot be predicted with certainty, nor can the results of litigation be predicted with certainty. Accordingly,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Price of Our Common Stock</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Our common stock, par value $0.001 per share, is listed on the Nasdaq Stock Market, under the symbol “AIP” and began trading on October 27, 2021. Prior to that date, there was no public trading market for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Holders of Record</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As of February 28, 2022, there were 185 stockholders of record of our common stock. The actual number of holders of our common stock is greater than the number of record holders and includes stockholders who are beneficial owners, but whose shares are held in street name by brokers or other nominees. The number of holders of record presented here also does not include stockholders whose shares may be held in trust by other entities.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 Policy</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Securities Authorized for Issuance under Equity Compensation Plans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Sales of Unregistered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December 31, 2021, we sold and issued the following unregistered securities:</w:t>
      </w:r>
    </w:p>
    <w:p>
      <w:pPr>
        <w:spacing w:after="0" w:line="179" w:lineRule="exact"/>
        <w:rPr>
          <w:sz w:val="20"/>
          <w:szCs w:val="20"/>
          <w:color w:val="auto"/>
        </w:rPr>
      </w:pPr>
    </w:p>
    <w:p>
      <w:pPr>
        <w:ind w:firstLine="5"/>
        <w:spacing w:after="0" w:line="274" w:lineRule="auto"/>
        <w:tabs>
          <w:tab w:leader="none" w:pos="178"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May 2021, we issued and sold an aggregate of 1,250,000 shares of our common stock to eight accredited investors at $4.35 per share, for an aggregate purchase price of approximately $5.4 million.</w:t>
      </w:r>
    </w:p>
    <w:p>
      <w:pPr>
        <w:spacing w:after="0" w:line="146" w:lineRule="exact"/>
        <w:rPr>
          <w:rFonts w:ascii="Arial" w:cs="Arial" w:eastAsia="Arial" w:hAnsi="Arial"/>
          <w:sz w:val="13"/>
          <w:szCs w:val="13"/>
          <w:color w:val="auto"/>
        </w:rPr>
      </w:pPr>
    </w:p>
    <w:p>
      <w:pPr>
        <w:ind w:firstLine="5"/>
        <w:spacing w:after="0" w:line="274" w:lineRule="auto"/>
        <w:tabs>
          <w:tab w:leader="none" w:pos="154"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Prior to filing our registration statement on Form S-8 in October 2021, we granted to certain directors, officers and employees RSUs for an aggregate of 1,169,167 shares of our common stock under the 2016 Stock Plan.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No underwriters were involved in the foregoing sales of securities. The issuance described in paragraph (1) above was undertaken in reliance upon the exemption from registration requirements of Section 4(a)(2) of the Securities Act of 1933, as amended, including Rule 506 of the Securities Act. The recipients of these shares of common stock represented their intentions to acquire the shares for investment only and not with a view to or for sale in connection with any distribution, and appropriate restrictions were set out in the applicable agreements issued in these transactions. All recipients had adequate access, through their relationships with us, to information about us. The issuances described in paragraph (2) were undertaken in reliance upon the exemption from registration requirements Section 4(a)(2) of the Securities Act in that such sales and issuances did not involve a public offering or under Rule 701 promulgated under the Securities Act, in that they were offered and sold either pursuant to written compensatory plans or pursuant to a written contract relating to compensation, as provided by Rule 701.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Proceeds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Our Registration Statement on Form S-1, as amended (File No. 333-259988) (the “Form S-1”), for our IPO was declared effective by the SEC on October 26, 2021. The Form S-1 registered the offering and sale of 5,750,000 shares of common stock. On October 29, 2021, we closed our IPO, in which we issued 5,750,000 shares of common stock at a price to the public of $14.00 per share, including 750,000 shares issued upon the full exercise of the underwriters’ option to purchase additional shares. Upon completion of the sale of the shares of our common stock referenced in the preceding sentences, the IPO terminated. We received net proceeds of $71.1 million after deducting underwriting discounts and commissions and estimated offering costs of approximately $3.7 million.</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Jefferies LLC and Cowen served as lead book-running managers and BMO Capital Markets is serving as joint book-running manager for the offering. Northland Capital Markets and Rosenblatt Securities acted as co-managers.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No payments were made to our directors or officers or their associates, holders of 10% or more of any class of our equity securities or any affiliates in connection with the issuance and sale of the securities registered.</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There has been no material change in the planned use of proceeds from our IPO as described in our Final Prospectus for the IPO dated as of October 26, 2021 and filed with the SEC pursuant to Rule 424(b)(4) on October 28, 2021.</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consolidated financial statements and related notes included under Part II, Item 8 in this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and elsewhere in this Annual Report on Form 10-K. You should carefully read the “Risk Factors” section of this Annual Report on Form 10-K to gain an understanding of the important factors that could cause actual results to differ materially from forward-looking statements. Please also see the section titled “Cautionary Note Regarding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Unless the context otherwise requires, all references in this report to “we,” “us,” “our,” the “Company,” and “Arteris” refer to Arteris, Inc. and its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are a leading provider of interconnect and other IP technology that manages the on-chip communications in SoC semiconductor devices. Our products enable our customers to deliver increasingly complex SoCs that not only process data but are also able to make decisions. Growth in the TAM for our solutions is being driven by the addition of more processors, channels of memory access, machine learning sections, chiplets, additional I/O interface standards and other subsystems within SoCs. The growth in the numbers of these connected on-chip subsystems place an increasing premium on the interconnect IP capability to move data inside complex SoCs. We believe this increase in SoC complexity is creating a significant opportunity for sophisticated SoC system IP solutions which incorporate NoC interconnect IP, IP deployment software and NoC interface IP (consisting of peripheral data transport IP and control plane networks connected to NoC interconnect IP).</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Our IP deployment solutions, which were significantly enhanced by our acquisition of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automated driving, AI/ML, 5G and wireless communications, data centers, and consumer electronics.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As of December 31, 2021, we had 217 full-time employees and offices in eight locations in the United States, France, China, South Korea and Japan. For the year ended December 31, 2021, we generated revenue of $37.9 million, net loss of $23.4 million and net loss per share – basic and diluted of $1.06. As of December 31, 2021, we had Annual Contract Value (as defined below) of $47.4 million and 192 Active Customers (as defined below). During the year ended December 31, 2021, our customers had 86 Design Starts (as defined below).</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Initial Public Offering</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October, 2021, we completed our initial public offering (IPO), in which we issued and sold 5,750,000 shares of common stock at the public offering price of $14.00 per share, including 750,000 shares issued upon the full exercise of the underwriters’ option to purchase additional shares. We received net proceeds of $71.1 million after deducting underwriting discounts and commissions and offering expenses. In connection with the IPO, all of the shares of our outstanding redeemable convertible preferred stock prior to the IPO automatically converted into an aggregate of 4,471,316 shares of common stock.</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Deferred offering costs for the IPO were $3.8 million and consisted primarily of direct incremental accounting, legal and other fees related to the IPO. Prior to the IPO, all deferred offering costs were capitalized and included in other assets, non-current on the consolidated balance sheets. Upon completion of the IPO, deferred offering costs were reclassified into stockholders’ equity as a reduction of the IPO proceeds.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Acquisition</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On November 30, 2020, Arteris IP, SAS, our wholly owned subsidiary, completed the acquisition of Magillem for a total consideration of $7.8 million. Magillem is a leading provider of design flow and content management software solutions for the complex chip market. The primary reason for the acquisition was to integrate our technologies in order to accelerate and simplify the SoC assembly design flow and enhance innovation in both SoC IP integration software and the highly configurable on-chip interconnect IP that implements chip architectures.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Factors Affecting Our Business</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believe that the growth of our business and our future success are dependent upon many factors including those described above under “Risk Factors” and elsewhere in this report and those described below. While each of these factors presents significant opportunities for us, these factors also pose challenges that we must successfully address in order to sustain the growth of our business and enhance our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License Agreements with New and Existing Customers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containing our interconnect IP solutions between one to five years following completion of their product design, known as mass production, at which point we start to receive royalties; this lasts for up to seven years depending on the market segment. Any significant delay in the ramp-up of volume production of the customer’s products into which our product is designed could adversely affect our business due to delayed or significantly reduced revenues. Further, because the average selling prices (ASPs)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End Customer Product Demand and Market Conditions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Demand for our interconnect IP solutions and associated royalty revenue is highly dependent on market conditions in the end markets in which our customers operate. These end markets, which include the automotive, AI/ML, 5G communications, data centers and consumer electronics sectors,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resulting in fewer semiconductors utilizing our IP solutions being available for sale, our revenue would be adversely affected.</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Terms of our Agreements with Customers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Our revenue from period to period can be impacted by the terms of the agreements we enter into with our customers. For example, in recent periods we have structured certain agreements with customers that include substantial up front licensing payments. As a result of how these contracts are structured and the revenue is recognized, our revenue in the year ended December 31, 2021 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Technological Development and Market Growth</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AI/ML, 5G and wireless communications, data center and consumer electronic markets has resulted in increased SoC design complexity for chips used in these markets. This trend in turn has created increased demand for in-licensing commercial semiconductor design IP, which in turn has positively impacted our revenue and growth.</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order to address technological developments such as the above and expand our offerings, we have invested significantly in our research and development efforts. These investments, which included growth in engineering headcount, have resulted in substantially increased research and development expenses in recent periods. As we continue to invest in our technology and new product design efforts, we anticipate research and development expense will increase on an absolute basis and as a percentage of revenue in the near term. In the medium to longer term, however, while we expect to increase our research and development expense on an absolute basis, we expect this expense to reduce as a percentage of revenue.</w:t>
      </w:r>
    </w:p>
    <w:p>
      <w:pPr>
        <w:spacing w:after="0" w:line="114" w:lineRule="exact"/>
        <w:rPr>
          <w:sz w:val="20"/>
          <w:szCs w:val="20"/>
          <w:color w:val="auto"/>
        </w:rPr>
      </w:pPr>
    </w:p>
    <w:p>
      <w:pPr>
        <w:ind w:right="2000"/>
        <w:spacing w:after="0" w:line="459" w:lineRule="auto"/>
        <w:rPr>
          <w:sz w:val="20"/>
          <w:szCs w:val="20"/>
          <w:color w:val="auto"/>
        </w:rPr>
      </w:pPr>
      <w:r>
        <w:rPr>
          <w:rFonts w:ascii="Arial" w:cs="Arial" w:eastAsia="Arial" w:hAnsi="Arial"/>
          <w:sz w:val="13"/>
          <w:szCs w:val="13"/>
          <w:color w:val="auto"/>
        </w:rPr>
        <w:t xml:space="preserve">We will continue to evaluate growth opportunities through acquisitions of other businesses, although there are currently no discussions with potential targets. </w:t>
      </w:r>
      <w:r>
        <w:rPr>
          <w:rFonts w:ascii="Arial" w:cs="Arial" w:eastAsia="Arial" w:hAnsi="Arial"/>
          <w:sz w:val="13"/>
          <w:szCs w:val="13"/>
          <w:b w:val="1"/>
          <w:bCs w:val="1"/>
          <w:i w:val="1"/>
          <w:iCs w:val="1"/>
          <w:color w:val="auto"/>
        </w:rPr>
        <w:t>Cyclical Nature of the Semiconductor Industry</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such as during the recent cycle of expansion in which we increased the number of our engineers significantly. During periods of slower growth or industry contractions, our sales generally suffer due to a decrease in customers’ Design Starts or in sales of our customers products.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COVID-19 Impact</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March 2020, the World Health Organization declared the outbreak of COVID-19 a pandemic which has resulted in substantial global economic disruption and uncertainty. In response to the COVID-19 pandemic, the measures implemented by various authorities have caused us to change our business practices, including those related to where employees work, the distance between employees in our facilities, limitations on in-person meetings between employees and with customers, suppliers, service providers and stakeholders, as well as restrictions on business travel to domestic and international locations and to attend trade shows, technical conferences and other events. Although we have experienced, and may continue to experience, some impact on certain parts of our business as a result of governmental restrictions and other measures to mitigate the spread of COVID-19, our results of operations, cash flows and financial condition were not materially adversely impacted in the year ended December 31, 2021. In addition, the number of Design Starts in 2021 was higher than the number of Design Starts in 2020.</w:t>
      </w:r>
    </w:p>
    <w:p>
      <w:pPr>
        <w:spacing w:after="0" w:line="27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We are unable to accurately predict the full impact that COVID-19 will have on our future results of operations, financial condition, liquidity and cash flows due to numerous uncertainties, including the duration and severity of the pandemic and containment measures. Although we expect most of our employees to return to physical offices in the future, the nature and extent of that return is uncertain. We will continue to monitor health orders issued by applicable governments to ensure compliance with evolving domestic and global COVID-19 guidelines. For additional details, see the section titled “Risk Factors—Our business has been, and may continue to be, adversely affected by health epidemics, pandemics and other outbreaks of infectious disease, including the current COVID-19 pandemic.”</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Performance Indicators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presented by other companies, securities analysts, or investors.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Annual Contract Value</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includes licensing, support and maintenance and other fixed fees under IP licensing or software licensing agreements but excludes variable revenue derived from licensing agreements with customers, particularly royalties. ACV was $47.4 million and $37.7 million as of December 31, 2021 and December 31, 2020, respectively. In addition, total ACV and trailing twelve months royalties and other revenue was $50.0 million and $41.9 million as of December 31, 2021 and 2020, respectively. We monitor this metric to measure our success and believe the increase in the number shows our progress in expanding our customers’ adoption of our solutions.</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Active Customers and Customer Retention</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define Active Customers as customers who have entered into a license agreement with us that remains in effect. The retention and expansion of our relationships with existing customers are key indicators of our revenue potential. We had 192 and 150 Active Customers as of December 31, 2021 and 2020, respectively. Our annual average customer retention rate, excluding IP deployment solutions, was 94.6% from December 31, 2020 to December 31, 2021. Additionally, we added 38 Active Customers for our IP deployment solutions through our acquisition of Magillem in November 2020.</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Design Starts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define Design Starts as when customers commence new semiconductor designs using our interconnect IP and notify us. Design Starts is a metric management uses to assess the activity level of our customers in terms of the number of new semiconductor designs that are started using our interconnect IP in a given period. Our interconnect IP and NoC interface IP customer base started a total of 86 designs in 2021 and 57 designs 2020. The number of Design Starts in 2020 slowed due to the adverse impact of the COVID-19 pandemic on the operations of some of our customers. We believe that the number of Design Starts is an important indicator of the growth of our business and future royalty revenue trends.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Remaining Performance Obligations</w:t>
      </w:r>
    </w:p>
    <w:p>
      <w:pPr>
        <w:spacing w:after="0" w:line="19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define Remaining Performance Obligations (RPO) as the amount of contracted future revenue that has not yet been recognized, including both deferred revenue and contracted amounts that will be invoiced and recognized as revenue in future periods.</w:t>
      </w:r>
    </w:p>
    <w:p>
      <w:pPr>
        <w:spacing w:after="0" w:line="14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RPO amount is intended to provide visibility into future revenue streams. We expect RPO to fluctuate up or down from period to period for several reasons, including amounts, timing, and duration of customer contracts, as well as the timing of billing cycles for each contract. Our RPO was $60.5 million and $47.9 million as of December 31, 2021 and 2020,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Our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Revenue: </w:t>
      </w:r>
      <w:r>
        <w:rPr>
          <w:rFonts w:ascii="Arial" w:cs="Arial" w:eastAsia="Arial" w:hAnsi="Arial"/>
          <w:sz w:val="13"/>
          <w:szCs w:val="13"/>
          <w:color w:val="auto"/>
        </w:rPr>
        <w:t>Our revenue is primarily derived from licensing intellectual property, licensing software, support and maintenance services, professional services, training services, and royalties.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Our agreements often include other service elements including training and professional services which were immaterial for the years ended December 31, 2021 and 2020, respectively.</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Our interconnect solutions product arrangements provide customers the right to software licenses, services, software updates and technical support. We enter into licensing arrangements with customers that typically range from two to three years and generally consist of delivery of a design license that grants the customer the right to use the IP to design a contractually defined number of products and stand-ready support services that provides the customer with our application engineer support services. We believe our customers derive a significant benefit from our engineer support services, which consist of our proprietary software tool (RTL), ongoing access to Corporate Application Engineers (CAE) and Field Application Engineers (FAE) that perform certain verifications including benchmark performance, simulations and ultimately, through RTL, instantiate designs into silicon over the design term.</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support services, including access to application engineering support services and the benefits of the RTL, are integral and fundamental to the customer’s ability to derive its intended benefit from the IP.</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FAEs provide assistance to the customer’s engineering team in translating their desired SoC architecture into inputs for NoC IP configuration, assistance in optimizing the NoC configuration, answers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generally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continue to provide technical support and software updates throughout the license term even if the customer does not renew these services in subsequent years, making the license term and support and maintenance term co-terminus.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a majority of our royalty revenues, we receive the actual sales data from our customers after the quarter ends and account for it as unbilled receivables. When we do not receive actual sales data from the customer prior to the finalization of its financial statements, royalty revenues are recognized based on our estimation of the customer’s sales during the quarter.</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Our deployment solutions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Revenue allocated to the software license is recognized at a point in time upon the later of the delivery date or the beginning of the license period, and revenue allocated to support services is recognized ratably over the support term.</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3"/>
          <w:szCs w:val="13"/>
          <w:b w:val="1"/>
          <w:bCs w:val="1"/>
          <w:i w:val="1"/>
          <w:iCs w:val="1"/>
          <w:color w:val="auto"/>
        </w:rPr>
        <w:t xml:space="preserve">Cost of revenue: </w:t>
      </w:r>
      <w:r>
        <w:rPr>
          <w:rFonts w:ascii="Arial" w:cs="Arial" w:eastAsia="Arial" w:hAnsi="Arial"/>
          <w:sz w:val="13"/>
          <w:szCs w:val="13"/>
          <w:color w:val="auto"/>
        </w:rPr>
        <w:t>Cost of revenue relates to costs associated with our licensing agreements and support and maintenance, including applicable FAE personnel-related costs including stock-based compensation, travel, and allocated overhead. We expect cost of revenue as a percentage of revenue to modestly decline over time due to productivity improvements of our FAE processes.</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i w:val="1"/>
          <w:iCs w:val="1"/>
          <w:color w:val="auto"/>
        </w:rPr>
        <w:t xml:space="preserve">Research and development (R&amp;D) expenses: </w:t>
      </w:r>
      <w:r>
        <w:rPr>
          <w:rFonts w:ascii="Arial" w:cs="Arial" w:eastAsia="Arial" w:hAnsi="Arial"/>
          <w:sz w:val="13"/>
          <w:szCs w:val="13"/>
          <w:color w:val="auto"/>
        </w:rPr>
        <w:t>R&amp;D expenses consist primarily of salaries and associated personnel-related costs, facilities expenses associated with research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development activities, third-party project-related expenses connected with the development of our intellectual property which are expensed as incurred, and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spacing w:after="0" w:line="91" w:lineRule="exact"/>
        <w:rPr>
          <w:sz w:val="20"/>
          <w:szCs w:val="20"/>
          <w:color w:val="auto"/>
        </w:rPr>
      </w:pPr>
    </w:p>
    <w:p>
      <w:pPr>
        <w:jc w:val="both"/>
        <w:spacing w:after="0" w:line="278" w:lineRule="auto"/>
        <w:rPr>
          <w:sz w:val="20"/>
          <w:szCs w:val="20"/>
          <w:color w:val="auto"/>
        </w:rPr>
      </w:pPr>
      <w:r>
        <w:rPr>
          <w:rFonts w:ascii="Arial" w:cs="Arial" w:eastAsia="Arial" w:hAnsi="Arial"/>
          <w:sz w:val="13"/>
          <w:szCs w:val="13"/>
          <w:b w:val="1"/>
          <w:bCs w:val="1"/>
          <w:i w:val="1"/>
          <w:iCs w:val="1"/>
          <w:color w:val="auto"/>
        </w:rPr>
        <w:t xml:space="preserve">Sales and marketing (S&amp;M) expenses: </w:t>
      </w:r>
      <w:r>
        <w:rPr>
          <w:rFonts w:ascii="Arial" w:cs="Arial" w:eastAsia="Arial" w:hAnsi="Arial"/>
          <w:sz w:val="13"/>
          <w:szCs w:val="13"/>
          <w:color w:val="auto"/>
        </w:rPr>
        <w:t>S&amp;M expenses consist primarily of salaries, commissions, travel and other costs associated with S&amp;M activities, as well as advertising, trade show</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spacing w:after="0" w:line="85" w:lineRule="exact"/>
        <w:rPr>
          <w:sz w:val="20"/>
          <w:szCs w:val="20"/>
          <w:color w:val="auto"/>
        </w:rPr>
      </w:pPr>
    </w:p>
    <w:p>
      <w:pPr>
        <w:jc w:val="both"/>
        <w:spacing w:after="0" w:line="278" w:lineRule="auto"/>
        <w:rPr>
          <w:sz w:val="20"/>
          <w:szCs w:val="20"/>
          <w:color w:val="auto"/>
        </w:rPr>
      </w:pPr>
      <w:r>
        <w:rPr>
          <w:rFonts w:ascii="Arial" w:cs="Arial" w:eastAsia="Arial" w:hAnsi="Arial"/>
          <w:sz w:val="13"/>
          <w:szCs w:val="13"/>
          <w:b w:val="1"/>
          <w:bCs w:val="1"/>
          <w:i w:val="1"/>
          <w:iCs w:val="1"/>
          <w:color w:val="auto"/>
        </w:rPr>
        <w:t xml:space="preserve">General and administrative (G&amp;A) expenses: </w:t>
      </w:r>
      <w:r>
        <w:rPr>
          <w:rFonts w:ascii="Arial" w:cs="Arial" w:eastAsia="Arial" w:hAnsi="Arial"/>
          <w:sz w:val="13"/>
          <w:szCs w:val="13"/>
          <w:color w:val="auto"/>
        </w:rPr>
        <w:t>G&amp;A expenses consist primarily of salaries for management and administrative employees, depreciation, insurance costs, accounting, legal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consulting fees, other professional service fees, expenses related to the development of corporate initiatives and facilities expenses associated with G&amp;A activities and stock-based compensation expense, fees for directors and other allocated costs.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spacing w:after="0" w:line="98"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i w:val="1"/>
          <w:iCs w:val="1"/>
          <w:color w:val="auto"/>
        </w:rPr>
        <w:t xml:space="preserve">Gain on extinguishment of debt: </w:t>
      </w:r>
      <w:r>
        <w:rPr>
          <w:rFonts w:ascii="Arial" w:cs="Arial" w:eastAsia="Arial" w:hAnsi="Arial"/>
          <w:sz w:val="13"/>
          <w:szCs w:val="13"/>
          <w:color w:val="auto"/>
        </w:rPr>
        <w:t>Gain on extinguishment of debt consists of forgiveness of a loan from the US Treasury Department’s Small Business Administration under their Payroll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Protection Plan (PPP Loan).</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i w:val="1"/>
          <w:iCs w:val="1"/>
          <w:color w:val="auto"/>
        </w:rPr>
        <w:t xml:space="preserve">Interest and other expense, net: </w:t>
      </w:r>
      <w:r>
        <w:rPr>
          <w:rFonts w:ascii="Arial" w:cs="Arial" w:eastAsia="Arial" w:hAnsi="Arial"/>
          <w:sz w:val="13"/>
          <w:szCs w:val="13"/>
          <w:color w:val="auto"/>
        </w:rPr>
        <w:t>Interest and other expense, net consists primarily of interest expense associated with our term loan and gains and losses from foreign currency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transactions.</w:t>
      </w:r>
    </w:p>
    <w:p>
      <w:pPr>
        <w:spacing w:after="0" w:line="277"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i w:val="1"/>
          <w:iCs w:val="1"/>
          <w:color w:val="auto"/>
        </w:rPr>
        <w:t xml:space="preserve">Provision for income taxes: </w:t>
      </w:r>
      <w:r>
        <w:rPr>
          <w:rFonts w:ascii="Arial" w:cs="Arial" w:eastAsia="Arial" w:hAnsi="Arial"/>
          <w:sz w:val="13"/>
          <w:szCs w:val="13"/>
          <w:color w:val="auto"/>
        </w:rPr>
        <w:t>Our income tax provision consists primarily of income taxes in certain foreign jurisdictions in which we conduct 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GAAP results of operations for the periods presented. The results below are not necessarily indicative of results to be expected for future periods.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7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Year ended December 31,</w:t>
            </w:r>
          </w:p>
        </w:tc>
        <w:tc>
          <w:tcPr>
            <w:tcW w:w="1020" w:type="dxa"/>
            <w:vAlign w:val="bottom"/>
            <w:tcBorders>
              <w:bottom w:val="single" w:sz="8" w:color="auto"/>
            </w:tcBorders>
          </w:tcPr>
          <w:p>
            <w:pPr>
              <w:spacing w:after="0"/>
              <w:rPr>
                <w:sz w:val="12"/>
                <w:szCs w:val="12"/>
                <w:color w:val="auto"/>
              </w:rPr>
            </w:pPr>
          </w:p>
        </w:tc>
      </w:tr>
      <w:tr>
        <w:trPr>
          <w:trHeight w:val="139"/>
        </w:trPr>
        <w:tc>
          <w:tcPr>
            <w:tcW w:w="778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rPr>
              <w:t>2020</w:t>
            </w:r>
          </w:p>
        </w:tc>
      </w:tr>
      <w:tr>
        <w:trPr>
          <w:trHeight w:val="139"/>
        </w:trPr>
        <w:tc>
          <w:tcPr>
            <w:tcW w:w="7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3"/>
          </w:tcPr>
          <w:p>
            <w:pPr>
              <w:jc w:val="center"/>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2"/>
                <w:szCs w:val="12"/>
                <w:color w:val="auto"/>
              </w:rPr>
            </w:pPr>
          </w:p>
        </w:tc>
      </w:tr>
      <w:tr>
        <w:trPr>
          <w:trHeight w:val="202"/>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revenue</w:t>
            </w: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37,864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31,812</w:t>
            </w:r>
          </w:p>
        </w:tc>
      </w:tr>
      <w:tr>
        <w:trPr>
          <w:trHeight w:val="20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revenue</w:t>
            </w: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3,731</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1,491</w:t>
            </w:r>
          </w:p>
        </w:tc>
      </w:tr>
      <w:tr>
        <w:trPr>
          <w:trHeight w:val="183"/>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10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34,133</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30,321</w:t>
            </w:r>
          </w:p>
        </w:tc>
      </w:tr>
      <w:tr>
        <w:trPr>
          <w:trHeight w:val="158"/>
        </w:trPr>
        <w:tc>
          <w:tcPr>
            <w:tcW w:w="778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2"/>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Research and development </w:t>
            </w:r>
            <w:r>
              <w:rPr>
                <w:rFonts w:ascii="Arial" w:cs="Arial" w:eastAsia="Arial" w:hAnsi="Arial"/>
                <w:sz w:val="17"/>
                <w:szCs w:val="17"/>
                <w:color w:val="auto"/>
                <w:vertAlign w:val="superscript"/>
              </w:rPr>
              <w:t>(1)</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30,812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17,020</w:t>
            </w:r>
          </w:p>
        </w:tc>
      </w:tr>
      <w:tr>
        <w:trPr>
          <w:trHeight w:val="202"/>
        </w:trPr>
        <w:tc>
          <w:tcPr>
            <w:tcW w:w="7780" w:type="dxa"/>
            <w:vAlign w:val="bottom"/>
          </w:tcPr>
          <w:p>
            <w:pPr>
              <w:ind w:left="20"/>
              <w:spacing w:after="0"/>
              <w:rPr>
                <w:sz w:val="20"/>
                <w:szCs w:val="20"/>
                <w:color w:val="auto"/>
              </w:rPr>
            </w:pPr>
            <w:r>
              <w:rPr>
                <w:rFonts w:ascii="Arial" w:cs="Arial" w:eastAsia="Arial" w:hAnsi="Arial"/>
                <w:sz w:val="13"/>
                <w:szCs w:val="13"/>
                <w:color w:val="auto"/>
              </w:rPr>
              <w:t xml:space="preserve">Sales and marketing </w:t>
            </w:r>
            <w:r>
              <w:rPr>
                <w:rFonts w:ascii="Arial" w:cs="Arial" w:eastAsia="Arial" w:hAnsi="Arial"/>
                <w:sz w:val="17"/>
                <w:szCs w:val="17"/>
                <w:color w:val="auto"/>
                <w:vertAlign w:val="superscript"/>
              </w:rPr>
              <w:t>(1)</w:t>
            </w:r>
          </w:p>
        </w:tc>
        <w:tc>
          <w:tcPr>
            <w:tcW w:w="10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11,726</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9,749</w:t>
            </w:r>
          </w:p>
        </w:tc>
      </w:tr>
      <w:tr>
        <w:trPr>
          <w:trHeight w:val="202"/>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General and administrative </w:t>
            </w:r>
            <w:r>
              <w:rPr>
                <w:rFonts w:ascii="Arial" w:cs="Arial" w:eastAsia="Arial" w:hAnsi="Arial"/>
                <w:sz w:val="17"/>
                <w:szCs w:val="17"/>
                <w:color w:val="auto"/>
                <w:vertAlign w:val="superscript"/>
              </w:rPr>
              <w:t>(1)</w:t>
            </w:r>
          </w:p>
        </w:tc>
        <w:tc>
          <w:tcPr>
            <w:tcW w:w="10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13,360</w:t>
            </w: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7,329</w:t>
            </w:r>
          </w:p>
        </w:tc>
      </w:tr>
      <w:tr>
        <w:trPr>
          <w:trHeight w:val="18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10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55,898</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34,098</w:t>
            </w:r>
          </w:p>
        </w:tc>
      </w:tr>
      <w:tr>
        <w:trPr>
          <w:trHeight w:val="183"/>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operations</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(21,765)</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(3,777)</w:t>
            </w:r>
          </w:p>
        </w:tc>
      </w:tr>
    </w:tbl>
    <w:p>
      <w:pPr>
        <w:spacing w:after="0" w:line="16" w:lineRule="exact"/>
        <w:rPr>
          <w:sz w:val="20"/>
          <w:szCs w:val="20"/>
          <w:color w:val="auto"/>
        </w:rPr>
      </w:pPr>
    </w:p>
    <w:p>
      <w:pPr>
        <w:sectPr>
          <w:pgSz w:w="11900" w:h="16838" w:orient="portrait"/>
          <w:cols w:equalWidth="0" w:num="1">
            <w:col w:w="11280"/>
          </w:cols>
          <w:pgMar w:left="300" w:top="125" w:right="319" w:bottom="1440" w:gutter="0" w:footer="0" w:header="0"/>
        </w:sectPr>
      </w:pPr>
    </w:p>
    <w:p>
      <w:pPr>
        <w:ind w:left="20"/>
        <w:spacing w:after="0"/>
        <w:rPr>
          <w:sz w:val="20"/>
          <w:szCs w:val="20"/>
          <w:color w:val="auto"/>
        </w:rPr>
      </w:pPr>
      <w:r>
        <w:rPr>
          <w:rFonts w:ascii="Arial" w:cs="Arial" w:eastAsia="Arial" w:hAnsi="Arial"/>
          <w:sz w:val="13"/>
          <w:szCs w:val="13"/>
          <w:color w:val="auto"/>
        </w:rPr>
        <w:t>Gain on extinguishment of debt</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Interest and other expense, net</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Loss before provision for income taxes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Provision for income taxes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loss</w:t>
      </w:r>
    </w:p>
    <w:p>
      <w:pPr>
        <w:spacing w:after="0" w:line="135"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1"/>
          <w:szCs w:val="11"/>
          <w:color w:val="auto"/>
        </w:rPr>
        <w:t>(1)</w:t>
        <w:tab/>
        <w:t>Includes stock-based compensation expense as follows: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1,593</w:t>
            </w:r>
          </w:p>
        </w:tc>
      </w:tr>
      <w:tr>
        <w:trPr>
          <w:trHeight w:val="203"/>
        </w:trPr>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w:t>
            </w: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r>
      <w:tr>
        <w:trPr>
          <w:trHeight w:val="180"/>
        </w:trPr>
        <w:tc>
          <w:tcPr>
            <w:tcW w:w="4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(22,344)</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(2,234)</w:t>
            </w:r>
          </w:p>
        </w:tc>
      </w:tr>
      <w:tr>
        <w:trPr>
          <w:trHeight w:val="203"/>
        </w:trPr>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1,040</w:t>
            </w: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1,026</w:t>
            </w:r>
          </w:p>
        </w:tc>
      </w:tr>
      <w:tr>
        <w:trPr>
          <w:trHeight w:val="160"/>
        </w:trPr>
        <w:tc>
          <w:tcPr>
            <w:tcW w:w="4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(23,384)</w:t>
            </w:r>
          </w:p>
        </w:tc>
        <w:tc>
          <w:tcPr>
            <w:tcW w:w="80" w:type="dxa"/>
            <w:vAlign w:val="bottom"/>
          </w:tcPr>
          <w:p>
            <w:pPr>
              <w:spacing w:after="0"/>
              <w:rPr>
                <w:sz w:val="13"/>
                <w:szCs w:val="13"/>
                <w:color w:val="auto"/>
              </w:rPr>
            </w:pPr>
          </w:p>
        </w:tc>
        <w:tc>
          <w:tcPr>
            <w:tcW w:w="68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(3,260)</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9"/>
        </w:trPr>
        <w:tc>
          <w:tcPr>
            <w:tcW w:w="4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1"/>
                <w:szCs w:val="11"/>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r>
      <w:tr>
        <w:trPr>
          <w:trHeight w:val="143"/>
        </w:trPr>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77"/>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55"/>
              <w:spacing w:after="0"/>
              <w:rPr>
                <w:sz w:val="20"/>
                <w:szCs w:val="20"/>
                <w:color w:val="auto"/>
              </w:rPr>
            </w:pPr>
            <w:r>
              <w:rPr>
                <w:rFonts w:ascii="Arial" w:cs="Arial" w:eastAsia="Arial" w:hAnsi="Arial"/>
                <w:sz w:val="11"/>
                <w:szCs w:val="11"/>
                <w:b w:val="1"/>
                <w:bCs w:val="1"/>
                <w:color w:val="auto"/>
              </w:rPr>
              <w:t>2020</w:t>
            </w:r>
          </w:p>
        </w:tc>
      </w:tr>
      <w:tr>
        <w:trPr>
          <w:trHeight w:val="139"/>
        </w:trPr>
        <w:tc>
          <w:tcPr>
            <w:tcW w:w="420" w:type="dxa"/>
            <w:vAlign w:val="bottom"/>
          </w:tcPr>
          <w:p>
            <w:pPr>
              <w:spacing w:after="0"/>
              <w:rPr>
                <w:sz w:val="12"/>
                <w:szCs w:val="12"/>
                <w:color w:val="auto"/>
              </w:rPr>
            </w:pPr>
          </w:p>
        </w:tc>
        <w:tc>
          <w:tcPr>
            <w:tcW w:w="2060" w:type="dxa"/>
            <w:vAlign w:val="bottom"/>
            <w:gridSpan w:val="3"/>
          </w:tcPr>
          <w:p>
            <w:pPr>
              <w:jc w:val="center"/>
              <w:ind w:left="557"/>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-1057275</wp:posOffset>
            </wp:positionV>
            <wp:extent cx="7161530" cy="128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-801370</wp:posOffset>
            </wp:positionV>
            <wp:extent cx="7161530" cy="128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060" w:space="720"/>
            <w:col w:w="350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70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3,495</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1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r>
      <w:tr>
        <w:trPr>
          <w:trHeight w:val="200"/>
        </w:trPr>
        <w:tc>
          <w:tcPr>
            <w:tcW w:w="778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7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797</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203"/>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7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1,218</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r>
      <w:tr>
        <w:trPr>
          <w:trHeight w:val="160"/>
        </w:trPr>
        <w:tc>
          <w:tcPr>
            <w:tcW w:w="7780" w:type="dxa"/>
            <w:vAlign w:val="bottom"/>
          </w:tcPr>
          <w:p>
            <w:pPr>
              <w:ind w:left="20"/>
              <w:spacing w:after="0" w:line="160" w:lineRule="exact"/>
              <w:rPr>
                <w:sz w:val="20"/>
                <w:szCs w:val="20"/>
                <w:color w:val="auto"/>
              </w:rPr>
            </w:pPr>
            <w:r>
              <w:rPr>
                <w:rFonts w:ascii="Arial" w:cs="Arial" w:eastAsia="Arial" w:hAnsi="Arial"/>
                <w:sz w:val="13"/>
                <w:szCs w:val="13"/>
                <w:color w:val="auto"/>
              </w:rPr>
              <w:t xml:space="preserve">Total stock-based compensation expense </w:t>
            </w:r>
            <w:r>
              <w:rPr>
                <w:rFonts w:ascii="Arial" w:cs="Arial" w:eastAsia="Arial" w:hAnsi="Arial"/>
                <w:sz w:val="17"/>
                <w:szCs w:val="17"/>
                <w:color w:val="auto"/>
                <w:vertAlign w:val="superscript"/>
              </w:rPr>
              <w:t>(a)</w:t>
            </w:r>
          </w:p>
        </w:tc>
        <w:tc>
          <w:tcPr>
            <w:tcW w:w="70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5,510</w:t>
            </w:r>
          </w:p>
        </w:tc>
        <w:tc>
          <w:tcPr>
            <w:tcW w:w="80" w:type="dxa"/>
            <w:vAlign w:val="bottom"/>
          </w:tcPr>
          <w:p>
            <w:pPr>
              <w:spacing w:after="0"/>
              <w:rPr>
                <w:sz w:val="13"/>
                <w:szCs w:val="13"/>
                <w:color w:val="auto"/>
              </w:rPr>
            </w:pPr>
          </w:p>
        </w:tc>
        <w:tc>
          <w:tcPr>
            <w:tcW w:w="760" w:type="dxa"/>
            <w:vAlign w:val="bottom"/>
            <w:tcBorders>
              <w:bottom w:val="single" w:sz="8" w:color="auto"/>
            </w:tcBorders>
          </w:tcPr>
          <w:p>
            <w:pPr>
              <w:jc w:val="right"/>
              <w:ind w:right="61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w:t>
            </w:r>
          </w:p>
        </w:tc>
      </w:tr>
      <w:tr>
        <w:trPr>
          <w:trHeight w:val="20"/>
        </w:trPr>
        <w:tc>
          <w:tcPr>
            <w:tcW w:w="7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(a) Stock-based compensation expense attributable to cost of revenue is immaterial.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1"/>
          <w:szCs w:val="11"/>
          <w:color w:val="auto"/>
        </w:rPr>
        <w:t>During the year ended December 31, 2021, we began recognizing, using graded vesting, stock-based compensation expense associated with our restricted stock units (RSUs) granted prior to our IPO as the performance-based vesting conditions applicable to such RSUs were satisfied upon the effectiveness of our IPO in October 2021. We recognized stock-based compensation expense of $3.5 million associated with such RSUs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110490</wp:posOffset>
            </wp:positionV>
            <wp:extent cx="3637915" cy="806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37915" cy="80645"/>
                    </a:xfrm>
                    <a:prstGeom prst="rect">
                      <a:avLst/>
                    </a:prstGeom>
                    <a:noFill/>
                  </pic:spPr>
                </pic:pic>
              </a:graphicData>
            </a:graphic>
          </wp:anchor>
        </w:drawing>
      </w:r>
    </w:p>
    <w:p>
      <w:pPr>
        <w:spacing w:after="0" w:line="158" w:lineRule="exact"/>
        <w:rPr>
          <w:sz w:val="20"/>
          <w:szCs w:val="20"/>
          <w:color w:val="auto"/>
        </w:rPr>
      </w:pPr>
    </w:p>
    <w:p>
      <w:pPr>
        <w:spacing w:after="0"/>
        <w:rPr>
          <w:rFonts w:ascii="Arial" w:cs="Arial" w:eastAsia="Arial" w:hAnsi="Arial"/>
          <w:sz w:val="11"/>
          <w:szCs w:val="11"/>
          <w:color w:val="auto"/>
        </w:rPr>
      </w:pPr>
      <w:r>
        <w:rPr>
          <w:rFonts w:ascii="Arial" w:cs="Arial" w:eastAsia="Arial" w:hAnsi="Arial"/>
          <w:sz w:val="11"/>
          <w:szCs w:val="11"/>
          <w:color w:val="auto"/>
        </w:rPr>
        <w:t xml:space="preserve">See </w:t>
      </w:r>
      <w:hyperlink w:anchor="page102">
        <w:r>
          <w:rPr>
            <w:rFonts w:ascii="Arial" w:cs="Arial" w:eastAsia="Arial" w:hAnsi="Arial"/>
            <w:sz w:val="11"/>
            <w:szCs w:val="11"/>
            <w:u w:val="single" w:color="auto"/>
            <w:color w:val="0000FF"/>
          </w:rPr>
          <w:t>Note 13</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to our consolidated financial statements included elsewhere in this Annual Report on Form 10-K for further details.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results of operations as a percentage of total revenue for each of the periods indicated:</w:t>
      </w:r>
    </w:p>
    <w:p>
      <w:pPr>
        <w:spacing w:after="0" w:line="174" w:lineRule="exact"/>
        <w:rPr>
          <w:sz w:val="20"/>
          <w:szCs w:val="20"/>
          <w:color w:val="auto"/>
        </w:rPr>
      </w:pPr>
    </w:p>
    <w:p>
      <w:pPr>
        <w:ind w:left="8760"/>
        <w:spacing w:after="0"/>
        <w:rPr>
          <w:sz w:val="20"/>
          <w:szCs w:val="20"/>
          <w:color w:val="auto"/>
        </w:rPr>
      </w:pPr>
      <w:r>
        <w:rPr>
          <w:rFonts w:ascii="Arial" w:cs="Arial" w:eastAsia="Arial" w:hAnsi="Arial"/>
          <w:sz w:val="11"/>
          <w:szCs w:val="11"/>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62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2021</w:t>
            </w:r>
          </w:p>
        </w:tc>
        <w:tc>
          <w:tcPr>
            <w:tcW w:w="188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top w:val="single" w:sz="8" w:color="auto"/>
              <w:bottom w:val="single" w:sz="8" w:color="auto"/>
            </w:tcBorders>
          </w:tcPr>
          <w:p>
            <w:pPr>
              <w:spacing w:after="0"/>
              <w:rPr>
                <w:sz w:val="12"/>
                <w:szCs w:val="12"/>
                <w:color w:val="auto"/>
              </w:rPr>
            </w:pPr>
          </w:p>
        </w:tc>
      </w:tr>
      <w:tr>
        <w:trPr>
          <w:trHeight w:val="139"/>
        </w:trPr>
        <w:tc>
          <w:tcPr>
            <w:tcW w:w="7620" w:type="dxa"/>
            <w:vAlign w:val="bottom"/>
          </w:tcPr>
          <w:p>
            <w:pPr>
              <w:spacing w:after="0"/>
              <w:rPr>
                <w:sz w:val="12"/>
                <w:szCs w:val="12"/>
                <w:color w:val="auto"/>
              </w:rPr>
            </w:pPr>
          </w:p>
        </w:tc>
        <w:tc>
          <w:tcPr>
            <w:tcW w:w="3080" w:type="dxa"/>
            <w:vAlign w:val="bottom"/>
            <w:gridSpan w:val="4"/>
          </w:tcPr>
          <w:p>
            <w:pPr>
              <w:jc w:val="right"/>
              <w:ind w:right="400"/>
              <w:spacing w:after="0"/>
              <w:rPr>
                <w:sz w:val="20"/>
                <w:szCs w:val="20"/>
                <w:color w:val="auto"/>
              </w:rPr>
            </w:pPr>
            <w:r>
              <w:rPr>
                <w:rFonts w:ascii="Arial" w:cs="Arial" w:eastAsia="Arial" w:hAnsi="Arial"/>
                <w:sz w:val="11"/>
                <w:szCs w:val="11"/>
                <w:i w:val="1"/>
                <w:iCs w:val="1"/>
                <w:color w:val="auto"/>
              </w:rPr>
              <w:t>(as a percentage of total revenue)</w:t>
            </w:r>
          </w:p>
        </w:tc>
        <w:tc>
          <w:tcPr>
            <w:tcW w:w="580" w:type="dxa"/>
            <w:vAlign w:val="bottom"/>
          </w:tcPr>
          <w:p>
            <w:pPr>
              <w:spacing w:after="0"/>
              <w:rPr>
                <w:sz w:val="12"/>
                <w:szCs w:val="12"/>
                <w:color w:val="auto"/>
              </w:rPr>
            </w:pPr>
          </w:p>
        </w:tc>
      </w:tr>
      <w:tr>
        <w:trPr>
          <w:trHeight w:val="202"/>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r>
      <w:tr>
        <w:trPr>
          <w:trHeight w:val="200"/>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revenue</w:t>
            </w:r>
          </w:p>
        </w:tc>
        <w:tc>
          <w:tcPr>
            <w:tcW w:w="1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5</w:t>
            </w:r>
          </w:p>
        </w:tc>
      </w:tr>
      <w:tr>
        <w:trPr>
          <w:trHeight w:val="182"/>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12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95</w:t>
            </w:r>
          </w:p>
        </w:tc>
      </w:tr>
      <w:tr>
        <w:trPr>
          <w:trHeight w:val="159"/>
        </w:trPr>
        <w:tc>
          <w:tcPr>
            <w:tcW w:w="8820" w:type="dxa"/>
            <w:vAlign w:val="bottom"/>
            <w:gridSpan w:val="2"/>
          </w:tcPr>
          <w:p>
            <w:pPr>
              <w:ind w:left="20"/>
              <w:spacing w:after="0"/>
              <w:rPr>
                <w:sz w:val="20"/>
                <w:szCs w:val="20"/>
                <w:color w:val="auto"/>
              </w:rPr>
            </w:pPr>
            <w:r>
              <w:rPr>
                <w:rFonts w:ascii="Arial" w:cs="Arial" w:eastAsia="Arial" w:hAnsi="Arial"/>
                <w:sz w:val="13"/>
                <w:szCs w:val="13"/>
                <w:color w:val="auto"/>
              </w:rPr>
              <w:t>Operating expenses: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4"/>
        </w:trPr>
        <w:tc>
          <w:tcPr>
            <w:tcW w:w="7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2"/>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54</w:t>
            </w:r>
          </w:p>
        </w:tc>
      </w:tr>
      <w:tr>
        <w:trPr>
          <w:trHeight w:val="200"/>
        </w:trPr>
        <w:tc>
          <w:tcPr>
            <w:tcW w:w="8820" w:type="dxa"/>
            <w:vAlign w:val="bottom"/>
            <w:gridSpan w:val="2"/>
          </w:tcPr>
          <w:p>
            <w:pPr>
              <w:ind w:left="20"/>
              <w:spacing w:after="0"/>
              <w:rPr>
                <w:sz w:val="20"/>
                <w:szCs w:val="20"/>
                <w:color w:val="auto"/>
              </w:rPr>
            </w:pPr>
            <w:r>
              <w:rPr>
                <w:rFonts w:ascii="Arial" w:cs="Arial" w:eastAsia="Arial" w:hAnsi="Arial"/>
                <w:sz w:val="13"/>
                <w:szCs w:val="13"/>
                <w:color w:val="auto"/>
              </w:rPr>
              <w:t>Sales and marketing</w:t>
            </w:r>
          </w:p>
        </w:tc>
        <w:tc>
          <w:tcPr>
            <w:tcW w:w="580" w:type="dxa"/>
            <w:vAlign w:val="bottom"/>
          </w:tcPr>
          <w:p>
            <w:pPr>
              <w:jc w:val="right"/>
              <w:ind w:right="94"/>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3"/>
                <w:szCs w:val="13"/>
                <w:color w:val="auto"/>
              </w:rPr>
              <w:t>31</w:t>
            </w:r>
          </w:p>
        </w:tc>
      </w:tr>
      <w:tr>
        <w:trPr>
          <w:trHeight w:val="202"/>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1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22</w:t>
            </w:r>
          </w:p>
        </w:tc>
      </w:tr>
      <w:tr>
        <w:trPr>
          <w:trHeight w:val="182"/>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1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148</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107</w:t>
            </w:r>
          </w:p>
        </w:tc>
      </w:tr>
      <w:tr>
        <w:trPr>
          <w:trHeight w:val="18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Loss from operations</w:t>
            </w: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w:t>
            </w:r>
          </w:p>
        </w:tc>
      </w:tr>
    </w:tbl>
    <w:p>
      <w:pPr>
        <w:spacing w:after="0" w:line="16" w:lineRule="exact"/>
        <w:rPr>
          <w:sz w:val="20"/>
          <w:szCs w:val="20"/>
          <w:color w:val="auto"/>
        </w:rPr>
      </w:pPr>
    </w:p>
    <w:p>
      <w:pPr>
        <w:sectPr>
          <w:pgSz w:w="11900" w:h="16838" w:orient="portrait"/>
          <w:cols w:equalWidth="0" w:num="1">
            <w:col w:w="11280"/>
          </w:cols>
          <w:pgMar w:left="300" w:top="125" w:right="319" w:bottom="1440" w:gutter="0" w:footer="0" w:header="0"/>
        </w:sectPr>
      </w:pPr>
    </w:p>
    <w:p>
      <w:pPr>
        <w:ind w:left="20"/>
        <w:spacing w:after="0"/>
        <w:rPr>
          <w:sz w:val="20"/>
          <w:szCs w:val="20"/>
          <w:color w:val="auto"/>
        </w:rPr>
      </w:pPr>
      <w:r>
        <w:rPr>
          <w:rFonts w:ascii="Arial" w:cs="Arial" w:eastAsia="Arial" w:hAnsi="Arial"/>
          <w:sz w:val="13"/>
          <w:szCs w:val="13"/>
          <w:color w:val="auto"/>
        </w:rPr>
        <w:t>Gain on extinguishment of debt</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Interest and other expense, net</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Loss before provision for income taxes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Provision for income taxes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loss</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the Years Ended December 31, 2021 and 2020</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2540" w:type="dxa"/>
        <w:tblCellMar>
          <w:top w:w="0" w:type="dxa"/>
          <w:left w:w="0" w:type="dxa"/>
          <w:bottom w:w="0" w:type="dxa"/>
          <w:right w:w="0" w:type="dxa"/>
        </w:tblCellMar>
      </w:tblPr>
      <w:tr>
        <w:trPr>
          <w:trHeight w:val="162"/>
        </w:trPr>
        <w:tc>
          <w:tcPr>
            <w:tcW w:w="1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113"/>
              <w:spacing w:after="0"/>
              <w:rPr>
                <w:sz w:val="20"/>
                <w:szCs w:val="20"/>
                <w:color w:val="auto"/>
              </w:rPr>
            </w:pPr>
            <w:r>
              <w:rPr>
                <w:rFonts w:ascii="Arial" w:cs="Arial" w:eastAsia="Arial" w:hAnsi="Arial"/>
                <w:sz w:val="13"/>
                <w:szCs w:val="13"/>
                <w:color w:val="auto"/>
              </w:rPr>
              <w:t>5</w:t>
            </w:r>
          </w:p>
        </w:tc>
      </w:tr>
      <w:tr>
        <w:trPr>
          <w:trHeight w:val="203"/>
        </w:trPr>
        <w:tc>
          <w:tcPr>
            <w:tcW w:w="17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7"/>
                <w:szCs w:val="17"/>
                <w:color w:val="auto"/>
              </w:rPr>
            </w:pPr>
          </w:p>
        </w:tc>
        <w:tc>
          <w:tcPr>
            <w:tcW w:w="17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r>
      <w:tr>
        <w:trPr>
          <w:trHeight w:val="180"/>
        </w:trPr>
        <w:tc>
          <w:tcPr>
            <w:tcW w:w="1780" w:type="dxa"/>
            <w:vAlign w:val="bottom"/>
          </w:tcPr>
          <w:p>
            <w:pPr>
              <w:jc w:val="right"/>
              <w:ind w:right="73"/>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5"/>
                <w:szCs w:val="15"/>
                <w:color w:val="auto"/>
              </w:rPr>
            </w:pPr>
          </w:p>
        </w:tc>
        <w:tc>
          <w:tcPr>
            <w:tcW w:w="1780" w:type="dxa"/>
            <w:vAlign w:val="bottom"/>
          </w:tcPr>
          <w:p>
            <w:pPr>
              <w:jc w:val="right"/>
              <w:ind w:right="73"/>
              <w:spacing w:after="0"/>
              <w:rPr>
                <w:sz w:val="20"/>
                <w:szCs w:val="20"/>
                <w:color w:val="auto"/>
              </w:rPr>
            </w:pPr>
            <w:r>
              <w:rPr>
                <w:rFonts w:ascii="Arial" w:cs="Arial" w:eastAsia="Arial" w:hAnsi="Arial"/>
                <w:sz w:val="13"/>
                <w:szCs w:val="13"/>
                <w:color w:val="auto"/>
              </w:rPr>
              <w:t>(7)</w:t>
            </w:r>
          </w:p>
        </w:tc>
      </w:tr>
      <w:tr>
        <w:trPr>
          <w:trHeight w:val="203"/>
        </w:trPr>
        <w:tc>
          <w:tcPr>
            <w:tcW w:w="17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7"/>
                <w:szCs w:val="17"/>
                <w:color w:val="auto"/>
              </w:rPr>
            </w:pPr>
          </w:p>
        </w:tc>
        <w:tc>
          <w:tcPr>
            <w:tcW w:w="17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3</w:t>
            </w:r>
          </w:p>
        </w:tc>
      </w:tr>
      <w:tr>
        <w:trPr>
          <w:trHeight w:val="160"/>
        </w:trPr>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3"/>
                <w:szCs w:val="1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-525145</wp:posOffset>
            </wp:positionV>
            <wp:extent cx="7161530" cy="128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-268605</wp:posOffset>
            </wp:positionV>
            <wp:extent cx="7161530" cy="128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080" w:type="dxa"/>
            <w:vAlign w:val="bottom"/>
            <w:gridSpan w:val="3"/>
          </w:tcPr>
          <w:p>
            <w:pPr>
              <w:ind w:left="800"/>
              <w:spacing w:after="0"/>
              <w:rPr>
                <w:sz w:val="20"/>
                <w:szCs w:val="20"/>
                <w:color w:val="auto"/>
              </w:rPr>
            </w:pPr>
            <w:r>
              <w:rPr>
                <w:rFonts w:ascii="Arial" w:cs="Arial" w:eastAsia="Arial" w:hAnsi="Arial"/>
                <w:sz w:val="11"/>
                <w:szCs w:val="11"/>
                <w:b w:val="1"/>
                <w:bCs w:val="1"/>
                <w:color w:val="auto"/>
              </w:rPr>
              <w:t>Year Ended December 31,</w:t>
            </w:r>
          </w:p>
        </w:tc>
        <w:tc>
          <w:tcPr>
            <w:tcW w:w="1060" w:type="dxa"/>
            <w:vAlign w:val="bottom"/>
          </w:tcPr>
          <w:p>
            <w:pPr>
              <w:spacing w:after="0"/>
              <w:rPr>
                <w:sz w:val="12"/>
                <w:szCs w:val="12"/>
                <w:color w:val="auto"/>
              </w:rPr>
            </w:pPr>
          </w:p>
        </w:tc>
        <w:tc>
          <w:tcPr>
            <w:tcW w:w="2060" w:type="dxa"/>
            <w:vAlign w:val="bottom"/>
            <w:gridSpan w:val="3"/>
          </w:tcPr>
          <w:p>
            <w:pPr>
              <w:jc w:val="right"/>
              <w:ind w:right="1340"/>
              <w:spacing w:after="0"/>
              <w:rPr>
                <w:sz w:val="20"/>
                <w:szCs w:val="20"/>
                <w:color w:val="auto"/>
              </w:rPr>
            </w:pPr>
            <w:r>
              <w:rPr>
                <w:rFonts w:ascii="Arial" w:cs="Arial" w:eastAsia="Arial" w:hAnsi="Arial"/>
                <w:sz w:val="11"/>
                <w:szCs w:val="11"/>
                <w:b w:val="1"/>
                <w:bCs w:val="1"/>
                <w:color w:val="auto"/>
              </w:rPr>
              <w:t>Change</w:t>
            </w:r>
          </w:p>
        </w:tc>
      </w:tr>
      <w:tr>
        <w:trPr>
          <w:trHeight w:val="139"/>
        </w:trPr>
        <w:tc>
          <w:tcPr>
            <w:tcW w:w="1360" w:type="dxa"/>
            <w:vAlign w:val="bottom"/>
            <w:tcBorders>
              <w:top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2021</w:t>
            </w:r>
          </w:p>
        </w:tc>
        <w:tc>
          <w:tcPr>
            <w:tcW w:w="1640" w:type="dxa"/>
            <w:vAlign w:val="bottom"/>
            <w:tcBorders>
              <w:top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1060" w:type="dxa"/>
            <w:vAlign w:val="bottom"/>
            <w:tcBorders>
              <w:top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w:t>
            </w:r>
          </w:p>
        </w:tc>
        <w:tc>
          <w:tcPr>
            <w:tcW w:w="2060" w:type="dxa"/>
            <w:vAlign w:val="bottom"/>
            <w:tcBorders>
              <w:top w:val="single" w:sz="8" w:color="auto"/>
            </w:tcBorders>
            <w:gridSpan w:val="3"/>
          </w:tcPr>
          <w:p>
            <w:pPr>
              <w:jc w:val="right"/>
              <w:ind w:right="740"/>
              <w:spacing w:after="0"/>
              <w:rPr>
                <w:sz w:val="20"/>
                <w:szCs w:val="20"/>
                <w:color w:val="auto"/>
              </w:rPr>
            </w:pPr>
            <w:r>
              <w:rPr>
                <w:rFonts w:ascii="Arial" w:cs="Arial" w:eastAsia="Arial" w:hAnsi="Arial"/>
                <w:sz w:val="11"/>
                <w:szCs w:val="11"/>
                <w:b w:val="1"/>
                <w:bCs w:val="1"/>
                <w:color w:val="auto"/>
              </w:rPr>
              <w:t>%</w:t>
            </w:r>
          </w:p>
        </w:tc>
      </w:tr>
      <w:tr>
        <w:trPr>
          <w:trHeight w:val="139"/>
        </w:trPr>
        <w:tc>
          <w:tcPr>
            <w:tcW w:w="13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2"/>
          </w:tcPr>
          <w:p>
            <w:pPr>
              <w:jc w:val="center"/>
              <w:ind w:left="43"/>
              <w:spacing w:after="0"/>
              <w:rPr>
                <w:sz w:val="20"/>
                <w:szCs w:val="20"/>
                <w:color w:val="auto"/>
              </w:rPr>
            </w:pPr>
            <w:r>
              <w:rPr>
                <w:rFonts w:ascii="Arial" w:cs="Arial" w:eastAsia="Arial" w:hAnsi="Arial"/>
                <w:sz w:val="11"/>
                <w:szCs w:val="11"/>
                <w:b w:val="1"/>
                <w:bCs w:val="1"/>
                <w:i w:val="1"/>
                <w:iCs w:val="1"/>
                <w:color w:val="auto"/>
              </w:rPr>
              <w:t>(in thousands)</w:t>
            </w:r>
          </w:p>
        </w:tc>
        <w:tc>
          <w:tcPr>
            <w:tcW w:w="10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r>
    </w:tbl>
    <w:p>
      <w:pPr>
        <w:spacing w:after="0" w:line="20" w:lineRule="exact"/>
        <w:rPr>
          <w:sz w:val="20"/>
          <w:szCs w:val="20"/>
          <w:color w:val="auto"/>
        </w:rPr>
      </w:pPr>
    </w:p>
    <w:p>
      <w:pPr>
        <w:sectPr>
          <w:pgSz w:w="11900" w:h="16838" w:orient="portrait"/>
          <w:cols w:equalWidth="0" w:num="2">
            <w:col w:w="4360" w:space="720"/>
            <w:col w:w="620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Licensing, support and maintenance</w:t>
            </w:r>
          </w:p>
        </w:tc>
        <w:tc>
          <w:tcPr>
            <w:tcW w:w="5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34,731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27,408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7,323</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27 %</w:t>
            </w:r>
          </w:p>
        </w:tc>
      </w:tr>
      <w:tr>
        <w:trPr>
          <w:trHeight w:val="200"/>
        </w:trPr>
        <w:tc>
          <w:tcPr>
            <w:tcW w:w="5080" w:type="dxa"/>
            <w:vAlign w:val="bottom"/>
          </w:tcPr>
          <w:p>
            <w:pPr>
              <w:ind w:left="20"/>
              <w:spacing w:after="0"/>
              <w:rPr>
                <w:sz w:val="20"/>
                <w:szCs w:val="20"/>
                <w:color w:val="auto"/>
              </w:rPr>
            </w:pPr>
            <w:r>
              <w:rPr>
                <w:rFonts w:ascii="Arial" w:cs="Arial" w:eastAsia="Arial" w:hAnsi="Arial"/>
                <w:sz w:val="13"/>
                <w:szCs w:val="13"/>
                <w:color w:val="auto"/>
              </w:rPr>
              <w:t>Variable royalties</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2,647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3,470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(823)</w:t>
            </w:r>
          </w:p>
        </w:tc>
        <w:tc>
          <w:tcPr>
            <w:tcW w:w="1660" w:type="dxa"/>
            <w:vAlign w:val="bottom"/>
          </w:tcPr>
          <w:p>
            <w:pPr>
              <w:jc w:val="right"/>
              <w:ind w:right="73"/>
              <w:spacing w:after="0"/>
              <w:rPr>
                <w:sz w:val="20"/>
                <w:szCs w:val="20"/>
                <w:color w:val="auto"/>
              </w:rPr>
            </w:pPr>
            <w:r>
              <w:rPr>
                <w:rFonts w:ascii="Arial" w:cs="Arial" w:eastAsia="Arial" w:hAnsi="Arial"/>
                <w:sz w:val="13"/>
                <w:szCs w:val="13"/>
                <w:color w:val="auto"/>
              </w:rPr>
              <w:t>(24)</w:t>
            </w:r>
          </w:p>
        </w:tc>
      </w:tr>
      <w:tr>
        <w:trPr>
          <w:trHeight w:val="202"/>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934</w:t>
            </w:r>
          </w:p>
        </w:tc>
        <w:tc>
          <w:tcPr>
            <w:tcW w:w="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16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(48)</w:t>
            </w:r>
          </w:p>
        </w:tc>
      </w:tr>
      <w:tr>
        <w:trPr>
          <w:trHeight w:val="162"/>
        </w:trPr>
        <w:tc>
          <w:tcPr>
            <w:tcW w:w="5080" w:type="dxa"/>
            <w:vAlign w:val="bottom"/>
          </w:tcPr>
          <w:p>
            <w:pPr>
              <w:ind w:left="20"/>
              <w:spacing w:after="0"/>
              <w:rPr>
                <w:sz w:val="20"/>
                <w:szCs w:val="20"/>
                <w:color w:val="auto"/>
              </w:rPr>
            </w:pPr>
            <w:r>
              <w:rPr>
                <w:rFonts w:ascii="Arial" w:cs="Arial" w:eastAsia="Arial" w:hAnsi="Arial"/>
                <w:sz w:val="13"/>
                <w:szCs w:val="13"/>
                <w:color w:val="auto"/>
              </w:rPr>
              <w:t>Total</w:t>
            </w:r>
          </w:p>
        </w:tc>
        <w:tc>
          <w:tcPr>
            <w:tcW w:w="5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37,864</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31,812</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6,052</w:t>
            </w:r>
          </w:p>
        </w:tc>
        <w:tc>
          <w:tcPr>
            <w:tcW w:w="1660" w:type="dxa"/>
            <w:vAlign w:val="bottom"/>
          </w:tcPr>
          <w:p>
            <w:pPr>
              <w:jc w:val="right"/>
              <w:spacing w:after="0"/>
              <w:rPr>
                <w:sz w:val="20"/>
                <w:szCs w:val="20"/>
                <w:color w:val="auto"/>
              </w:rPr>
            </w:pPr>
            <w:r>
              <w:rPr>
                <w:rFonts w:ascii="Arial" w:cs="Arial" w:eastAsia="Arial" w:hAnsi="Arial"/>
                <w:sz w:val="13"/>
                <w:szCs w:val="13"/>
                <w:color w:val="auto"/>
              </w:rPr>
              <w:t>19 %</w:t>
            </w:r>
          </w:p>
        </w:tc>
      </w:tr>
      <w:tr>
        <w:trPr>
          <w:trHeight w:val="20"/>
        </w:trPr>
        <w:tc>
          <w:tcPr>
            <w:tcW w:w="5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 xml:space="preserve">Revenue from licensing, support and maintenance increased 27% during the year ended </w:t>
      </w:r>
      <w:r>
        <w:rPr>
          <w:rFonts w:ascii="Arial" w:cs="Arial" w:eastAsia="Arial" w:hAnsi="Arial"/>
          <w:sz w:val="14"/>
          <w:szCs w:val="14"/>
          <w:color w:val="auto"/>
        </w:rPr>
        <w:t>December 31, 2021</w:t>
      </w:r>
      <w:r>
        <w:rPr>
          <w:rFonts w:ascii="Arial" w:cs="Arial" w:eastAsia="Arial" w:hAnsi="Arial"/>
          <w:sz w:val="13"/>
          <w:szCs w:val="13"/>
          <w:color w:val="auto"/>
        </w:rPr>
        <w:t xml:space="preserve"> as compared to the year ended December 31, 2020. The increase was primarily due to the addition of new customers, including those gained as a result of the Magillem acquisition in November 2020, and the increase in new license agreements with existing customers. The decrease in variable royalty revenue during the year ended </w:t>
      </w:r>
      <w:r>
        <w:rPr>
          <w:rFonts w:ascii="Arial" w:cs="Arial" w:eastAsia="Arial" w:hAnsi="Arial"/>
          <w:sz w:val="14"/>
          <w:szCs w:val="14"/>
          <w:color w:val="auto"/>
        </w:rPr>
        <w:t>December 31, 2021 was primarily due to a decrease in sales volume of a significant customer as a result of</w:t>
      </w:r>
      <w:r>
        <w:rPr>
          <w:rFonts w:ascii="Arial" w:cs="Arial" w:eastAsia="Arial" w:hAnsi="Arial"/>
          <w:sz w:val="13"/>
          <w:szCs w:val="13"/>
          <w:color w:val="auto"/>
        </w:rPr>
        <w:t xml:space="preserve"> </w:t>
      </w:r>
      <w:r>
        <w:rPr>
          <w:rFonts w:ascii="Arial" w:cs="Arial" w:eastAsia="Arial" w:hAnsi="Arial"/>
          <w:sz w:val="14"/>
          <w:szCs w:val="14"/>
          <w:color w:val="auto"/>
        </w:rPr>
        <w:t>U.S. government trade restrictions limiting the customer’s ability to have their semiconductors fabricated.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revenue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60" w:type="dxa"/>
            <w:vAlign w:val="bottom"/>
            <w:gridSpan w:val="4"/>
          </w:tcPr>
          <w:p>
            <w:pPr>
              <w:ind w:left="460"/>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Pr>
          <w:p>
            <w:pPr>
              <w:spacing w:after="0"/>
              <w:rPr>
                <w:sz w:val="13"/>
                <w:szCs w:val="13"/>
                <w:color w:val="auto"/>
              </w:rPr>
            </w:pPr>
          </w:p>
        </w:tc>
        <w:tc>
          <w:tcPr>
            <w:tcW w:w="1660" w:type="dxa"/>
            <w:vAlign w:val="bottom"/>
            <w:gridSpan w:val="3"/>
          </w:tcPr>
          <w:p>
            <w:pPr>
              <w:ind w:left="980"/>
              <w:spacing w:after="0"/>
              <w:rPr>
                <w:sz w:val="20"/>
                <w:szCs w:val="20"/>
                <w:color w:val="auto"/>
              </w:rPr>
            </w:pPr>
            <w:r>
              <w:rPr>
                <w:rFonts w:ascii="Arial" w:cs="Arial" w:eastAsia="Arial" w:hAnsi="Arial"/>
                <w:sz w:val="11"/>
                <w:szCs w:val="11"/>
                <w:b w:val="1"/>
                <w:bCs w:val="1"/>
                <w:color w:val="auto"/>
              </w:rPr>
              <w:t>Change</w:t>
            </w:r>
          </w:p>
        </w:tc>
        <w:tc>
          <w:tcPr>
            <w:tcW w:w="1100" w:type="dxa"/>
            <w:vAlign w:val="bottom"/>
          </w:tcPr>
          <w:p>
            <w:pPr>
              <w:spacing w:after="0"/>
              <w:rPr>
                <w:sz w:val="13"/>
                <w:szCs w:val="13"/>
                <w:color w:val="auto"/>
              </w:rPr>
            </w:pPr>
          </w:p>
        </w:tc>
      </w:tr>
      <w:tr>
        <w:trPr>
          <w:trHeight w:val="160"/>
        </w:trPr>
        <w:tc>
          <w:tcPr>
            <w:tcW w:w="502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1"/>
                <w:szCs w:val="11"/>
                <w:b w:val="1"/>
                <w:bCs w:val="1"/>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678"/>
              <w:spacing w:after="0"/>
              <w:rPr>
                <w:sz w:val="20"/>
                <w:szCs w:val="20"/>
                <w:color w:val="auto"/>
              </w:rPr>
            </w:pPr>
            <w:r>
              <w:rPr>
                <w:rFonts w:ascii="Arial" w:cs="Arial" w:eastAsia="Arial" w:hAnsi="Arial"/>
                <w:sz w:val="11"/>
                <w:szCs w:val="11"/>
                <w:b w:val="1"/>
                <w:bCs w:val="1"/>
                <w:color w:val="auto"/>
              </w:rPr>
              <w:t>%</w:t>
            </w:r>
          </w:p>
        </w:tc>
      </w:tr>
      <w:tr>
        <w:trPr>
          <w:trHeight w:val="139"/>
        </w:trPr>
        <w:tc>
          <w:tcPr>
            <w:tcW w:w="5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(in thousands)</w:t>
            </w: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2"/>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3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3,731</w:t>
            </w:r>
          </w:p>
        </w:tc>
        <w:tc>
          <w:tcPr>
            <w:tcW w:w="3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150 %</w:t>
            </w:r>
          </w:p>
        </w:tc>
      </w:tr>
    </w:tbl>
    <w:p>
      <w:pPr>
        <w:spacing w:after="0" w:line="38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increase in cost of revenue during the year ended December 31, 2021, as compared to the prior fiscal year, was primarily due to an increase in employee-related costs as a result of increased headcount resulting from the Magillem acquisition.</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20" w:type="dxa"/>
            <w:vAlign w:val="bottom"/>
          </w:tcPr>
          <w:p>
            <w:pPr>
              <w:spacing w:after="0"/>
              <w:rPr>
                <w:sz w:val="13"/>
                <w:szCs w:val="13"/>
                <w:color w:val="auto"/>
              </w:rPr>
            </w:pPr>
          </w:p>
        </w:tc>
        <w:tc>
          <w:tcPr>
            <w:tcW w:w="3120" w:type="dxa"/>
            <w:vAlign w:val="bottom"/>
            <w:gridSpan w:val="6"/>
          </w:tcPr>
          <w:p>
            <w:pPr>
              <w:ind w:left="82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Pr>
          <w:p>
            <w:pPr>
              <w:spacing w:after="0"/>
              <w:rPr>
                <w:sz w:val="13"/>
                <w:szCs w:val="13"/>
                <w:color w:val="auto"/>
              </w:rPr>
            </w:pPr>
          </w:p>
        </w:tc>
        <w:tc>
          <w:tcPr>
            <w:tcW w:w="1640" w:type="dxa"/>
            <w:vAlign w:val="bottom"/>
            <w:gridSpan w:val="3"/>
          </w:tcPr>
          <w:p>
            <w:pPr>
              <w:ind w:left="960"/>
              <w:spacing w:after="0"/>
              <w:rPr>
                <w:sz w:val="20"/>
                <w:szCs w:val="20"/>
                <w:color w:val="auto"/>
              </w:rPr>
            </w:pPr>
            <w:r>
              <w:rPr>
                <w:rFonts w:ascii="Arial" w:cs="Arial" w:eastAsia="Arial" w:hAnsi="Arial"/>
                <w:sz w:val="11"/>
                <w:szCs w:val="11"/>
                <w:b w:val="1"/>
                <w:bCs w:val="1"/>
                <w:color w:val="auto"/>
              </w:rPr>
              <w:t>Change</w:t>
            </w:r>
          </w:p>
        </w:tc>
        <w:tc>
          <w:tcPr>
            <w:tcW w:w="1100" w:type="dxa"/>
            <w:vAlign w:val="bottom"/>
          </w:tcPr>
          <w:p>
            <w:pPr>
              <w:spacing w:after="0"/>
              <w:rPr>
                <w:sz w:val="13"/>
                <w:szCs w:val="13"/>
                <w:color w:val="auto"/>
              </w:rPr>
            </w:pPr>
          </w:p>
        </w:tc>
      </w:tr>
      <w:tr>
        <w:trPr>
          <w:trHeight w:val="160"/>
        </w:trPr>
        <w:tc>
          <w:tcPr>
            <w:tcW w:w="50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1"/>
                <w:szCs w:val="11"/>
                <w:b w:val="1"/>
                <w:bCs w:val="1"/>
                <w:color w:val="auto"/>
              </w:rPr>
              <w:t>%</w:t>
            </w:r>
          </w:p>
        </w:tc>
      </w:tr>
      <w:tr>
        <w:trPr>
          <w:trHeight w:val="139"/>
        </w:trPr>
        <w:tc>
          <w:tcPr>
            <w:tcW w:w="5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Arial" w:cs="Arial" w:eastAsia="Arial" w:hAnsi="Arial"/>
                <w:sz w:val="11"/>
                <w:szCs w:val="11"/>
                <w:b w:val="1"/>
                <w:bCs w:val="1"/>
                <w:color w:val="auto"/>
              </w:rPr>
              <w:t>(in thousands)</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2"/>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30,812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13,792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ind w:left="780"/>
              <w:spacing w:after="0"/>
              <w:rPr>
                <w:sz w:val="20"/>
                <w:szCs w:val="20"/>
                <w:color w:val="auto"/>
              </w:rPr>
            </w:pPr>
            <w:r>
              <w:rPr>
                <w:rFonts w:ascii="Arial" w:cs="Arial" w:eastAsia="Arial" w:hAnsi="Arial"/>
                <w:sz w:val="13"/>
                <w:szCs w:val="13"/>
                <w:color w:val="auto"/>
              </w:rPr>
              <w:t>81 %</w:t>
            </w:r>
          </w:p>
        </w:tc>
      </w:tr>
      <w:tr>
        <w:trPr>
          <w:trHeight w:val="200"/>
        </w:trPr>
        <w:tc>
          <w:tcPr>
            <w:tcW w:w="502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11,726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9,749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1,977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ind w:left="780"/>
              <w:spacing w:after="0"/>
              <w:rPr>
                <w:sz w:val="20"/>
                <w:szCs w:val="20"/>
                <w:color w:val="auto"/>
              </w:rPr>
            </w:pPr>
            <w:r>
              <w:rPr>
                <w:rFonts w:ascii="Arial" w:cs="Arial" w:eastAsia="Arial" w:hAnsi="Arial"/>
                <w:sz w:val="13"/>
                <w:szCs w:val="13"/>
                <w:color w:val="auto"/>
              </w:rPr>
              <w:t>20</w:t>
            </w:r>
          </w:p>
        </w:tc>
      </w:tr>
      <w:tr>
        <w:trPr>
          <w:trHeight w:val="202"/>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13,360</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7,329</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ind w:left="780"/>
              <w:spacing w:after="0"/>
              <w:rPr>
                <w:sz w:val="20"/>
                <w:szCs w:val="20"/>
                <w:color w:val="auto"/>
              </w:rPr>
            </w:pPr>
            <w:r>
              <w:rPr>
                <w:rFonts w:ascii="Arial" w:cs="Arial" w:eastAsia="Arial" w:hAnsi="Arial"/>
                <w:sz w:val="13"/>
                <w:szCs w:val="13"/>
                <w:color w:val="auto"/>
              </w:rPr>
              <w:t>82</w:t>
            </w:r>
          </w:p>
        </w:tc>
      </w:tr>
      <w:tr>
        <w:trPr>
          <w:trHeight w:val="162"/>
        </w:trPr>
        <w:tc>
          <w:tcPr>
            <w:tcW w:w="5020" w:type="dxa"/>
            <w:vAlign w:val="bottom"/>
          </w:tcPr>
          <w:p>
            <w:pPr>
              <w:ind w:left="20"/>
              <w:spacing w:after="0"/>
              <w:rPr>
                <w:sz w:val="20"/>
                <w:szCs w:val="20"/>
                <w:color w:val="auto"/>
              </w:rPr>
            </w:pPr>
            <w:r>
              <w:rPr>
                <w:rFonts w:ascii="Arial" w:cs="Arial" w:eastAsia="Arial" w:hAnsi="Arial"/>
                <w:sz w:val="13"/>
                <w:szCs w:val="13"/>
                <w:color w:val="auto"/>
              </w:rPr>
              <w:t>Total operating expenses</w:t>
            </w:r>
          </w:p>
        </w:tc>
        <w:tc>
          <w:tcPr>
            <w:tcW w:w="940" w:type="dxa"/>
            <w:vAlign w:val="bottom"/>
            <w:tcBorders>
              <w:bottom w:val="single" w:sz="8" w:color="auto"/>
            </w:tcBorders>
          </w:tcPr>
          <w:p>
            <w:pPr>
              <w:jc w:val="right"/>
              <w:ind w:right="778"/>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55,898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34,098</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21,800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ind w:left="780"/>
              <w:spacing w:after="0"/>
              <w:rPr>
                <w:sz w:val="20"/>
                <w:szCs w:val="20"/>
                <w:color w:val="auto"/>
              </w:rPr>
            </w:pPr>
            <w:r>
              <w:rPr>
                <w:rFonts w:ascii="Arial" w:cs="Arial" w:eastAsia="Arial" w:hAnsi="Arial"/>
                <w:sz w:val="13"/>
                <w:szCs w:val="13"/>
                <w:color w:val="auto"/>
              </w:rPr>
              <w:t>64 %</w:t>
            </w:r>
          </w:p>
        </w:tc>
      </w:tr>
      <w:tr>
        <w:trPr>
          <w:trHeight w:val="20"/>
        </w:trPr>
        <w:tc>
          <w:tcPr>
            <w:tcW w:w="5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Research and development expenses</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R&amp;D expenses increased, $13.8 million, or 81%, to $30.8 million for the year ended December 31, 2021 from $17.0 million for the year ended December 31, 2020. The increase in research and development expenses during the year ended December 31, 2021, as compared to the prior fiscal year, was primarily due to the increase in employee-related cost of $13.2 million mainly driven by an increase in engineering headcount as a result of our growth and investment in our interconnect technology, including costs associated with additional headcount resulting from the Magillem acquisition and an increase in stock-based compensation expense partially related to the satisfaction of the performance-based vesting condition of our outstanding RSUs upon the effectiveness of our IPO in October 2021.</w:t>
      </w:r>
    </w:p>
    <w:p>
      <w:pPr>
        <w:spacing w:after="0" w:line="177" w:lineRule="exact"/>
        <w:rPr>
          <w:sz w:val="20"/>
          <w:szCs w:val="20"/>
          <w:color w:val="auto"/>
        </w:rPr>
      </w:pPr>
    </w:p>
    <w:p>
      <w:pPr>
        <w:ind w:right="2000"/>
        <w:spacing w:after="0" w:line="459" w:lineRule="auto"/>
        <w:rPr>
          <w:sz w:val="20"/>
          <w:szCs w:val="20"/>
          <w:color w:val="auto"/>
        </w:rPr>
      </w:pPr>
      <w:r>
        <w:rPr>
          <w:rFonts w:ascii="Arial" w:cs="Arial" w:eastAsia="Arial" w:hAnsi="Arial"/>
          <w:sz w:val="13"/>
          <w:szCs w:val="13"/>
          <w:color w:val="auto"/>
        </w:rPr>
        <w:t xml:space="preserve">The increase in research and development expenses for the year ended December 31, 2021 was partially offset by higher research tax credit of $2.4 million. </w:t>
      </w:r>
      <w:r>
        <w:rPr>
          <w:rFonts w:ascii="Arial" w:cs="Arial" w:eastAsia="Arial" w:hAnsi="Arial"/>
          <w:sz w:val="13"/>
          <w:szCs w:val="13"/>
          <w:i w:val="1"/>
          <w:iCs w:val="1"/>
          <w:color w:val="auto"/>
        </w:rPr>
        <w:t>Sales and marketing expenses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S&amp;M expenses increased, $2.0 million, or 20%, to $11.7 million for the year ended December 31, 2021 from $9.7 million for the year ended December 31, 2020. The increase in sales and marketing expenses during the year ended December 31, 2021, as compared to the prior fiscal year, was primarily due to the increase in employee-related cost of $0.5 million mainly driven by higher headcount to support our continued growth and an increase in stock-based compensation expense partially due to the satisfaction of the performance-based vesting condition of our outstanding RSUs upon the effectiveness of our IPO in October 2021. Other sales and marketing program expenses also increased $0.7 million primarily due to increases in advertising and brand awareness efforts aimed at acquiring new customers.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General and administrative expenses</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G&amp;A expenses increased, $6.0 million, or 82%, to $13.4 million for the year ended December 31, 2021 from $7.3 million for the year ended December 31, 2020. The increase in general and administrative expenses during the year ended December 31, 2021, as compared to the prior fiscal year, was primarily due to an increase in employee compensation costs of $5.8 million, which was mainly driven by higher headcount to support our continued growth and an increase in stock-based compensation expense partially due to the satisfaction of the performance-based vesting condition of our outstanding RSUs upon the effectiveness of our IPO in October 2021. Expenses relating to outside services also increased $1.5 million for the year ended December 31, 2021 compared to the prior fiscal year, primarily related to legal, accounting, and other professional services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Gain on extinguishment of debt: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20" w:type="dxa"/>
            <w:vAlign w:val="bottom"/>
          </w:tcPr>
          <w:p>
            <w:pPr>
              <w:spacing w:after="0"/>
              <w:rPr>
                <w:sz w:val="13"/>
                <w:szCs w:val="13"/>
                <w:color w:val="auto"/>
              </w:rPr>
            </w:pPr>
          </w:p>
        </w:tc>
        <w:tc>
          <w:tcPr>
            <w:tcW w:w="3120" w:type="dxa"/>
            <w:vAlign w:val="bottom"/>
            <w:gridSpan w:val="5"/>
          </w:tcPr>
          <w:p>
            <w:pPr>
              <w:ind w:left="820"/>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Pr>
          <w:p>
            <w:pPr>
              <w:spacing w:after="0"/>
              <w:rPr>
                <w:sz w:val="13"/>
                <w:szCs w:val="13"/>
                <w:color w:val="auto"/>
              </w:rPr>
            </w:pPr>
          </w:p>
        </w:tc>
        <w:tc>
          <w:tcPr>
            <w:tcW w:w="1660" w:type="dxa"/>
            <w:vAlign w:val="bottom"/>
            <w:gridSpan w:val="3"/>
          </w:tcPr>
          <w:p>
            <w:pPr>
              <w:ind w:left="980"/>
              <w:spacing w:after="0"/>
              <w:rPr>
                <w:sz w:val="20"/>
                <w:szCs w:val="20"/>
                <w:color w:val="auto"/>
              </w:rPr>
            </w:pPr>
            <w:r>
              <w:rPr>
                <w:rFonts w:ascii="Arial" w:cs="Arial" w:eastAsia="Arial" w:hAnsi="Arial"/>
                <w:sz w:val="11"/>
                <w:szCs w:val="11"/>
                <w:b w:val="1"/>
                <w:bCs w:val="1"/>
                <w:color w:val="auto"/>
              </w:rPr>
              <w:t>Change</w:t>
            </w:r>
          </w:p>
        </w:tc>
        <w:tc>
          <w:tcPr>
            <w:tcW w:w="1100" w:type="dxa"/>
            <w:vAlign w:val="bottom"/>
          </w:tcPr>
          <w:p>
            <w:pPr>
              <w:spacing w:after="0"/>
              <w:rPr>
                <w:sz w:val="13"/>
                <w:szCs w:val="13"/>
                <w:color w:val="auto"/>
              </w:rPr>
            </w:pPr>
          </w:p>
        </w:tc>
      </w:tr>
      <w:tr>
        <w:trPr>
          <w:trHeight w:val="160"/>
        </w:trPr>
        <w:tc>
          <w:tcPr>
            <w:tcW w:w="502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678"/>
              <w:spacing w:after="0"/>
              <w:rPr>
                <w:sz w:val="20"/>
                <w:szCs w:val="20"/>
                <w:color w:val="auto"/>
              </w:rPr>
            </w:pPr>
            <w:r>
              <w:rPr>
                <w:rFonts w:ascii="Arial" w:cs="Arial" w:eastAsia="Arial" w:hAnsi="Arial"/>
                <w:sz w:val="11"/>
                <w:szCs w:val="11"/>
                <w:b w:val="1"/>
                <w:bCs w:val="1"/>
                <w:color w:val="auto"/>
              </w:rPr>
              <w:t>%</w:t>
            </w:r>
          </w:p>
        </w:tc>
      </w:tr>
      <w:tr>
        <w:trPr>
          <w:trHeight w:val="139"/>
        </w:trPr>
        <w:tc>
          <w:tcPr>
            <w:tcW w:w="5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(in thousands)</w:t>
            </w: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2"/>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extinguishment of debt</w:t>
            </w: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w:t>
            </w:r>
          </w:p>
        </w:tc>
        <w:tc>
          <w:tcPr>
            <w:tcW w:w="3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r>
    </w:tbl>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Gain on extinguishment of debt decreased to $10 thousand for the year ended December 31, 2021 compared to $1.6 million for the year ended December 31, 2020. The change was due to the forgiveness in December 2020 of a loan from the US Treasury Department’s Small Business Administration under their PPP Loan, which was introduced as an economic stimulus following the COVID-19 pandemic.</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and other expense, net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4"/>
          </w:tcPr>
          <w:p>
            <w:pPr>
              <w:ind w:left="48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Pr>
          <w:p>
            <w:pPr>
              <w:spacing w:after="0"/>
              <w:rPr>
                <w:sz w:val="13"/>
                <w:szCs w:val="13"/>
                <w:color w:val="auto"/>
              </w:rPr>
            </w:pPr>
          </w:p>
        </w:tc>
        <w:tc>
          <w:tcPr>
            <w:tcW w:w="1600" w:type="dxa"/>
            <w:vAlign w:val="bottom"/>
            <w:gridSpan w:val="3"/>
          </w:tcPr>
          <w:p>
            <w:pPr>
              <w:ind w:left="920"/>
              <w:spacing w:after="0"/>
              <w:rPr>
                <w:sz w:val="20"/>
                <w:szCs w:val="20"/>
                <w:color w:val="auto"/>
              </w:rPr>
            </w:pPr>
            <w:r>
              <w:rPr>
                <w:rFonts w:ascii="Arial" w:cs="Arial" w:eastAsia="Arial" w:hAnsi="Arial"/>
                <w:sz w:val="11"/>
                <w:szCs w:val="11"/>
                <w:b w:val="1"/>
                <w:bCs w:val="1"/>
                <w:color w:val="auto"/>
              </w:rPr>
              <w:t>Change</w:t>
            </w:r>
          </w:p>
        </w:tc>
        <w:tc>
          <w:tcPr>
            <w:tcW w:w="1060" w:type="dxa"/>
            <w:vAlign w:val="bottom"/>
          </w:tcPr>
          <w:p>
            <w:pPr>
              <w:spacing w:after="0"/>
              <w:rPr>
                <w:sz w:val="13"/>
                <w:szCs w:val="13"/>
                <w:color w:val="auto"/>
              </w:rPr>
            </w:pPr>
          </w:p>
        </w:tc>
      </w:tr>
      <w:tr>
        <w:trPr>
          <w:trHeight w:val="160"/>
        </w:trPr>
        <w:tc>
          <w:tcPr>
            <w:tcW w:w="508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1"/>
                <w:szCs w:val="11"/>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w:t>
            </w:r>
          </w:p>
        </w:tc>
      </w:tr>
      <w:tr>
        <w:trPr>
          <w:trHeight w:val="139"/>
        </w:trPr>
        <w:tc>
          <w:tcPr>
            <w:tcW w:w="5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(in thousands)</w:t>
            </w: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02"/>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and other expense, net</w:t>
            </w:r>
          </w:p>
        </w:tc>
        <w:tc>
          <w:tcPr>
            <w:tcW w:w="3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 not meaningful</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Interest and other expense, net for the year ended December 31, 2021 was $0.6 million, compared to $0.1 million for the year ended December 31, 2020. The increase in interest and other expense, net was primarily related to foreign currency exchange, which was partially offset by a reduced interest expense on our term loan as a result of the reduction in outstanding principal.</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60" w:type="dxa"/>
            <w:vAlign w:val="bottom"/>
            <w:gridSpan w:val="4"/>
          </w:tcPr>
          <w:p>
            <w:pPr>
              <w:ind w:left="460"/>
              <w:spacing w:after="0"/>
              <w:rPr>
                <w:sz w:val="20"/>
                <w:szCs w:val="20"/>
                <w:color w:val="auto"/>
              </w:rPr>
            </w:pPr>
            <w:r>
              <w:rPr>
                <w:rFonts w:ascii="Arial" w:cs="Arial" w:eastAsia="Arial" w:hAnsi="Arial"/>
                <w:sz w:val="11"/>
                <w:szCs w:val="11"/>
                <w:b w:val="1"/>
                <w:bCs w:val="1"/>
                <w:color w:val="auto"/>
              </w:rPr>
              <w:t>Year Ended December 31,</w:t>
            </w:r>
          </w:p>
        </w:tc>
        <w:tc>
          <w:tcPr>
            <w:tcW w:w="1020" w:type="dxa"/>
            <w:vAlign w:val="bottom"/>
          </w:tcPr>
          <w:p>
            <w:pPr>
              <w:spacing w:after="0"/>
              <w:rPr>
                <w:sz w:val="13"/>
                <w:szCs w:val="13"/>
                <w:color w:val="auto"/>
              </w:rPr>
            </w:pPr>
          </w:p>
        </w:tc>
        <w:tc>
          <w:tcPr>
            <w:tcW w:w="1020" w:type="dxa"/>
            <w:vAlign w:val="bottom"/>
            <w:gridSpan w:val="3"/>
          </w:tcPr>
          <w:p>
            <w:pPr>
              <w:ind w:left="340"/>
              <w:spacing w:after="0"/>
              <w:rPr>
                <w:sz w:val="20"/>
                <w:szCs w:val="20"/>
                <w:color w:val="auto"/>
              </w:rPr>
            </w:pPr>
            <w:r>
              <w:rPr>
                <w:rFonts w:ascii="Arial" w:cs="Arial" w:eastAsia="Arial" w:hAnsi="Arial"/>
                <w:sz w:val="11"/>
                <w:szCs w:val="11"/>
                <w:b w:val="1"/>
                <w:bCs w:val="1"/>
                <w:color w:val="auto"/>
              </w:rPr>
              <w:t>Change</w:t>
            </w:r>
          </w:p>
        </w:tc>
        <w:tc>
          <w:tcPr>
            <w:tcW w:w="1100" w:type="dxa"/>
            <w:vAlign w:val="bottom"/>
          </w:tcPr>
          <w:p>
            <w:pPr>
              <w:spacing w:after="0"/>
              <w:rPr>
                <w:sz w:val="13"/>
                <w:szCs w:val="13"/>
                <w:color w:val="auto"/>
              </w:rPr>
            </w:pPr>
          </w:p>
        </w:tc>
      </w:tr>
      <w:tr>
        <w:trPr>
          <w:trHeight w:val="160"/>
        </w:trPr>
        <w:tc>
          <w:tcPr>
            <w:tcW w:w="502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2021</w:t>
            </w:r>
          </w:p>
        </w:tc>
        <w:tc>
          <w:tcPr>
            <w:tcW w:w="2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1"/>
                <w:szCs w:val="11"/>
                <w:b w:val="1"/>
                <w:bCs w:val="1"/>
                <w:color w:val="auto"/>
              </w:rPr>
              <w:t>$</w:t>
            </w:r>
          </w:p>
        </w:tc>
        <w:tc>
          <w:tcPr>
            <w:tcW w:w="4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678"/>
              <w:spacing w:after="0"/>
              <w:rPr>
                <w:sz w:val="20"/>
                <w:szCs w:val="20"/>
                <w:color w:val="auto"/>
              </w:rPr>
            </w:pPr>
            <w:r>
              <w:rPr>
                <w:rFonts w:ascii="Arial" w:cs="Arial" w:eastAsia="Arial" w:hAnsi="Arial"/>
                <w:sz w:val="11"/>
                <w:szCs w:val="11"/>
                <w:b w:val="1"/>
                <w:bCs w:val="1"/>
                <w:color w:val="auto"/>
              </w:rPr>
              <w:t>%</w:t>
            </w:r>
          </w:p>
        </w:tc>
      </w:tr>
      <w:tr>
        <w:trPr>
          <w:trHeight w:val="139"/>
        </w:trPr>
        <w:tc>
          <w:tcPr>
            <w:tcW w:w="5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2"/>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3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1,040</w:t>
            </w: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r>
    </w:tbl>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provision for income taxes for the year ended December 31, 2021 was relatively flat when compared to the year ended December 31, 2020. Our provision for income taxes primarily relates to foreign income taxes and foreign withholding taxes on license and royalty income received from non-US customers.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Since inception we have financed operations primarily through proceeds received from payments received from our customers, the net proceeds from the sale of our common stock in the IPO as well as the net proceeds from the private issuance of our convertible preferred stock and common stock, and to a lesser extent, borrowings under our 2018 Term Loan agreement, which was paid off in November 2021. As of December 31, 2021, we had $85.8 million in cash. Approximately $5.4 million of total cash was held by our foreign subsidiaries as of December 31, 2021.</w:t>
      </w:r>
    </w:p>
    <w:p>
      <w:pPr>
        <w:spacing w:after="0" w:line="271"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In November 2018, we entered into a business financing agreement with Bridge Bank (Lender) for a term loan of $1.5 million with a maturity date of November 2021, repayable monthly (2018 Term Loan). The interest rate of the 2018 Term Loan was prime plus 2%. We paid the remaining outstanding principal balance of the 2018 Term Loan upon maturity in November 2021. The 2018 Term Loan was not renewed.</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In April 2020, we entered into a loan agreement under the Coronavirus Aid, Relief, and Economic Security (CARES) Act known as the Paycheck Protection Program with a lender for the amount of $1.6 million at an interest rate of 1% per annum, and repayable in two years (the PPP Loan). We used proceeds of the PPP Loan to fund qualifying payroll and other expenses. In December 2020, the full amount of the PPP Loan, including principal and accrued interest, was forgiven.</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believe our cash and cash expected to be generated from operations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w:t>
      </w:r>
    </w:p>
    <w:p>
      <w:pPr>
        <w:sectPr>
          <w:pgSz w:w="11900" w:h="16838" w:orient="portrait"/>
          <w:cols w:equalWidth="0" w:num="1">
            <w:col w:w="11280"/>
          </w:cols>
          <w:pgMar w:left="300" w:top="125" w:right="31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changes in our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161530" cy="1282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cash (used in) provided by operating activities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61530" cy="1282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cash provided by financing activities</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191325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13255" cy="6985"/>
                    </a:xfrm>
                    <a:prstGeom prst="rect">
                      <a:avLst/>
                    </a:prstGeom>
                    <a:noFill/>
                  </pic:spPr>
                </pic:pic>
              </a:graphicData>
            </a:graphic>
          </wp:anchor>
        </w:drawing>
      </w:r>
    </w:p>
    <w:p>
      <w:pPr>
        <w:spacing w:after="0" w:line="13" w:lineRule="exact"/>
        <w:rPr>
          <w:sz w:val="20"/>
          <w:szCs w:val="20"/>
          <w:color w:val="auto"/>
        </w:rPr>
      </w:pPr>
    </w:p>
    <w:p>
      <w:pPr>
        <w:ind w:left="600"/>
        <w:spacing w:after="0"/>
        <w:tabs>
          <w:tab w:leader="none" w:pos="2120" w:val="left"/>
        </w:tabs>
        <w:rPr>
          <w:sz w:val="20"/>
          <w:szCs w:val="20"/>
          <w:color w:val="auto"/>
        </w:rPr>
      </w:pPr>
      <w:r>
        <w:rPr>
          <w:rFonts w:ascii="Arial" w:cs="Arial" w:eastAsia="Arial" w:hAnsi="Arial"/>
          <w:sz w:val="11"/>
          <w:szCs w:val="11"/>
          <w:b w:val="1"/>
          <w:bCs w:val="1"/>
          <w:color w:val="auto"/>
        </w:rPr>
        <w:t>2021</w:t>
      </w:r>
      <w:r>
        <w:rPr>
          <w:sz w:val="20"/>
          <w:szCs w:val="20"/>
          <w:color w:val="auto"/>
        </w:rPr>
        <w:tab/>
      </w:r>
      <w:r>
        <w:rPr>
          <w:rFonts w:ascii="Arial" w:cs="Arial" w:eastAsia="Arial" w:hAnsi="Arial"/>
          <w:sz w:val="11"/>
          <w:szCs w:val="11"/>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191325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13255" cy="6985"/>
                    </a:xfrm>
                    <a:prstGeom prst="rect">
                      <a:avLst/>
                    </a:prstGeom>
                    <a:noFill/>
                  </pic:spPr>
                </pic:pic>
              </a:graphicData>
            </a:graphic>
          </wp:anchor>
        </w:drawing>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(in thousands)</w:t>
      </w:r>
    </w:p>
    <w:p>
      <w:pPr>
        <w:spacing w:after="0" w:line="68" w:lineRule="exact"/>
        <w:rPr>
          <w:sz w:val="20"/>
          <w:szCs w:val="20"/>
          <w:color w:val="auto"/>
        </w:rPr>
      </w:pPr>
    </w:p>
    <w:p>
      <w:pPr>
        <w:spacing w:after="0"/>
        <w:tabs>
          <w:tab w:leader="none" w:pos="1100" w:val="left"/>
          <w:tab w:leader="none" w:pos="1540" w:val="left"/>
          <w:tab w:leader="none" w:pos="25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(814)</w:t>
        <w:tab/>
        <w:t>$</w:t>
      </w:r>
      <w:r>
        <w:rPr>
          <w:sz w:val="20"/>
          <w:szCs w:val="20"/>
          <w:color w:val="auto"/>
        </w:rPr>
        <w:tab/>
      </w:r>
      <w:r>
        <w:rPr>
          <w:rFonts w:ascii="Arial" w:cs="Arial" w:eastAsia="Arial" w:hAnsi="Arial"/>
          <w:sz w:val="13"/>
          <w:szCs w:val="13"/>
          <w:color w:val="auto"/>
        </w:rPr>
        <w:t>2,163</w:t>
      </w:r>
    </w:p>
    <w:p>
      <w:pPr>
        <w:spacing w:after="0" w:line="52" w:lineRule="exact"/>
        <w:rPr>
          <w:sz w:val="20"/>
          <w:szCs w:val="20"/>
          <w:color w:val="auto"/>
        </w:rPr>
      </w:pPr>
    </w:p>
    <w:p>
      <w:pPr>
        <w:jc w:val="both"/>
        <w:ind w:left="1000"/>
        <w:spacing w:after="0"/>
        <w:tabs>
          <w:tab w:leader="none" w:pos="2540" w:val="left"/>
        </w:tabs>
        <w:rPr>
          <w:sz w:val="20"/>
          <w:szCs w:val="20"/>
          <w:color w:val="auto"/>
        </w:rPr>
      </w:pPr>
      <w:r>
        <w:rPr>
          <w:rFonts w:ascii="Arial" w:cs="Arial" w:eastAsia="Arial" w:hAnsi="Arial"/>
          <w:sz w:val="13"/>
          <w:szCs w:val="13"/>
          <w:color w:val="auto"/>
        </w:rPr>
        <w:t>(1,359)</w:t>
      </w:r>
      <w:r>
        <w:rPr>
          <w:sz w:val="20"/>
          <w:szCs w:val="20"/>
          <w:color w:val="auto"/>
        </w:rPr>
        <w:tab/>
      </w:r>
      <w:r>
        <w:rPr>
          <w:rFonts w:ascii="Arial" w:cs="Arial" w:eastAsia="Arial" w:hAnsi="Arial"/>
          <w:sz w:val="13"/>
          <w:szCs w:val="13"/>
          <w:color w:val="auto"/>
        </w:rPr>
        <w:t>(5,147)</w:t>
      </w:r>
    </w:p>
    <w:p>
      <w:pPr>
        <w:spacing w:after="0" w:line="52" w:lineRule="exact"/>
        <w:rPr>
          <w:sz w:val="20"/>
          <w:szCs w:val="20"/>
          <w:color w:val="auto"/>
        </w:rPr>
      </w:pPr>
    </w:p>
    <w:p>
      <w:pPr>
        <w:ind w:left="980"/>
        <w:spacing w:after="0"/>
        <w:tabs>
          <w:tab w:leader="none" w:pos="2700" w:val="left"/>
        </w:tabs>
        <w:rPr>
          <w:sz w:val="20"/>
          <w:szCs w:val="20"/>
          <w:color w:val="auto"/>
        </w:rPr>
      </w:pPr>
      <w:r>
        <w:rPr>
          <w:rFonts w:ascii="Arial" w:cs="Arial" w:eastAsia="Arial" w:hAnsi="Arial"/>
          <w:sz w:val="13"/>
          <w:szCs w:val="13"/>
          <w:color w:val="auto"/>
        </w:rPr>
        <w:t>76,254</w:t>
      </w:r>
      <w:r>
        <w:rPr>
          <w:sz w:val="20"/>
          <w:szCs w:val="20"/>
          <w:color w:val="auto"/>
        </w:rPr>
        <w:tab/>
      </w:r>
      <w:r>
        <w:rPr>
          <w:rFonts w:ascii="Arial" w:cs="Arial" w:eastAsia="Arial" w:hAnsi="Arial"/>
          <w:sz w:val="13"/>
          <w:szCs w:val="13"/>
          <w:color w:val="auto"/>
        </w:rPr>
        <w:t>790</w:t>
      </w:r>
    </w:p>
    <w:p>
      <w:pPr>
        <w:spacing w:after="0" w:line="497" w:lineRule="exact"/>
        <w:rPr>
          <w:sz w:val="20"/>
          <w:szCs w:val="20"/>
          <w:color w:val="auto"/>
        </w:rPr>
      </w:pPr>
    </w:p>
    <w:p>
      <w:pPr>
        <w:sectPr>
          <w:pgSz w:w="11900" w:h="16838" w:orient="portrait"/>
          <w:cols w:equalWidth="0" w:num="2">
            <w:col w:w="7560" w:space="720"/>
            <w:col w:w="3000"/>
          </w:cols>
          <w:pgMar w:left="300" w:top="125" w:right="319" w:bottom="1440" w:gutter="0" w:footer="0" w:header="0"/>
          <w:type w:val="continuous"/>
        </w:sectPr>
      </w:pPr>
    </w:p>
    <w:p>
      <w:pPr>
        <w:jc w:val="both"/>
        <w:spacing w:after="0" w:line="261" w:lineRule="auto"/>
        <w:rPr>
          <w:sz w:val="20"/>
          <w:szCs w:val="20"/>
          <w:color w:val="auto"/>
        </w:rPr>
      </w:pPr>
      <w:r>
        <w:rPr>
          <w:rFonts w:ascii="Arial" w:cs="Arial" w:eastAsia="Arial" w:hAnsi="Arial"/>
          <w:sz w:val="13"/>
          <w:szCs w:val="13"/>
          <w:color w:val="auto"/>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obligations under our property leases and design tool licenses. Our primary source of cash inflows is receipts from our accounts receivable. The timing of receipts of accounts receivable from customers is based upon the completion of agreed milestones or agreed dates as set forth in the contracts.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the year ended December 31, 2021, net cash used in operating activities was $0.8 million, primarily due to our net loss of $23.4 million, adjusted for non-cash charges of $7.1 million and $15.5 million changes in operating assets and liabilities. Non-cash charges primarily consisted of stock-based compensation of $5.5 million and depreciation and amortization of $1.5 million. The primary drivers of the changes in operating assets and liabilities were a $16.3 million increase in deferred revenue, $2.8 million increase in accrued expenses and other liabilities, $0.5 million decrease in accounts receivables and $0.4 million increase in accounts payable, partially offset by $4.4 million increase in prepaid expenses and other assets.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the year ended December 31, 2020, net cash provided by operating activities was $2.2 million primarily due to our net loss of $3.3 million, adjusted for non-cash charges of $0.4 million and $5.1 million changes in operating assets and liabilities. Non-cash charges primarily consisted of depreciation and amortization and stock-based compensation, partially offset by gain on extinguishment of debt. The primary drivers of the changes in operating assets and liabilities were a $11.1 million increase in deferred revenue and $3.0 million increase in accrued expenses and other current liabilities, partially offset by $6.3 million increase in accounts receivable and $2.6 million increase in prepaid expenses and other assets.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Net cash used in investing activities for the year ended December 31, 2021 was $1.4 million compared to $5.1 million for the year ended December 31, 2020. The change was primarily due to the cash consideration of $4.5 million paid related to the Magillem acquisition for the year ended December 31, 2020, partially offset by a deferred consideration payment of $0.5 million year ended December 31, 2021.</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151"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For the year ended December 31, 2021, net cash provided by financing activities was $76.3 million, primarily attributable to proceeds from issuance of common stock upon initial public offering net of underwriting commissions and other issuance costs of $71.3 million and proceeds from issuance of common stock of $5.4 million.</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For the year ended December 31, 2020, net cash provided by financing activities was $0.8 million, primarily related to proceeds from the PPP loan of $1.6 million, offset by the principal payments of 2018 Term Loan of $0.6 million.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50" w:lineRule="exact"/>
        <w:rPr>
          <w:sz w:val="20"/>
          <w:szCs w:val="20"/>
          <w:color w:val="auto"/>
        </w:rPr>
      </w:pPr>
    </w:p>
    <w:p>
      <w:pPr>
        <w:jc w:val="both"/>
        <w:spacing w:after="0" w:line="264" w:lineRule="auto"/>
        <w:rPr>
          <w:rFonts w:ascii="Arial" w:cs="Arial" w:eastAsia="Arial" w:hAnsi="Arial"/>
          <w:sz w:val="13"/>
          <w:szCs w:val="13"/>
          <w:color w:val="auto"/>
        </w:rPr>
      </w:pPr>
      <w:r>
        <w:rPr>
          <w:rFonts w:ascii="Arial" w:cs="Arial" w:eastAsia="Arial" w:hAnsi="Arial"/>
          <w:sz w:val="13"/>
          <w:szCs w:val="13"/>
          <w:color w:val="auto"/>
        </w:rPr>
        <w:t xml:space="preserve">Our principal commitments consist of obligations under our operating leases for office space and data center hosting space and vendor finance arrangements. Information regarding our non-cancelable lease commitments as of December 31, 2021 can be found in </w:t>
      </w:r>
      <w:hyperlink w:anchor="page99">
        <w:r>
          <w:rPr>
            <w:rFonts w:ascii="Arial" w:cs="Arial" w:eastAsia="Arial" w:hAnsi="Arial"/>
            <w:sz w:val="13"/>
            <w:szCs w:val="13"/>
            <w:u w:val="single" w:color="auto"/>
            <w:color w:val="0000FF"/>
          </w:rPr>
          <w:t>Note 9</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 xml:space="preserve">to our consolidated financial statements included elsewhere in this Annual Report on Form 10-K. Our obligations as of December 31, 2021 under our vendor finance arrangements are described in </w:t>
      </w:r>
      <w:hyperlink w:anchor="page100">
        <w:r>
          <w:rPr>
            <w:rFonts w:ascii="Arial" w:cs="Arial" w:eastAsia="Arial" w:hAnsi="Arial"/>
            <w:sz w:val="13"/>
            <w:szCs w:val="13"/>
            <w:color w:val="0000FF"/>
          </w:rPr>
          <w:t>Note</w:t>
        </w:r>
        <w:r>
          <w:rPr>
            <w:rFonts w:ascii="Arial" w:cs="Arial" w:eastAsia="Arial" w:hAnsi="Arial"/>
            <w:sz w:val="13"/>
            <w:szCs w:val="13"/>
            <w:color w:val="auto"/>
          </w:rPr>
          <w:t xml:space="preserve"> </w:t>
        </w:r>
        <w:r>
          <w:rPr>
            <w:rFonts w:ascii="Arial" w:cs="Arial" w:eastAsia="Arial" w:hAnsi="Arial"/>
            <w:sz w:val="13"/>
            <w:szCs w:val="13"/>
            <w:u w:val="single" w:color="auto"/>
            <w:color w:val="0000FF"/>
            <w:highlight w:val="white"/>
          </w:rPr>
          <w:t>10</w:t>
        </w:r>
        <w:r>
          <w:rPr>
            <w:rFonts w:ascii="Arial" w:cs="Arial" w:eastAsia="Arial" w:hAnsi="Arial"/>
            <w:sz w:val="13"/>
            <w:szCs w:val="13"/>
            <w:color w:val="auto"/>
          </w:rPr>
          <w:t xml:space="preserve"> </w:t>
        </w:r>
      </w:hyperlink>
      <w:r>
        <w:rPr>
          <w:rFonts w:ascii="Arial" w:cs="Arial" w:eastAsia="Arial" w:hAnsi="Arial"/>
          <w:sz w:val="13"/>
          <w:szCs w:val="13"/>
          <w:color w:val="auto"/>
        </w:rPr>
        <w:t>to our consolidated financial statements included elsewhere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-107315</wp:posOffset>
            </wp:positionV>
            <wp:extent cx="3580765"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80765" cy="9461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consolidated financial statements are prepared in accordance with GAAP. The preparation of consolidated financial statements requires us to make certain estimates, judgments, and assumptions. We base our estimates on historical experience and on various other assumptions that we believe to be reasonable based upon information available to us at the time that these estimates, judgments, and assumptions are made. Our estimates and related judgments and assumptions are continually evaluated based on available information and experiences. However, actual amounts could differ from those estimates.</w:t>
      </w:r>
    </w:p>
    <w:p>
      <w:pPr>
        <w:spacing w:after="0" w:line="114" w:lineRule="exact"/>
        <w:rPr>
          <w:sz w:val="20"/>
          <w:szCs w:val="20"/>
          <w:color w:val="auto"/>
        </w:rPr>
      </w:pPr>
    </w:p>
    <w:p>
      <w:pPr>
        <w:ind w:right="140"/>
        <w:spacing w:after="0" w:line="459" w:lineRule="auto"/>
        <w:rPr>
          <w:sz w:val="20"/>
          <w:szCs w:val="20"/>
          <w:color w:val="auto"/>
        </w:rPr>
      </w:pPr>
      <w:r>
        <w:rPr>
          <w:rFonts w:ascii="Arial" w:cs="Arial" w:eastAsia="Arial" w:hAnsi="Arial"/>
          <w:sz w:val="13"/>
          <w:szCs w:val="13"/>
          <w:color w:val="auto"/>
        </w:rPr>
        <w:t xml:space="preserve">The following are the critical accounting policies requiring estimates, judgments, and assumptions that we believe have the most significant impact on our consolidated financial statements. </w:t>
      </w:r>
      <w:r>
        <w:rPr>
          <w:rFonts w:ascii="Arial" w:cs="Arial" w:eastAsia="Arial" w:hAnsi="Arial"/>
          <w:sz w:val="13"/>
          <w:szCs w:val="13"/>
          <w:b w:val="1"/>
          <w:bCs w:val="1"/>
          <w:i w:val="1"/>
          <w:iCs w:val="1"/>
          <w:color w:val="auto"/>
        </w:rPr>
        <w:t>Revenue Recognition</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We recognize license revenues as we transfer control of deliverables (software and services) to our customers in an amount reflecting the consideration to which we expect to be entitled. To recognize revenues,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We account for a contract when it has approval and commitment from all parties, the rights of the parties are identified, payment terms are identified, the contract has commercial substance and collectability of consideration is probable. We apply judgment in determining the customer’s ability and intention to pay based on a variety of factors including the customer’s historical payment experience.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Nature of Products and Services</w:t>
      </w:r>
    </w:p>
    <w:p>
      <w:pPr>
        <w:spacing w:after="0" w:line="150" w:lineRule="exact"/>
        <w:rPr>
          <w:sz w:val="20"/>
          <w:szCs w:val="20"/>
          <w:color w:val="auto"/>
        </w:rPr>
      </w:pPr>
    </w:p>
    <w:p>
      <w:pPr>
        <w:ind w:right="1360"/>
        <w:spacing w:after="0" w:line="459" w:lineRule="auto"/>
        <w:rPr>
          <w:sz w:val="20"/>
          <w:szCs w:val="20"/>
          <w:color w:val="auto"/>
        </w:rPr>
      </w:pPr>
      <w:r>
        <w:rPr>
          <w:rFonts w:ascii="Arial" w:cs="Arial" w:eastAsia="Arial" w:hAnsi="Arial"/>
          <w:sz w:val="13"/>
          <w:szCs w:val="13"/>
          <w:color w:val="auto"/>
        </w:rPr>
        <w:t xml:space="preserve">Our revenue is derived from licensing intellectual property, licensing software, support and maintenance services, professional services, training services, and royalties. </w:t>
      </w:r>
      <w:r>
        <w:rPr>
          <w:rFonts w:ascii="Arial" w:cs="Arial" w:eastAsia="Arial" w:hAnsi="Arial"/>
          <w:sz w:val="13"/>
          <w:szCs w:val="13"/>
          <w:b w:val="1"/>
          <w:bCs w:val="1"/>
          <w:i w:val="1"/>
          <w:iCs w:val="1"/>
          <w:color w:val="auto"/>
        </w:rPr>
        <w:t>Design Solutions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Interconnect solutions product agreements provide customers the right to software licenses, services, software updates and technical support. We enter into licensing agreements with customers that typically range from two to three years and generally consist of delivery of a design license that grants the customer the right to use our IP to design a contractually defined number of products and stand-ready support services that provide the customer a significant benefit from our RTL as well as ongoing access to application engineer support services to perform certain verifications including benchmark performance, simulations and ultimately, through the RTL, instantiate designs into silicon over the design term.</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support services, including access to application engineering support services and the benefits of the RTL, are integral and fundamental to the customer’s ability to derive its intended benefit from the IP.</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CAEs are part of the product development team providing detailed requirements for engineering projects, working very closely with a customer’s chief technology officer, and similar staff, and their marketing department, and performing quality assurance testing of customer products prior to shipment to their customers.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FAEs provide assistance to the customer’s engineering team in translating their desired SoC architecture into inputs for NoC IP configuration, assistance in optimizing the NoC configuration, answer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continue to provide technical support and software updates throughout the license term even if the customer does not renew these services in subsequent years, making the license term and support and maintenance term co-terminus.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Considering the nature of the combined design tool and assisting our customers in applying our IP technology in our customers’ development environment and the relative significance thereof, we have concluded that our Interconnect Solutions IP licensing agreements are not distinct from its obligation to provide the application engineering support services and benefits of the RTL. The Interconnect Solutions IP, RTL, and the application engineering support services serve to fulfill our commitment to the customer, as they represent inputs to a single, combined performance obligation that commences upon the later of the agreement effective date or transfer of the software license. The design license and the regular two-way interaction between the design tool, RTL , and the application engineering support services give the customer the intended benefit from the arrangement, which is the ability to commercialize their design. Customers cannot benefit from the design license on its own or together with other readily available resources as no other RTL or application engineer support service exists in the marketplace that a customer could use with the design license. Consequently, the RTL and application engineer support service cannot be used on its own or together with any other design license as we do not allow the use of the RTL or provide application engineer support services separately from the design license. Further, although technical support and software updates is a distinct performance obligation, it is accounted for as if it were part of a single performance obligation that includes the licenses, RTL and application engineer support services because the technical support and updates are provided in practice for the same period of time and have the same time-based pattern of transfer to the customer as the combined design license, RTL, and application support services.</w:t>
      </w:r>
    </w:p>
    <w:p>
      <w:pPr>
        <w:spacing w:after="0" w:line="277"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Revenues that are derived from the sale of a licensee’s products that incorporate our IP are classified as royalty revenues. Royalty revenues are recognized during the quarter in which the sale of the product incorporating our IP occurs. Royalties are calculated either as a percentage of the revenues received by a licensee’s sale of products incorporating our IP or on a per unit basis, as specified in the agreements with the licensees. For a majority of our royalty revenues, we receive the actual sales data from its customers after the quarter ends and account for it as unbilled receivables. When we do not receive actual sales data from the customer prior to the finalization of our financial statements, royalty revenues are recognized based on our estimation of the customer’s sales during the quarter.</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Deployment Solutions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Deployment Solutions product agreements provide customers the right to software licenses, software updates and technical support. The software licenses are time-based licenses with terms generally ranging from one to three years. These agreements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Revenue allocated to the software license is recognized at a point in time upon the later of the delivery date or the beginning of the license period, and revenue allocated to support services is recognized ratably over the support term.</w:t>
      </w:r>
    </w:p>
    <w:p>
      <w:pPr>
        <w:spacing w:after="0" w:line="27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 limited number of Deployment Solutions contracts include tokens, a mechanism used to both enable “peak” users to choose a combination of the software products on a monthly basis and restrict the number of users. We recognize revenue related to these tokens at a point in time, based on quarterly consumption information provided by the customer.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Professional Services</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Our agreements often include service elements (other than maintenance and support services). These services include training, design assistance, and consulting. Services performed on a time and materials basis are recognized over the period the services are provided either using an output method such as labor hours, or a method that is otherwise consistent with the way in which value is delivered to the customer. Services performed on a fixed price basis are recognized over time, generally using costs incurred or hours expended to measure progress.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Multiple Performance Obligations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which are estimated considering multiple factors including observable industry pricing practices and internal pricing strategies and objectives. Standalone selling prices of software licenses are typically estimated using the residual approach. Standalone selling prices of professional services are typically estimated based on observable transactions when these services are sold on a standalone basis.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Transaction price</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Revenue is recognized when, or as, control of a promised product or service transfers to a client, in an amount that reflects the consideration to which we expect to be entitled in exchange for transferring those products or services. If the consideration promised in a contract includes a variable amount, we estimate the amount to which we expect to be entitled using either the expected value or most likely amount method, to the extent it is probable that a significant reversal of cumulative revenue recognized will not occur. Generally, the transaction price of our contracts is fixed at the inception of the contract. Our contracts generally do not include terms that could cause variability in the transaction price.</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We assess the timing of the transfer of goods or services to the customer as compared to the timing of payments to determine whether a significant financing component exists. As a practical expedient, we do not assess the existence of a significant financing component when the difference between payment and transfer of deliverables is a year or less. If the difference in timing arises for reasons other than the provision of finance to either the customer or us, no financing component is deemed to exist. When contracts involve a significant financing component, we adjust the promised amount of consideration for the effects of the time value of money if the timing of payments agreed to by the parties to the contract (either explicitly or implicitly) provide the customer with a significant benefit of financing.</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We report revenue net of any revenue-based taxes assessed by governmental authorities that are imposed on and concurrent with specific revenue-producing transactions.</w:t>
      </w:r>
    </w:p>
    <w:p>
      <w:pPr>
        <w:spacing w:after="0" w:line="13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 instances where foreign licensees withhold and remit taxes to local authorities in accordance with local laws and regulations, we recognize and present revenue on a gross basis, and include the withholding tax in income tax expense.</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Flexible Spending Accounts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Some customers enter into a non-cancelable Flexible Spending Account (FSA) agreements whereby the customer commits to a fixed dollar amount over a specified period of time that can be used to purchase from a list of our products or services. These agreements do not meet the definition of a revenue contract until the customer executes a separate order to identify the required products and services that they are purchasing. The combination of the FSA agreement and the subsequent order creates enforceable rights and obligations, thus meeting the definition of a revenue contract. Each separate order under the agreement is treated as an individual contract and accounted for based on the respective performance obligations included within the FSA agreements.</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Contract modifications</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Our contracts may be modified to add, remove or change existing performance obligations. The accounting for modifications to our contracts involves assessing whether the products and services added to an existing contract are distinct and whether the pricing is at the standalone selling price. Products and services added that are not distinct are accounted for on a cumulative catch-up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 Our more significant contract modifications include extensions of the design license term and the purchase of additional years of support and maintenance.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Judgments</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Our contracts with customers often include promises to transfer multiple products and services to a customer. Determining whether products and services are considered distinct performance obligations that should be accounted for separately versus together requires significant judgment. Judgment is also required to determine the standalone selling price for each distinct performance obligation.</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Contract Balances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timing of revenue recognition may differ from the timing of invoicing to customers, and these timing differences result in receivables (billed or unbilled), contract assets, or contract liabilities (deferred revenue) on our consolidated balance sheet. We record a contract asset when revenue is recognized prior to the right to invoice. We record deferred revenue when we invoice customers and revenue is not yet recognized. For time-based software agreements, customers are generally invoiced in single or annual amounts, although some customers are invoiced more frequently over-time. We record an unbilled receivable when revenue is recognized and it has an unconditional right to invoice and receive payment.</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capitalize sales commission as costs of obtaining a contract when they are incremental and, if they are expected to be recovered, amortized in a manner consistent with the pattern of transfer of the good or service to which the asset relates.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account for income taxes under the asset and liability method. Under this method, deferred taxes are determined based on the temporary differences between the financial statement and tax basis of assets and liabilities using tax rates expected to be in effect during the years in which the basis differences are expected to reverse. The effect of a change in tax rates on deferred tax assets and liabilities is recognized in income in the period that includes the enactment date. We provide for a valuation allowance when it is more likely than not that some portion, or all of our deferred tax assets will not be realized. In making such determination, we consider all available positive and negative evidence, including future reversals of existing taxable temporary differences, projected future taxable income, tax-planning strategies, and results of recent operations. As of December 31, 2021, we recorded a full valuation allowance against our U.S. federal, state, and certain foreign jurisdiction deferred tax assets. As of December 31, 2020, we recorded a full valuation allowance against our U.S. federal and state deferred tax assets.</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measure equity classified stock-based awards, including stock options, RSUs, and RSAs granted to employees, directors, and non-employees based on the estimated fair values of the awards on the date of the grant. Stock-based compensation expense for awards with service-based vesting only is recognized on a straight-line basis over the requisite service period which is generally the vesting period of such awards, as a component of operating expenses within the Consolidated Statements of Income (Loss). For awards that include performance conditions stock-based compensation expense is recognized on a graded vesting basis over the requisite service period. Compensation expense is not recognized until the performance condition becomes probable.</w:t>
      </w:r>
    </w:p>
    <w:p>
      <w:pPr>
        <w:spacing w:after="0" w:line="27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performance-based vesting condition of certain awards is satisfied in connection with us becoming a publicly listed company or a change in control. Upon the effectiveness of our initial public offering (IPO), the performance-based vesting condition was satisfied and therefore, we recognized cumulative stock-based compensation expense of $3.5 million associated with such RSUs for the portion for which the service-based vesting condition had been fully or partially satisfied for the year ended December 31, 2021. RSUs granted after our IPO do not contain the performance-based vesting condition described above.</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We account for forfeitures related to these awards as they occur.</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fair value of each stock option grant is estimated on the date of grant using the Black-Scholes option-pricing model. This valuation model for stock-based compensation expense requires us to make assumptions and judgments about the variables used in the calculation including the expected term, the volatility of our common stock, and an assumed risk-free interest rate. As a result, if we revise our assumptions and estimates, our stock-based compensation expense could change. We determine valuation assumptions for Black-Scholes as follows:</w:t>
      </w:r>
    </w:p>
    <w:p>
      <w:pPr>
        <w:spacing w:after="0" w:line="9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i w:val="1"/>
          <w:iCs w:val="1"/>
          <w:color w:val="auto"/>
        </w:rPr>
        <w:t>Risk-Free Interest Rate</w:t>
      </w:r>
      <w:r>
        <w:rPr>
          <w:rFonts w:ascii="Arial" w:cs="Arial" w:eastAsia="Arial" w:hAnsi="Arial"/>
          <w:sz w:val="13"/>
          <w:szCs w:val="13"/>
          <w:color w:val="auto"/>
        </w:rPr>
        <w:t>—We base the risk-free interest rate used in the Black-Scholes option-pricing model on the implied yield available on US Treasury zero coupon issues with an</w:t>
      </w:r>
      <w:r>
        <w:rPr>
          <w:rFonts w:ascii="Arial" w:cs="Arial" w:eastAsia="Arial" w:hAnsi="Arial"/>
          <w:sz w:val="13"/>
          <w:szCs w:val="13"/>
          <w:i w:val="1"/>
          <w:iCs w:val="1"/>
          <w:color w:val="auto"/>
        </w:rPr>
        <w:t xml:space="preserve"> </w:t>
      </w:r>
      <w:r>
        <w:rPr>
          <w:rFonts w:ascii="Arial" w:cs="Arial" w:eastAsia="Arial" w:hAnsi="Arial"/>
          <w:sz w:val="13"/>
          <w:szCs w:val="13"/>
          <w:color w:val="auto"/>
        </w:rPr>
        <w:t>equivalent expected term of the options for each option group.</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Expected Term</w:t>
      </w:r>
      <w:r>
        <w:rPr>
          <w:rFonts w:ascii="Arial" w:cs="Arial" w:eastAsia="Arial" w:hAnsi="Arial"/>
          <w:sz w:val="13"/>
          <w:szCs w:val="13"/>
          <w:color w:val="auto"/>
        </w:rPr>
        <w:t>—The expected term represents the period that our stock-based awards are expected to be outstanding. The expected term assumption is based on the simplified method.</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We expect to continue using the simplified method until sufficient information about our historical behavior is available.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Volatility</w:t>
      </w:r>
      <w:r>
        <w:rPr>
          <w:rFonts w:ascii="Arial" w:cs="Arial" w:eastAsia="Arial" w:hAnsi="Arial"/>
          <w:sz w:val="13"/>
          <w:szCs w:val="13"/>
          <w:color w:val="auto"/>
        </w:rPr>
        <w:t>—We determine the price volatility factor based on the historical volatilities of our peer group as the we do not have sufficient trading history for its common stock.</w:t>
      </w:r>
    </w:p>
    <w:p>
      <w:pPr>
        <w:spacing w:after="0" w:line="137" w:lineRule="exact"/>
        <w:rPr>
          <w:sz w:val="20"/>
          <w:szCs w:val="20"/>
          <w:color w:val="auto"/>
        </w:rPr>
      </w:pPr>
    </w:p>
    <w:p>
      <w:pPr>
        <w:spacing w:after="0" w:line="297" w:lineRule="auto"/>
        <w:rPr>
          <w:sz w:val="20"/>
          <w:szCs w:val="20"/>
          <w:color w:val="auto"/>
        </w:rPr>
      </w:pPr>
      <w:r>
        <w:rPr>
          <w:rFonts w:ascii="Arial" w:cs="Arial" w:eastAsia="Arial" w:hAnsi="Arial"/>
          <w:sz w:val="13"/>
          <w:szCs w:val="13"/>
          <w:i w:val="1"/>
          <w:iCs w:val="1"/>
          <w:color w:val="auto"/>
        </w:rPr>
        <w:t>Dividend Yield</w:t>
      </w:r>
      <w:r>
        <w:rPr>
          <w:rFonts w:ascii="Arial" w:cs="Arial" w:eastAsia="Arial" w:hAnsi="Arial"/>
          <w:sz w:val="13"/>
          <w:szCs w:val="13"/>
          <w:color w:val="auto"/>
        </w:rPr>
        <w:t>—We have never declared or paid any cash dividend and does not currently plan to pay a cash dividend in the foreseeable future. Consequently, we used an expected</w:t>
      </w:r>
      <w:r>
        <w:rPr>
          <w:rFonts w:ascii="Arial" w:cs="Arial" w:eastAsia="Arial" w:hAnsi="Arial"/>
          <w:sz w:val="13"/>
          <w:szCs w:val="13"/>
          <w:i w:val="1"/>
          <w:iCs w:val="1"/>
          <w:color w:val="auto"/>
        </w:rPr>
        <w:t xml:space="preserve"> </w:t>
      </w:r>
      <w:r>
        <w:rPr>
          <w:rFonts w:ascii="Arial" w:cs="Arial" w:eastAsia="Arial" w:hAnsi="Arial"/>
          <w:sz w:val="13"/>
          <w:szCs w:val="13"/>
          <w:color w:val="auto"/>
        </w:rPr>
        <w:t>dividend yield of zero.</w:t>
      </w:r>
    </w:p>
    <w:p>
      <w:pPr>
        <w:sectPr>
          <w:pgSz w:w="11900" w:h="16838" w:orient="portrait"/>
          <w:cols w:equalWidth="0" w:num="1">
            <w:col w:w="11280"/>
          </w:cols>
          <w:pgMar w:left="300" w:top="125" w:right="31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valuation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5457190" cy="1282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57190" cy="12827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Fair value of common stock</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Expected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457190" cy="1282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57190" cy="12827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Expected term (in years)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457190" cy="1282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57190" cy="12827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Expected dividend yield</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We had no stock option grants during the year ended December 31, 2021.</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jc w:val="center"/>
        <w:ind w:right="360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20320</wp:posOffset>
            </wp:positionV>
            <wp:extent cx="203454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spacing w:after="0" w:line="34" w:lineRule="exact"/>
        <w:rPr>
          <w:sz w:val="20"/>
          <w:szCs w:val="20"/>
          <w:color w:val="auto"/>
        </w:rPr>
      </w:pPr>
    </w:p>
    <w:p>
      <w:pPr>
        <w:jc w:val="center"/>
        <w:ind w:right="3600"/>
        <w:spacing w:after="0"/>
        <w:rPr>
          <w:sz w:val="20"/>
          <w:szCs w:val="20"/>
          <w:color w:val="auto"/>
        </w:rPr>
      </w:pPr>
      <w:r>
        <w:rPr>
          <w:rFonts w:ascii="Arial" w:cs="Arial" w:eastAsia="Arial" w:hAnsi="Arial"/>
          <w:sz w:val="11"/>
          <w:szCs w:val="11"/>
          <w:b w:val="1"/>
          <w:bCs w:val="1"/>
          <w:color w:val="auto"/>
        </w:rPr>
        <w:t>2020</w:t>
      </w:r>
    </w:p>
    <w:p>
      <w:pPr>
        <w:spacing w:after="0" w:line="70" w:lineRule="exact"/>
        <w:rPr>
          <w:sz w:val="20"/>
          <w:szCs w:val="20"/>
          <w:color w:val="auto"/>
        </w:rPr>
      </w:pPr>
    </w:p>
    <w:p>
      <w:pPr>
        <w:jc w:val="center"/>
        <w:ind w:right="3600"/>
        <w:spacing w:after="0"/>
        <w:rPr>
          <w:sz w:val="20"/>
          <w:szCs w:val="20"/>
          <w:color w:val="auto"/>
        </w:rPr>
      </w:pPr>
      <w:r>
        <w:rPr>
          <w:rFonts w:ascii="Arial" w:cs="Arial" w:eastAsia="Arial" w:hAnsi="Arial"/>
          <w:sz w:val="13"/>
          <w:szCs w:val="13"/>
          <w:color w:val="auto"/>
        </w:rPr>
        <w:t>$0.60 - $2.74</w:t>
      </w:r>
    </w:p>
    <w:p>
      <w:pPr>
        <w:spacing w:after="0" w:line="52" w:lineRule="exact"/>
        <w:rPr>
          <w:sz w:val="20"/>
          <w:szCs w:val="20"/>
          <w:color w:val="auto"/>
        </w:rPr>
      </w:pPr>
    </w:p>
    <w:p>
      <w:pPr>
        <w:jc w:val="center"/>
        <w:ind w:right="3600"/>
        <w:spacing w:after="0"/>
        <w:rPr>
          <w:sz w:val="20"/>
          <w:szCs w:val="20"/>
          <w:color w:val="auto"/>
        </w:rPr>
      </w:pPr>
      <w:r>
        <w:rPr>
          <w:rFonts w:ascii="Arial" w:cs="Arial" w:eastAsia="Arial" w:hAnsi="Arial"/>
          <w:sz w:val="13"/>
          <w:szCs w:val="13"/>
          <w:color w:val="auto"/>
        </w:rPr>
        <w:t>33.9% - 39.9%</w:t>
      </w:r>
    </w:p>
    <w:p>
      <w:pPr>
        <w:spacing w:after="0" w:line="52" w:lineRule="exact"/>
        <w:rPr>
          <w:sz w:val="20"/>
          <w:szCs w:val="20"/>
          <w:color w:val="auto"/>
        </w:rPr>
      </w:pPr>
    </w:p>
    <w:p>
      <w:pPr>
        <w:jc w:val="center"/>
        <w:ind w:right="3600"/>
        <w:spacing w:after="0"/>
        <w:rPr>
          <w:sz w:val="20"/>
          <w:szCs w:val="20"/>
          <w:color w:val="auto"/>
        </w:rPr>
      </w:pPr>
      <w:r>
        <w:rPr>
          <w:rFonts w:ascii="Arial" w:cs="Arial" w:eastAsia="Arial" w:hAnsi="Arial"/>
          <w:sz w:val="13"/>
          <w:szCs w:val="13"/>
          <w:color w:val="auto"/>
        </w:rPr>
        <w:t>5.4 - 6.1</w:t>
      </w:r>
    </w:p>
    <w:p>
      <w:pPr>
        <w:spacing w:after="0" w:line="52" w:lineRule="exact"/>
        <w:rPr>
          <w:sz w:val="20"/>
          <w:szCs w:val="20"/>
          <w:color w:val="auto"/>
        </w:rPr>
      </w:pPr>
    </w:p>
    <w:p>
      <w:pPr>
        <w:jc w:val="center"/>
        <w:ind w:right="3600"/>
        <w:spacing w:after="0"/>
        <w:rPr>
          <w:sz w:val="20"/>
          <w:szCs w:val="20"/>
          <w:color w:val="auto"/>
        </w:rPr>
      </w:pPr>
      <w:r>
        <w:rPr>
          <w:rFonts w:ascii="Arial" w:cs="Arial" w:eastAsia="Arial" w:hAnsi="Arial"/>
          <w:sz w:val="13"/>
          <w:szCs w:val="13"/>
          <w:color w:val="auto"/>
        </w:rPr>
        <w:t>0.3% - 1.5%</w:t>
      </w:r>
    </w:p>
    <w:p>
      <w:pPr>
        <w:spacing w:after="0" w:line="52" w:lineRule="exact"/>
        <w:rPr>
          <w:sz w:val="20"/>
          <w:szCs w:val="20"/>
          <w:color w:val="auto"/>
        </w:rPr>
      </w:pPr>
    </w:p>
    <w:p>
      <w:pPr>
        <w:jc w:val="center"/>
        <w:ind w:right="3600"/>
        <w:spacing w:after="0"/>
        <w:rPr>
          <w:sz w:val="20"/>
          <w:szCs w:val="20"/>
          <w:color w:val="auto"/>
        </w:rPr>
      </w:pPr>
      <w:r>
        <w:rPr>
          <w:rFonts w:ascii="Arial" w:cs="Arial" w:eastAsia="Arial" w:hAnsi="Arial"/>
          <w:sz w:val="13"/>
          <w:szCs w:val="13"/>
          <w:color w:val="auto"/>
        </w:rPr>
        <w:t>0%</w:t>
      </w:r>
    </w:p>
    <w:p>
      <w:pPr>
        <w:spacing w:after="0" w:line="497" w:lineRule="exact"/>
        <w:rPr>
          <w:sz w:val="20"/>
          <w:szCs w:val="20"/>
          <w:color w:val="auto"/>
        </w:rPr>
      </w:pPr>
    </w:p>
    <w:p>
      <w:pPr>
        <w:sectPr>
          <w:pgSz w:w="11900" w:h="16838" w:orient="portrait"/>
          <w:cols w:equalWidth="0" w:num="2">
            <w:col w:w="5600" w:space="720"/>
            <w:col w:w="4960"/>
          </w:cols>
          <w:pgMar w:left="300" w:top="125" w:right="319" w:bottom="1440" w:gutter="0" w:footer="0" w:header="0"/>
          <w:type w:val="continuous"/>
        </w:sectPr>
      </w:pPr>
    </w:p>
    <w:p>
      <w:pPr>
        <w:spacing w:after="0"/>
        <w:rPr>
          <w:sz w:val="20"/>
          <w:szCs w:val="20"/>
          <w:color w:val="auto"/>
        </w:rPr>
      </w:pPr>
      <w:r>
        <w:rPr>
          <w:rFonts w:ascii="Arial" w:cs="Arial" w:eastAsia="Arial" w:hAnsi="Arial"/>
          <w:sz w:val="13"/>
          <w:szCs w:val="13"/>
          <w:color w:val="auto"/>
        </w:rPr>
        <w:t>The fair value of RSUs and RSAs granted is measured as the fair value per share of our common stock on the date of grant.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Common Stock Valuations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Prior to our IPO, the fair value of the common stock underlying our stock-based awards has historically been determined by our board of directors, with input from management and contemporaneous independent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Valuation of Privately-Held Company Equity Securities Issued as Compensation, our board of directors exercised reasonable judgment and considered numerous objective and subjective factors to determine the best estimate of the fair value of our common stock, including:</w:t>
      </w:r>
    </w:p>
    <w:p>
      <w:pPr>
        <w:spacing w:after="0" w:line="113" w:lineRule="exact"/>
        <w:rPr>
          <w:sz w:val="20"/>
          <w:szCs w:val="20"/>
          <w:color w:val="auto"/>
        </w:rPr>
      </w:pPr>
    </w:p>
    <w:p>
      <w:pPr>
        <w:ind w:left="640" w:hanging="253"/>
        <w:spacing w:after="0"/>
        <w:tabs>
          <w:tab w:leader="none" w:pos="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independent third-party valuations of our common stock;</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rights, preferences and privileges of our redeemable convertible preferred stock relative to those of our common stock;</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financial condition, results of operations and capital resources;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industry outlook;</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valuation of comparable companies;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lack of marketability of our common stock;</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fact that option and RSU grants have involved rights in illiquid securities in a private company;</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likelihood and timeline of achieving a liquidity event, such as a public offering or a sale of our company given prevailing market conditions;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history and nature of our business, industry trends and competitive environment; and</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general economic outlook including economic growth, inflation and unemployment, interest rate environment and global economic trends.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After our IPO, the fair value of our common stock is based on the closing price as reported on the date of grant on the primary stock exchange on which our common stock is traded.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74" w:name="page75"/>
    <w:bookmarkEnd w:id="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allocate the purchase price to the tangible assets acquired, liabilities assumed, and intangible assets acquired based on their estimated fair values. The excess of the purchase price over the fair values of these identifiable assets and liabilities is recorded as goodwill. Such valuations require management to make significant estimates and assumptions, especially with respect to intangible assets. These estimates are based on information obtained from management of the acquired companies, our assessment of this information, and historical experience. Significant estimates in valuing certain intangible assets include, but are not limited to, future expected cash flows from acquired customers,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In addition, unanticipated events and circumstances may occur that may affect the accuracy or validity of such estimates, and if such events occur, we may be required to adjust the value allocated to acquired assets or assumed liabilities. During the measurement period, which may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loss. Acquisition costs, such as legal and consulting fees, are expensed as incurred.</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 and Intangible Assets</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perform our goodwill and other indefinite-lived intangible assets impairment tests annually or more frequently if events or changes in circumstances occur that would more likely than not reduce the fair value below its carrying value. For the year ended December 31, 2021 and 2020, we did not have any goodwill or other indefinite-lived intangible assets impairment.</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Acquired finite-lived intangible assets are amortized on a straight-line basis over the estimated useful lives of the assets, which range from five to eight years, unless the lives are determined to be indefinite. We routinely review the remaining estimated useful lives of finite-lived intangible assets. Amortization expenses are recorded operating expenses on the consolidated statements of loss.</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and Adopted Accounting Pronouncements</w:t>
      </w:r>
    </w:p>
    <w:p>
      <w:pPr>
        <w:spacing w:after="0" w:line="150" w:lineRule="exact"/>
        <w:rPr>
          <w:sz w:val="20"/>
          <w:szCs w:val="20"/>
          <w:color w:val="auto"/>
        </w:rPr>
      </w:pPr>
    </w:p>
    <w:p>
      <w:pPr>
        <w:ind w:right="1640"/>
        <w:spacing w:after="0" w:line="479" w:lineRule="auto"/>
        <w:rPr>
          <w:rFonts w:ascii="Arial" w:cs="Arial" w:eastAsia="Arial" w:hAnsi="Arial"/>
          <w:sz w:val="13"/>
          <w:szCs w:val="13"/>
          <w:color w:val="auto"/>
        </w:rPr>
      </w:pPr>
      <w:r>
        <w:rPr>
          <w:rFonts w:ascii="Arial" w:cs="Arial" w:eastAsia="Arial" w:hAnsi="Arial"/>
          <w:sz w:val="13"/>
          <w:szCs w:val="13"/>
          <w:color w:val="auto"/>
        </w:rPr>
        <w:t xml:space="preserve">For more information regarding recently issued accounting pronouncements, see </w:t>
      </w:r>
      <w:hyperlink w:anchor="page84">
        <w:r>
          <w:rPr>
            <w:rFonts w:ascii="Arial" w:cs="Arial" w:eastAsia="Arial" w:hAnsi="Arial"/>
            <w:sz w:val="13"/>
            <w:szCs w:val="13"/>
            <w:u w:val="single" w:color="auto"/>
            <w:color w:val="0000FF"/>
          </w:rPr>
          <w:t>Note 2</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 xml:space="preserve">to our consolidated financial statements included elsewhere in this report. </w:t>
      </w:r>
      <w:r>
        <w:rPr>
          <w:rFonts w:ascii="Arial" w:cs="Arial" w:eastAsia="Arial" w:hAnsi="Arial"/>
          <w:sz w:val="13"/>
          <w:szCs w:val="13"/>
          <w:b w:val="1"/>
          <w:bCs w:val="1"/>
          <w:i w:val="1"/>
          <w:iCs w:val="1"/>
          <w:color w:val="auto"/>
        </w:rPr>
        <w:t>JOBS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-375285</wp:posOffset>
            </wp:positionV>
            <wp:extent cx="2795905"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95905" cy="94615"/>
                    </a:xfrm>
                    <a:prstGeom prst="rect">
                      <a:avLst/>
                    </a:prstGeom>
                    <a:noFill/>
                  </pic:spPr>
                </pic:pic>
              </a:graphicData>
            </a:graphic>
          </wp:anchor>
        </w:drawing>
      </w:r>
    </w:p>
    <w:p>
      <w:pPr>
        <w:spacing w:after="0" w:line="20" w:lineRule="exact"/>
        <w:rPr>
          <w:sz w:val="20"/>
          <w:szCs w:val="20"/>
          <w:color w:val="auto"/>
        </w:rPr>
      </w:pPr>
    </w:p>
    <w:p>
      <w:pPr>
        <w:jc w:val="both"/>
        <w:spacing w:after="0" w:line="259" w:lineRule="auto"/>
        <w:rPr>
          <w:rFonts w:ascii="Arial" w:cs="Arial" w:eastAsia="Arial" w:hAnsi="Arial"/>
          <w:sz w:val="13"/>
          <w:szCs w:val="13"/>
          <w:color w:val="0000FF"/>
        </w:rPr>
      </w:pPr>
      <w:r>
        <w:rPr>
          <w:rFonts w:ascii="Arial" w:cs="Arial" w:eastAsia="Arial" w:hAnsi="Arial"/>
          <w:sz w:val="13"/>
          <w:szCs w:val="13"/>
          <w:color w:val="auto"/>
        </w:rPr>
        <w:t xml:space="preserve">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w:t>
      </w:r>
      <w:hyperlink w:anchor="page84">
        <w:r>
          <w:rPr>
            <w:rFonts w:ascii="Arial" w:cs="Arial" w:eastAsia="Arial" w:hAnsi="Arial"/>
            <w:sz w:val="13"/>
            <w:szCs w:val="13"/>
            <w:color w:val="auto"/>
          </w:rPr>
          <w:t xml:space="preserve">until the earlier of the date we (i) are no longer an emerging growth company or (ii) affirmatively and irrevocably opt out of the extended transition period provided in the JOBS Act. See </w:t>
        </w:r>
        <w:r>
          <w:rPr>
            <w:rFonts w:ascii="Arial" w:cs="Arial" w:eastAsia="Arial" w:hAnsi="Arial"/>
            <w:sz w:val="13"/>
            <w:szCs w:val="13"/>
            <w:u w:val="single" w:color="auto"/>
            <w:color w:val="0000FF"/>
          </w:rPr>
          <w:t>Note</w:t>
        </w:r>
      </w:hyperlink>
      <w:r>
        <w:rPr>
          <w:rFonts w:ascii="Arial" w:cs="Arial" w:eastAsia="Arial" w:hAnsi="Arial"/>
          <w:sz w:val="13"/>
          <w:szCs w:val="13"/>
          <w:color w:val="auto"/>
        </w:rPr>
        <w:t xml:space="preserve"> </w:t>
      </w:r>
      <w:hyperlink w:anchor="page84">
        <w:r>
          <w:rPr>
            <w:rFonts w:ascii="Arial" w:cs="Arial" w:eastAsia="Arial" w:hAnsi="Arial"/>
            <w:sz w:val="13"/>
            <w:szCs w:val="13"/>
            <w:u w:val="single" w:color="auto"/>
            <w:color w:val="0000FF"/>
          </w:rPr>
          <w:t>2</w:t>
        </w:r>
        <w:r>
          <w:rPr>
            <w:rFonts w:ascii="Arial" w:cs="Arial" w:eastAsia="Arial" w:hAnsi="Arial"/>
            <w:sz w:val="13"/>
            <w:szCs w:val="13"/>
            <w:color w:val="000000"/>
            <w:highlight w:val="white"/>
          </w:rPr>
          <w:t>, Basis of Presentation and Summary of Significant Accounting Policies, in the notes to our consolidated financial statements included elsewhere in this Annual Report on Form 10-K. As a</w:t>
        </w:r>
      </w:hyperlink>
      <w:r>
        <w:rPr>
          <w:rFonts w:ascii="Arial" w:cs="Arial" w:eastAsia="Arial" w:hAnsi="Arial"/>
          <w:sz w:val="13"/>
          <w:szCs w:val="13"/>
          <w:color w:val="0000FF"/>
        </w:rPr>
        <w:t xml:space="preserve"> </w:t>
      </w:r>
      <w:r>
        <w:rPr>
          <w:rFonts w:ascii="Arial" w:cs="Arial" w:eastAsia="Arial" w:hAnsi="Arial"/>
          <w:sz w:val="13"/>
          <w:szCs w:val="13"/>
          <w:color w:val="000000"/>
        </w:rPr>
        <w:t>result, our financial statements may not be comparable to companies that comply with new or revised accounting pronouncements as of public company effective dates.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Quantitative and Qualitative Disclosures About Market Risk</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Exchange Risk</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Operating in international markets involves exposure to possible volatile movements in currency exchange rates. A majority of our revenue and expenses are transacted in U.S. dollars and our assets and liabilities together with our cash holdings are predominately denominated in U.S. dollars reducing the exposure to currency fluctuations.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If the volume of our international operations increases and foreign currency exchange rates change, the impact to our consolidated statements of operations could be significant and may affect the comparability of operating results. The impact from foreign currency transactions during the year ended December 31, 2021 and 2020 was approximately $0.6 million and insignificant, respectively. We do not believe a 10% increase or decrease in foreign exchange rates would have resulted in a material impact to our operating results.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10460" w:type="dxa"/>
            <w:vAlign w:val="bottom"/>
            <w:gridSpan w:val="8"/>
            <w:vMerge w:val="restart"/>
          </w:tcPr>
          <w:p>
            <w:pPr>
              <w:spacing w:after="0"/>
              <w:rPr>
                <w:sz w:val="20"/>
                <w:szCs w:val="20"/>
                <w:color w:val="auto"/>
              </w:rPr>
            </w:pPr>
            <w:r>
              <w:rPr>
                <w:rFonts w:ascii="Arial" w:cs="Arial" w:eastAsia="Arial" w:hAnsi="Arial"/>
                <w:sz w:val="13"/>
                <w:szCs w:val="13"/>
                <w:b w:val="1"/>
                <w:bCs w:val="1"/>
                <w:color w:val="auto"/>
              </w:rPr>
              <w:t>Arteris, Inc.</w:t>
            </w: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47"/>
        </w:trPr>
        <w:tc>
          <w:tcPr>
            <w:tcW w:w="10460" w:type="dxa"/>
            <w:vAlign w:val="bottom"/>
            <w:gridSpan w:val="8"/>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60" w:type="dxa"/>
            <w:vAlign w:val="bottom"/>
            <w:gridSpan w:val="8"/>
          </w:tcPr>
          <w:p>
            <w:pPr>
              <w:spacing w:after="0" w:line="141" w:lineRule="exact"/>
              <w:rPr>
                <w:rFonts w:ascii="Arial" w:cs="Arial" w:eastAsia="Arial" w:hAnsi="Arial"/>
                <w:sz w:val="13"/>
                <w:szCs w:val="13"/>
                <w:color w:val="0000FF"/>
              </w:rPr>
            </w:pPr>
            <w:hyperlink w:anchor="page77">
              <w:r>
                <w:rPr>
                  <w:rFonts w:ascii="Arial" w:cs="Arial" w:eastAsia="Arial" w:hAnsi="Arial"/>
                  <w:sz w:val="13"/>
                  <w:szCs w:val="13"/>
                  <w:color w:val="0000FF"/>
                </w:rPr>
                <w:t xml:space="preserve">Report of Independent Registered Public Accounting Firm </w:t>
              </w:r>
            </w:hyperlink>
            <w:r>
              <w:rPr>
                <w:rFonts w:ascii="Arial" w:cs="Arial" w:eastAsia="Arial" w:hAnsi="Arial"/>
                <w:sz w:val="13"/>
                <w:szCs w:val="13"/>
                <w:color w:val="000000"/>
              </w:rPr>
              <w:t>(Moss</w:t>
            </w:r>
            <w:r>
              <w:rPr>
                <w:rFonts w:ascii="Arial" w:cs="Arial" w:eastAsia="Arial" w:hAnsi="Arial"/>
                <w:sz w:val="13"/>
                <w:szCs w:val="13"/>
                <w:color w:val="0000FF"/>
              </w:rPr>
              <w:t xml:space="preserve"> </w:t>
            </w:r>
            <w:r>
              <w:rPr>
                <w:rFonts w:ascii="Arial" w:cs="Arial" w:eastAsia="Arial" w:hAnsi="Arial"/>
                <w:sz w:val="13"/>
                <w:szCs w:val="13"/>
                <w:color w:val="000000"/>
              </w:rPr>
              <w:t>Adams LLP, San Francisco, CA, PCAOB ID: 659)</w:t>
            </w:r>
          </w:p>
        </w:tc>
        <w:tc>
          <w:tcPr>
            <w:tcW w:w="800" w:type="dxa"/>
            <w:vAlign w:val="bottom"/>
          </w:tcPr>
          <w:p>
            <w:pPr>
              <w:jc w:val="right"/>
              <w:spacing w:after="0" w:line="141" w:lineRule="exact"/>
              <w:rPr>
                <w:rFonts w:ascii="Arial" w:cs="Arial" w:eastAsia="Arial" w:hAnsi="Arial"/>
                <w:sz w:val="13"/>
                <w:szCs w:val="13"/>
                <w:color w:val="auto"/>
              </w:rPr>
            </w:pPr>
            <w:hyperlink w:anchor="page77">
              <w:r>
                <w:rPr>
                  <w:rFonts w:ascii="Arial" w:cs="Arial" w:eastAsia="Arial" w:hAnsi="Arial"/>
                  <w:sz w:val="13"/>
                  <w:szCs w:val="13"/>
                  <w:color w:val="auto"/>
                </w:rPr>
                <w:t>78</w:t>
              </w:r>
            </w:hyperlink>
          </w:p>
        </w:tc>
        <w:tc>
          <w:tcPr>
            <w:tcW w:w="0" w:type="dxa"/>
            <w:vAlign w:val="bottom"/>
          </w:tcPr>
          <w:p>
            <w:pPr>
              <w:spacing w:after="0"/>
              <w:rPr>
                <w:sz w:val="1"/>
                <w:szCs w:val="1"/>
                <w:color w:val="auto"/>
              </w:rPr>
            </w:pPr>
          </w:p>
        </w:tc>
      </w:tr>
      <w:tr>
        <w:trPr>
          <w:trHeight w:val="150"/>
        </w:trPr>
        <w:tc>
          <w:tcPr>
            <w:tcW w:w="3440" w:type="dxa"/>
            <w:vAlign w:val="bottom"/>
            <w:tcBorders>
              <w:top w:val="single" w:sz="8" w:color="0000FF"/>
            </w:tcBorders>
            <w:gridSpan w:val="6"/>
          </w:tcPr>
          <w:p>
            <w:pPr>
              <w:spacing w:after="0"/>
              <w:rPr>
                <w:rFonts w:ascii="Arial" w:cs="Arial" w:eastAsia="Arial" w:hAnsi="Arial"/>
                <w:sz w:val="13"/>
                <w:szCs w:val="13"/>
                <w:color w:val="0000FF"/>
              </w:rPr>
            </w:pPr>
            <w:hyperlink w:anchor="page78">
              <w:r>
                <w:rPr>
                  <w:rFonts w:ascii="Arial" w:cs="Arial" w:eastAsia="Arial" w:hAnsi="Arial"/>
                  <w:sz w:val="13"/>
                  <w:szCs w:val="13"/>
                  <w:color w:val="0000FF"/>
                </w:rPr>
                <w:t>Consolidated Balance Sheets</w:t>
              </w:r>
            </w:hyperlink>
          </w:p>
        </w:tc>
        <w:tc>
          <w:tcPr>
            <w:tcW w:w="7020" w:type="dxa"/>
            <w:vAlign w:val="bottom"/>
            <w:gridSpan w:val="2"/>
          </w:tcPr>
          <w:p>
            <w:pPr>
              <w:spacing w:after="0"/>
              <w:rPr>
                <w:sz w:val="13"/>
                <w:szCs w:val="13"/>
                <w:color w:val="auto"/>
              </w:rPr>
            </w:pPr>
          </w:p>
        </w:tc>
        <w:tc>
          <w:tcPr>
            <w:tcW w:w="800" w:type="dxa"/>
            <w:vAlign w:val="bottom"/>
          </w:tcPr>
          <w:p>
            <w:pPr>
              <w:jc w:val="right"/>
              <w:spacing w:after="0"/>
              <w:rPr>
                <w:rFonts w:ascii="Arial" w:cs="Arial" w:eastAsia="Arial" w:hAnsi="Arial"/>
                <w:sz w:val="13"/>
                <w:szCs w:val="13"/>
                <w:color w:val="auto"/>
              </w:rPr>
            </w:pPr>
            <w:hyperlink w:anchor="page78">
              <w:r>
                <w:rPr>
                  <w:rFonts w:ascii="Arial" w:cs="Arial" w:eastAsia="Arial" w:hAnsi="Arial"/>
                  <w:sz w:val="13"/>
                  <w:szCs w:val="13"/>
                  <w:color w:val="auto"/>
                </w:rPr>
                <w:t>79</w:t>
              </w:r>
            </w:hyperlink>
          </w:p>
        </w:tc>
        <w:tc>
          <w:tcPr>
            <w:tcW w:w="0" w:type="dxa"/>
            <w:vAlign w:val="bottom"/>
          </w:tcPr>
          <w:p>
            <w:pPr>
              <w:spacing w:after="0"/>
              <w:rPr>
                <w:sz w:val="1"/>
                <w:szCs w:val="1"/>
                <w:color w:val="auto"/>
              </w:rPr>
            </w:pPr>
          </w:p>
        </w:tc>
      </w:tr>
      <w:tr>
        <w:trPr>
          <w:trHeight w:val="20"/>
        </w:trPr>
        <w:tc>
          <w:tcPr>
            <w:tcW w:w="17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60" w:type="dxa"/>
            <w:vAlign w:val="bottom"/>
            <w:gridSpan w:val="8"/>
          </w:tcPr>
          <w:p>
            <w:pPr>
              <w:spacing w:after="0"/>
              <w:rPr>
                <w:rFonts w:ascii="Arial" w:cs="Arial" w:eastAsia="Arial" w:hAnsi="Arial"/>
                <w:sz w:val="13"/>
                <w:szCs w:val="13"/>
                <w:color w:val="0000FF"/>
              </w:rPr>
            </w:pPr>
            <w:hyperlink w:anchor="page79">
              <w:r>
                <w:rPr>
                  <w:rFonts w:ascii="Arial" w:cs="Arial" w:eastAsia="Arial" w:hAnsi="Arial"/>
                  <w:sz w:val="13"/>
                  <w:szCs w:val="13"/>
                  <w:color w:val="0000FF"/>
                </w:rPr>
                <w:t>Consolidated Statements of Loss</w:t>
              </w:r>
            </w:hyperlink>
          </w:p>
        </w:tc>
        <w:tc>
          <w:tcPr>
            <w:tcW w:w="800" w:type="dxa"/>
            <w:vAlign w:val="bottom"/>
          </w:tcPr>
          <w:p>
            <w:pPr>
              <w:jc w:val="right"/>
              <w:spacing w:after="0"/>
              <w:rPr>
                <w:rFonts w:ascii="Arial" w:cs="Arial" w:eastAsia="Arial" w:hAnsi="Arial"/>
                <w:sz w:val="13"/>
                <w:szCs w:val="13"/>
                <w:color w:val="auto"/>
              </w:rPr>
            </w:pPr>
            <w:hyperlink w:anchor="page79">
              <w:r>
                <w:rPr>
                  <w:rFonts w:ascii="Arial" w:cs="Arial" w:eastAsia="Arial" w:hAnsi="Arial"/>
                  <w:sz w:val="13"/>
                  <w:szCs w:val="13"/>
                  <w:color w:val="auto"/>
                </w:rPr>
                <w:t>80</w:t>
              </w:r>
            </w:hyperlink>
          </w:p>
        </w:tc>
        <w:tc>
          <w:tcPr>
            <w:tcW w:w="0" w:type="dxa"/>
            <w:vAlign w:val="bottom"/>
          </w:tcPr>
          <w:p>
            <w:pPr>
              <w:spacing w:after="0"/>
              <w:rPr>
                <w:sz w:val="1"/>
                <w:szCs w:val="1"/>
                <w:color w:val="auto"/>
              </w:rPr>
            </w:pPr>
          </w:p>
        </w:tc>
      </w:tr>
      <w:tr>
        <w:trPr>
          <w:trHeight w:val="20"/>
        </w:trPr>
        <w:tc>
          <w:tcPr>
            <w:tcW w:w="19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60" w:type="dxa"/>
            <w:vAlign w:val="bottom"/>
            <w:gridSpan w:val="8"/>
          </w:tcPr>
          <w:p>
            <w:pPr>
              <w:spacing w:after="0"/>
              <w:rPr>
                <w:rFonts w:ascii="Arial" w:cs="Arial" w:eastAsia="Arial" w:hAnsi="Arial"/>
                <w:sz w:val="13"/>
                <w:szCs w:val="13"/>
                <w:color w:val="0000FF"/>
              </w:rPr>
            </w:pPr>
            <w:hyperlink w:anchor="page80">
              <w:r>
                <w:rPr>
                  <w:rFonts w:ascii="Arial" w:cs="Arial" w:eastAsia="Arial" w:hAnsi="Arial"/>
                  <w:sz w:val="13"/>
                  <w:szCs w:val="13"/>
                  <w:color w:val="0000FF"/>
                </w:rPr>
                <w:t>Consolidated Statements of Comprehensive Loss</w:t>
              </w:r>
            </w:hyperlink>
          </w:p>
        </w:tc>
        <w:tc>
          <w:tcPr>
            <w:tcW w:w="800" w:type="dxa"/>
            <w:vAlign w:val="bottom"/>
          </w:tcPr>
          <w:p>
            <w:pPr>
              <w:jc w:val="right"/>
              <w:spacing w:after="0"/>
              <w:rPr>
                <w:rFonts w:ascii="Arial" w:cs="Arial" w:eastAsia="Arial" w:hAnsi="Arial"/>
                <w:sz w:val="13"/>
                <w:szCs w:val="13"/>
                <w:color w:val="auto"/>
              </w:rPr>
            </w:pPr>
            <w:hyperlink w:anchor="page80">
              <w:r>
                <w:rPr>
                  <w:rFonts w:ascii="Arial" w:cs="Arial" w:eastAsia="Arial" w:hAnsi="Arial"/>
                  <w:sz w:val="13"/>
                  <w:szCs w:val="13"/>
                  <w:color w:val="auto"/>
                </w:rPr>
                <w:t>81</w:t>
              </w:r>
            </w:hyperlink>
          </w:p>
        </w:tc>
        <w:tc>
          <w:tcPr>
            <w:tcW w:w="0" w:type="dxa"/>
            <w:vAlign w:val="bottom"/>
          </w:tcPr>
          <w:p>
            <w:pPr>
              <w:spacing w:after="0"/>
              <w:rPr>
                <w:sz w:val="1"/>
                <w:szCs w:val="1"/>
                <w:color w:val="auto"/>
              </w:rPr>
            </w:pPr>
          </w:p>
        </w:tc>
      </w:tr>
      <w:tr>
        <w:trPr>
          <w:trHeight w:val="20"/>
        </w:trPr>
        <w:tc>
          <w:tcPr>
            <w:tcW w:w="23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60" w:type="dxa"/>
            <w:vAlign w:val="bottom"/>
            <w:gridSpan w:val="8"/>
          </w:tcPr>
          <w:p>
            <w:pPr>
              <w:spacing w:after="0"/>
              <w:rPr>
                <w:rFonts w:ascii="Arial" w:cs="Arial" w:eastAsia="Arial" w:hAnsi="Arial"/>
                <w:sz w:val="13"/>
                <w:szCs w:val="13"/>
                <w:color w:val="0000FF"/>
              </w:rPr>
            </w:pPr>
            <w:hyperlink w:anchor="page81">
              <w:r>
                <w:rPr>
                  <w:rFonts w:ascii="Arial" w:cs="Arial" w:eastAsia="Arial" w:hAnsi="Arial"/>
                  <w:sz w:val="13"/>
                  <w:szCs w:val="13"/>
                  <w:color w:val="0000FF"/>
                </w:rPr>
                <w:t>Consolidated Statements of Redeemable Convertible Preferred Stock and Stockholders’ Equity (Deficit)</w:t>
              </w:r>
            </w:hyperlink>
          </w:p>
        </w:tc>
        <w:tc>
          <w:tcPr>
            <w:tcW w:w="800" w:type="dxa"/>
            <w:vAlign w:val="bottom"/>
          </w:tcPr>
          <w:p>
            <w:pPr>
              <w:jc w:val="right"/>
              <w:spacing w:after="0"/>
              <w:rPr>
                <w:rFonts w:ascii="Arial" w:cs="Arial" w:eastAsia="Arial" w:hAnsi="Arial"/>
                <w:sz w:val="13"/>
                <w:szCs w:val="13"/>
                <w:color w:val="auto"/>
              </w:rPr>
            </w:pPr>
            <w:hyperlink w:anchor="page81">
              <w:r>
                <w:rPr>
                  <w:rFonts w:ascii="Arial" w:cs="Arial" w:eastAsia="Arial" w:hAnsi="Arial"/>
                  <w:sz w:val="13"/>
                  <w:szCs w:val="13"/>
                  <w:color w:val="auto"/>
                </w:rPr>
                <w:t>82</w:t>
              </w:r>
            </w:hyperlink>
          </w:p>
        </w:tc>
        <w:tc>
          <w:tcPr>
            <w:tcW w:w="0" w:type="dxa"/>
            <w:vAlign w:val="bottom"/>
          </w:tcPr>
          <w:p>
            <w:pPr>
              <w:spacing w:after="0"/>
              <w:rPr>
                <w:sz w:val="1"/>
                <w:szCs w:val="1"/>
                <w:color w:val="auto"/>
              </w:rPr>
            </w:pPr>
          </w:p>
        </w:tc>
      </w:tr>
      <w:tr>
        <w:trPr>
          <w:trHeight w:val="150"/>
        </w:trPr>
        <w:tc>
          <w:tcPr>
            <w:tcW w:w="6140" w:type="dxa"/>
            <w:vAlign w:val="bottom"/>
            <w:tcBorders>
              <w:top w:val="single" w:sz="8" w:color="0000FF"/>
            </w:tcBorders>
            <w:gridSpan w:val="7"/>
          </w:tcPr>
          <w:p>
            <w:pPr>
              <w:spacing w:after="0"/>
              <w:rPr>
                <w:rFonts w:ascii="Arial" w:cs="Arial" w:eastAsia="Arial" w:hAnsi="Arial"/>
                <w:sz w:val="13"/>
                <w:szCs w:val="13"/>
                <w:color w:val="0000FF"/>
              </w:rPr>
            </w:pPr>
            <w:hyperlink w:anchor="page82">
              <w:r>
                <w:rPr>
                  <w:rFonts w:ascii="Arial" w:cs="Arial" w:eastAsia="Arial" w:hAnsi="Arial"/>
                  <w:sz w:val="13"/>
                  <w:szCs w:val="13"/>
                  <w:color w:val="0000FF"/>
                </w:rPr>
                <w:t>Consolidated Statements of Cash Flows</w:t>
              </w:r>
            </w:hyperlink>
          </w:p>
        </w:tc>
        <w:tc>
          <w:tcPr>
            <w:tcW w:w="4320" w:type="dxa"/>
            <w:vAlign w:val="bottom"/>
          </w:tcPr>
          <w:p>
            <w:pPr>
              <w:spacing w:after="0"/>
              <w:rPr>
                <w:sz w:val="13"/>
                <w:szCs w:val="13"/>
                <w:color w:val="auto"/>
              </w:rPr>
            </w:pPr>
          </w:p>
        </w:tc>
        <w:tc>
          <w:tcPr>
            <w:tcW w:w="800" w:type="dxa"/>
            <w:vAlign w:val="bottom"/>
          </w:tcPr>
          <w:p>
            <w:pPr>
              <w:jc w:val="right"/>
              <w:spacing w:after="0"/>
              <w:rPr>
                <w:rFonts w:ascii="Arial" w:cs="Arial" w:eastAsia="Arial" w:hAnsi="Arial"/>
                <w:sz w:val="13"/>
                <w:szCs w:val="13"/>
                <w:color w:val="auto"/>
              </w:rPr>
            </w:pPr>
            <w:hyperlink w:anchor="page82">
              <w:r>
                <w:rPr>
                  <w:rFonts w:ascii="Arial" w:cs="Arial" w:eastAsia="Arial" w:hAnsi="Arial"/>
                  <w:sz w:val="13"/>
                  <w:szCs w:val="13"/>
                  <w:color w:val="auto"/>
                </w:rPr>
                <w:t>83</w:t>
              </w:r>
            </w:hyperlink>
          </w:p>
        </w:tc>
        <w:tc>
          <w:tcPr>
            <w:tcW w:w="0" w:type="dxa"/>
            <w:vAlign w:val="bottom"/>
          </w:tcPr>
          <w:p>
            <w:pPr>
              <w:spacing w:after="0"/>
              <w:rPr>
                <w:sz w:val="1"/>
                <w:szCs w:val="1"/>
                <w:color w:val="auto"/>
              </w:rPr>
            </w:pPr>
          </w:p>
        </w:tc>
      </w:tr>
      <w:tr>
        <w:trPr>
          <w:trHeight w:val="20"/>
        </w:trPr>
        <w:tc>
          <w:tcPr>
            <w:tcW w:w="238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620" w:type="dxa"/>
            <w:vAlign w:val="bottom"/>
            <w:tcBorders>
              <w:bottom w:val="single" w:sz="8" w:color="0000FF"/>
            </w:tcBorders>
            <w:gridSpan w:val="4"/>
          </w:tcPr>
          <w:p>
            <w:pPr>
              <w:spacing w:after="0"/>
              <w:rPr>
                <w:rFonts w:ascii="Arial" w:cs="Arial" w:eastAsia="Arial" w:hAnsi="Arial"/>
                <w:sz w:val="13"/>
                <w:szCs w:val="13"/>
                <w:color w:val="0000FF"/>
              </w:rPr>
            </w:pPr>
            <w:hyperlink w:anchor="page83">
              <w:r>
                <w:rPr>
                  <w:rFonts w:ascii="Arial" w:cs="Arial" w:eastAsia="Arial" w:hAnsi="Arial"/>
                  <w:sz w:val="13"/>
                  <w:szCs w:val="13"/>
                  <w:color w:val="0000FF"/>
                </w:rPr>
                <w:t>Notes to Consolidated Financial Statements</w:t>
              </w:r>
            </w:hyperlink>
          </w:p>
        </w:tc>
        <w:tc>
          <w:tcPr>
            <w:tcW w:w="7840" w:type="dxa"/>
            <w:vAlign w:val="bottom"/>
            <w:gridSpan w:val="4"/>
          </w:tcPr>
          <w:p>
            <w:pPr>
              <w:spacing w:after="0"/>
              <w:rPr>
                <w:sz w:val="13"/>
                <w:szCs w:val="13"/>
                <w:color w:val="auto"/>
              </w:rPr>
            </w:pPr>
          </w:p>
        </w:tc>
        <w:tc>
          <w:tcPr>
            <w:tcW w:w="800" w:type="dxa"/>
            <w:vAlign w:val="bottom"/>
          </w:tcPr>
          <w:p>
            <w:pPr>
              <w:jc w:val="right"/>
              <w:spacing w:after="0"/>
              <w:rPr>
                <w:rFonts w:ascii="Arial" w:cs="Arial" w:eastAsia="Arial" w:hAnsi="Arial"/>
                <w:sz w:val="13"/>
                <w:szCs w:val="13"/>
                <w:color w:val="auto"/>
              </w:rPr>
            </w:pPr>
            <w:hyperlink w:anchor="page83">
              <w:r>
                <w:rPr>
                  <w:rFonts w:ascii="Arial" w:cs="Arial" w:eastAsia="Arial" w:hAnsi="Arial"/>
                  <w:sz w:val="13"/>
                  <w:szCs w:val="13"/>
                  <w:color w:val="auto"/>
                </w:rPr>
                <w:t>84</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To the Shareholders and the Board of Directors of</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Arteris, Inc.</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 on the Financial Statements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We have audited the accompanying consolidated balance sheets of Arteris, Inc. and subsidiaries (the “Company”) as of December 31, 2021 and 2020, the related consolidated statements of loss, comprehensive loss, redeemable convertible preferred stock and stockholders’ equity (deficit),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2021 and 2020, and the consolidated results of its operations and its cash flows for the years then ended, in conformity with accounting principles generally accepted in the United States of America.</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auto"/>
        </w:rPr>
        <w:t>/s/ Moss Adams LLP</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San Francisco, California</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March 7, 2022</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2020.</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Arteris,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December 31,</w:t>
            </w:r>
          </w:p>
        </w:tc>
        <w:tc>
          <w:tcPr>
            <w:tcW w:w="940" w:type="dxa"/>
            <w:vAlign w:val="bottom"/>
            <w:tcBorders>
              <w:bottom w:val="single" w:sz="8" w:color="auto"/>
            </w:tcBorders>
          </w:tcPr>
          <w:p>
            <w:pPr>
              <w:spacing w:after="0"/>
              <w:rPr>
                <w:sz w:val="12"/>
                <w:szCs w:val="12"/>
                <w:color w:val="auto"/>
              </w:rPr>
            </w:pPr>
          </w:p>
        </w:tc>
      </w:tr>
      <w:tr>
        <w:trPr>
          <w:trHeight w:val="139"/>
        </w:trPr>
        <w:tc>
          <w:tcPr>
            <w:tcW w:w="19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2020</w:t>
            </w:r>
          </w:p>
        </w:tc>
      </w:tr>
      <w:tr>
        <w:trPr>
          <w:trHeight w:val="150"/>
        </w:trPr>
        <w:tc>
          <w:tcPr>
            <w:tcW w:w="822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8"/>
        </w:trPr>
        <w:tc>
          <w:tcPr>
            <w:tcW w:w="8220" w:type="dxa"/>
            <w:vAlign w:val="bottom"/>
            <w:gridSpan w:val="3"/>
          </w:tcPr>
          <w:p>
            <w:pPr>
              <w:ind w:left="20"/>
              <w:spacing w:after="0"/>
              <w:rPr>
                <w:sz w:val="20"/>
                <w:szCs w:val="20"/>
                <w:color w:val="auto"/>
              </w:rPr>
            </w:pPr>
            <w:r>
              <w:rPr>
                <w:rFonts w:ascii="Arial" w:cs="Arial" w:eastAsia="Arial" w:hAnsi="Arial"/>
                <w:sz w:val="13"/>
                <w:szCs w:val="13"/>
                <w:color w:val="auto"/>
              </w:rPr>
              <w:t>Current assets:</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82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Cash</w:t>
            </w:r>
          </w:p>
        </w:tc>
        <w:tc>
          <w:tcPr>
            <w:tcW w:w="920" w:type="dxa"/>
            <w:vAlign w:val="bottom"/>
            <w:shd w:val="clear" w:color="auto" w:fill="CCEEFF"/>
          </w:tcPr>
          <w:p>
            <w:pPr>
              <w:jc w:val="right"/>
              <w:ind w:right="758"/>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85,825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11,744</w:t>
            </w:r>
          </w:p>
        </w:tc>
      </w:tr>
      <w:tr>
        <w:trPr>
          <w:trHeight w:val="168"/>
        </w:trPr>
        <w:tc>
          <w:tcPr>
            <w:tcW w:w="8220" w:type="dxa"/>
            <w:vAlign w:val="bottom"/>
            <w:gridSpan w:val="3"/>
          </w:tcPr>
          <w:p>
            <w:pPr>
              <w:ind w:left="180"/>
              <w:spacing w:after="0"/>
              <w:rPr>
                <w:sz w:val="20"/>
                <w:szCs w:val="20"/>
                <w:color w:val="auto"/>
              </w:rPr>
            </w:pPr>
            <w:r>
              <w:rPr>
                <w:rFonts w:ascii="Arial" w:cs="Arial" w:eastAsia="Arial" w:hAnsi="Arial"/>
                <w:sz w:val="13"/>
                <w:szCs w:val="13"/>
                <w:color w:val="auto"/>
              </w:rPr>
              <w:t>Accounts receivable, net</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13,873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14,350</w:t>
            </w:r>
          </w:p>
        </w:tc>
      </w:tr>
      <w:tr>
        <w:trPr>
          <w:trHeight w:val="170"/>
        </w:trPr>
        <w:tc>
          <w:tcPr>
            <w:tcW w:w="82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Prepaid expenses and other current assets</w:t>
            </w: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6,949</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2,858</w:t>
            </w:r>
          </w:p>
        </w:tc>
      </w:tr>
      <w:tr>
        <w:trPr>
          <w:trHeight w:val="160"/>
        </w:trPr>
        <w:tc>
          <w:tcPr>
            <w:tcW w:w="8220" w:type="dxa"/>
            <w:vAlign w:val="bottom"/>
            <w:gridSpan w:val="3"/>
          </w:tcPr>
          <w:p>
            <w:pPr>
              <w:ind w:left="440"/>
              <w:spacing w:after="0"/>
              <w:rPr>
                <w:sz w:val="20"/>
                <w:szCs w:val="20"/>
                <w:color w:val="auto"/>
              </w:rPr>
            </w:pPr>
            <w:r>
              <w:rPr>
                <w:rFonts w:ascii="Arial" w:cs="Arial" w:eastAsia="Arial" w:hAnsi="Arial"/>
                <w:sz w:val="13"/>
                <w:szCs w:val="13"/>
                <w:color w:val="auto"/>
              </w:rPr>
              <w:t>Total current assets</w:t>
            </w:r>
          </w:p>
        </w:tc>
        <w:tc>
          <w:tcPr>
            <w:tcW w:w="9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106,647</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28,952</w:t>
            </w:r>
          </w:p>
        </w:tc>
      </w:tr>
      <w:tr>
        <w:trPr>
          <w:trHeight w:val="172"/>
        </w:trPr>
        <w:tc>
          <w:tcPr>
            <w:tcW w:w="82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Property and equipment-net</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2,438</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2,365</w:t>
            </w:r>
          </w:p>
        </w:tc>
      </w:tr>
      <w:tr>
        <w:trPr>
          <w:trHeight w:val="168"/>
        </w:trPr>
        <w:tc>
          <w:tcPr>
            <w:tcW w:w="8220" w:type="dxa"/>
            <w:vAlign w:val="bottom"/>
            <w:gridSpan w:val="3"/>
          </w:tcPr>
          <w:p>
            <w:pPr>
              <w:ind w:left="20"/>
              <w:spacing w:after="0"/>
              <w:rPr>
                <w:sz w:val="20"/>
                <w:szCs w:val="20"/>
                <w:color w:val="auto"/>
              </w:rPr>
            </w:pPr>
            <w:r>
              <w:rPr>
                <w:rFonts w:ascii="Arial" w:cs="Arial" w:eastAsia="Arial" w:hAnsi="Arial"/>
                <w:sz w:val="13"/>
                <w:szCs w:val="13"/>
                <w:color w:val="auto"/>
              </w:rPr>
              <w:t>Operating lease right-of-use assets</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2,765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2,753</w:t>
            </w:r>
          </w:p>
        </w:tc>
      </w:tr>
      <w:tr>
        <w:trPr>
          <w:trHeight w:val="172"/>
        </w:trPr>
        <w:tc>
          <w:tcPr>
            <w:tcW w:w="82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Intangibles, net</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3,409</w:t>
            </w:r>
          </w:p>
        </w:tc>
      </w:tr>
      <w:tr>
        <w:trPr>
          <w:trHeight w:val="168"/>
        </w:trPr>
        <w:tc>
          <w:tcPr>
            <w:tcW w:w="8220" w:type="dxa"/>
            <w:vAlign w:val="bottom"/>
            <w:gridSpan w:val="3"/>
          </w:tcPr>
          <w:p>
            <w:pPr>
              <w:ind w:left="20"/>
              <w:spacing w:after="0"/>
              <w:rPr>
                <w:sz w:val="20"/>
                <w:szCs w:val="20"/>
                <w:color w:val="auto"/>
              </w:rPr>
            </w:pPr>
            <w:r>
              <w:rPr>
                <w:rFonts w:ascii="Arial" w:cs="Arial" w:eastAsia="Arial" w:hAnsi="Arial"/>
                <w:sz w:val="13"/>
                <w:szCs w:val="13"/>
                <w:color w:val="auto"/>
              </w:rPr>
              <w:t>Goodwill</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2,677</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2,677</w:t>
            </w:r>
          </w:p>
        </w:tc>
      </w:tr>
      <w:tr>
        <w:trPr>
          <w:trHeight w:val="170"/>
        </w:trPr>
        <w:tc>
          <w:tcPr>
            <w:tcW w:w="82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2,957</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2,580</w:t>
            </w:r>
          </w:p>
        </w:tc>
      </w:tr>
      <w:tr>
        <w:trPr>
          <w:trHeight w:val="163"/>
        </w:trPr>
        <w:tc>
          <w:tcPr>
            <w:tcW w:w="8220" w:type="dxa"/>
            <w:vAlign w:val="bottom"/>
            <w:gridSpan w:val="3"/>
          </w:tcPr>
          <w:p>
            <w:pPr>
              <w:ind w:left="440"/>
              <w:spacing w:after="0"/>
              <w:rPr>
                <w:sz w:val="20"/>
                <w:szCs w:val="20"/>
                <w:color w:val="auto"/>
              </w:rPr>
            </w:pPr>
            <w:r>
              <w:rPr>
                <w:rFonts w:ascii="Arial" w:cs="Arial" w:eastAsia="Arial" w:hAnsi="Arial"/>
                <w:sz w:val="13"/>
                <w:szCs w:val="13"/>
                <w:color w:val="auto"/>
              </w:rPr>
              <w:t>TOTAL ASSETS</w:t>
            </w:r>
          </w:p>
        </w:tc>
        <w:tc>
          <w:tcPr>
            <w:tcW w:w="920" w:type="dxa"/>
            <w:vAlign w:val="bottom"/>
            <w:tcBorders>
              <w:bottom w:val="single" w:sz="8" w:color="auto"/>
            </w:tcBorders>
          </w:tcPr>
          <w:p>
            <w:pPr>
              <w:jc w:val="right"/>
              <w:ind w:right="75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120,443</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42,736</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31"/>
        </w:trPr>
        <w:tc>
          <w:tcPr>
            <w:tcW w:w="8220" w:type="dxa"/>
            <w:vAlign w:val="bottom"/>
            <w:gridSpan w:val="3"/>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LIABILITIES, REDEEMABLE CONVERTIBLE PREFERRED STOCK AND STOCKHOLDERS’ EQUITY (DEFICIT)</w:t>
            </w: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68"/>
        </w:trPr>
        <w:tc>
          <w:tcPr>
            <w:tcW w:w="8220" w:type="dxa"/>
            <w:vAlign w:val="bottom"/>
            <w:gridSpan w:val="3"/>
          </w:tcPr>
          <w:p>
            <w:pPr>
              <w:ind w:left="20"/>
              <w:spacing w:after="0"/>
              <w:rPr>
                <w:sz w:val="20"/>
                <w:szCs w:val="20"/>
                <w:color w:val="auto"/>
              </w:rPr>
            </w:pPr>
            <w:r>
              <w:rPr>
                <w:rFonts w:ascii="Arial" w:cs="Arial" w:eastAsia="Arial" w:hAnsi="Arial"/>
                <w:sz w:val="13"/>
                <w:szCs w:val="13"/>
                <w:color w:val="auto"/>
              </w:rPr>
              <w:t>Current liabilities:</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82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Accounts payable</w:t>
            </w:r>
          </w:p>
        </w:tc>
        <w:tc>
          <w:tcPr>
            <w:tcW w:w="920" w:type="dxa"/>
            <w:vAlign w:val="bottom"/>
            <w:shd w:val="clear" w:color="auto" w:fill="CCEEFF"/>
          </w:tcPr>
          <w:p>
            <w:pPr>
              <w:jc w:val="right"/>
              <w:ind w:right="758"/>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w:t>
            </w:r>
          </w:p>
        </w:tc>
      </w:tr>
      <w:tr>
        <w:trPr>
          <w:trHeight w:val="168"/>
        </w:trPr>
        <w:tc>
          <w:tcPr>
            <w:tcW w:w="8220" w:type="dxa"/>
            <w:vAlign w:val="bottom"/>
            <w:gridSpan w:val="3"/>
          </w:tcPr>
          <w:p>
            <w:pPr>
              <w:ind w:left="180"/>
              <w:spacing w:after="0"/>
              <w:rPr>
                <w:sz w:val="20"/>
                <w:szCs w:val="20"/>
                <w:color w:val="auto"/>
              </w:rPr>
            </w:pPr>
            <w:r>
              <w:rPr>
                <w:rFonts w:ascii="Arial" w:cs="Arial" w:eastAsia="Arial" w:hAnsi="Arial"/>
                <w:sz w:val="13"/>
                <w:szCs w:val="13"/>
                <w:color w:val="auto"/>
              </w:rPr>
              <w:t>Accrued expenses and other current liabilities</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10,573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7,249</w:t>
            </w:r>
          </w:p>
        </w:tc>
      </w:tr>
      <w:tr>
        <w:trPr>
          <w:trHeight w:val="172"/>
        </w:trPr>
        <w:tc>
          <w:tcPr>
            <w:tcW w:w="82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Operating lease liabilities, current</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w:t>
            </w:r>
          </w:p>
        </w:tc>
      </w:tr>
      <w:tr>
        <w:trPr>
          <w:trHeight w:val="168"/>
        </w:trPr>
        <w:tc>
          <w:tcPr>
            <w:tcW w:w="8220" w:type="dxa"/>
            <w:vAlign w:val="bottom"/>
            <w:gridSpan w:val="3"/>
          </w:tcPr>
          <w:p>
            <w:pPr>
              <w:ind w:left="180"/>
              <w:spacing w:after="0"/>
              <w:rPr>
                <w:sz w:val="20"/>
                <w:szCs w:val="20"/>
                <w:color w:val="auto"/>
              </w:rPr>
            </w:pPr>
            <w:r>
              <w:rPr>
                <w:rFonts w:ascii="Arial" w:cs="Arial" w:eastAsia="Arial" w:hAnsi="Arial"/>
                <w:sz w:val="13"/>
                <w:szCs w:val="13"/>
                <w:color w:val="auto"/>
              </w:rPr>
              <w:t>Deferred revenue, current</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28,403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17,894</w:t>
            </w:r>
          </w:p>
        </w:tc>
      </w:tr>
      <w:tr>
        <w:trPr>
          <w:trHeight w:val="172"/>
        </w:trPr>
        <w:tc>
          <w:tcPr>
            <w:tcW w:w="82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Vendor financing arrangements, current</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w:t>
            </w:r>
          </w:p>
        </w:tc>
      </w:tr>
      <w:tr>
        <w:trPr>
          <w:trHeight w:val="168"/>
        </w:trPr>
        <w:tc>
          <w:tcPr>
            <w:tcW w:w="8220" w:type="dxa"/>
            <w:vAlign w:val="bottom"/>
            <w:gridSpan w:val="3"/>
          </w:tcPr>
          <w:p>
            <w:pPr>
              <w:ind w:left="180"/>
              <w:spacing w:after="0"/>
              <w:rPr>
                <w:sz w:val="20"/>
                <w:szCs w:val="20"/>
                <w:color w:val="auto"/>
              </w:rPr>
            </w:pPr>
            <w:r>
              <w:rPr>
                <w:rFonts w:ascii="Arial" w:cs="Arial" w:eastAsia="Arial" w:hAnsi="Arial"/>
                <w:sz w:val="13"/>
                <w:szCs w:val="13"/>
                <w:color w:val="auto"/>
              </w:rPr>
              <w:t>Term loan</w:t>
            </w:r>
          </w:p>
        </w:tc>
        <w:tc>
          <w:tcPr>
            <w:tcW w:w="9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557</w:t>
            </w:r>
          </w:p>
        </w:tc>
      </w:tr>
      <w:tr>
        <w:trPr>
          <w:trHeight w:val="163"/>
        </w:trPr>
        <w:tc>
          <w:tcPr>
            <w:tcW w:w="8220" w:type="dxa"/>
            <w:vAlign w:val="bottom"/>
            <w:tcBorders>
              <w:top w:val="single" w:sz="8" w:color="CCEEFF"/>
            </w:tcBorders>
            <w:gridSpan w:val="3"/>
            <w:shd w:val="clear" w:color="auto" w:fill="CCEEFF"/>
          </w:tcPr>
          <w:p>
            <w:pPr>
              <w:ind w:left="440"/>
              <w:spacing w:after="0"/>
              <w:rPr>
                <w:sz w:val="20"/>
                <w:szCs w:val="20"/>
                <w:color w:val="auto"/>
              </w:rPr>
            </w:pPr>
            <w:r>
              <w:rPr>
                <w:rFonts w:ascii="Arial" w:cs="Arial" w:eastAsia="Arial" w:hAnsi="Arial"/>
                <w:sz w:val="13"/>
                <w:szCs w:val="13"/>
                <w:color w:val="auto"/>
              </w:rPr>
              <w:t>Total current liabilities</w:t>
            </w:r>
          </w:p>
        </w:tc>
        <w:tc>
          <w:tcPr>
            <w:tcW w:w="9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42,492</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28,226</w:t>
            </w:r>
          </w:p>
        </w:tc>
      </w:tr>
      <w:tr>
        <w:trPr>
          <w:trHeight w:val="168"/>
        </w:trPr>
        <w:tc>
          <w:tcPr>
            <w:tcW w:w="8220" w:type="dxa"/>
            <w:vAlign w:val="bottom"/>
            <w:gridSpan w:val="3"/>
          </w:tcPr>
          <w:p>
            <w:pPr>
              <w:ind w:left="20"/>
              <w:spacing w:after="0"/>
              <w:rPr>
                <w:sz w:val="20"/>
                <w:szCs w:val="20"/>
                <w:color w:val="auto"/>
              </w:rPr>
            </w:pPr>
            <w:r>
              <w:rPr>
                <w:rFonts w:ascii="Arial" w:cs="Arial" w:eastAsia="Arial" w:hAnsi="Arial"/>
                <w:sz w:val="13"/>
                <w:szCs w:val="13"/>
                <w:color w:val="auto"/>
              </w:rPr>
              <w:t>Deferred revenue, noncurrent</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20,773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15,014</w:t>
            </w:r>
          </w:p>
        </w:tc>
      </w:tr>
      <w:tr>
        <w:trPr>
          <w:trHeight w:val="172"/>
        </w:trPr>
        <w:tc>
          <w:tcPr>
            <w:tcW w:w="82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Operating lease liabilities, noncurrent</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2,079</w:t>
            </w:r>
          </w:p>
        </w:tc>
      </w:tr>
      <w:tr>
        <w:trPr>
          <w:trHeight w:val="168"/>
        </w:trPr>
        <w:tc>
          <w:tcPr>
            <w:tcW w:w="8220" w:type="dxa"/>
            <w:vAlign w:val="bottom"/>
            <w:gridSpan w:val="3"/>
          </w:tcPr>
          <w:p>
            <w:pPr>
              <w:ind w:left="20"/>
              <w:spacing w:after="0"/>
              <w:rPr>
                <w:sz w:val="20"/>
                <w:szCs w:val="20"/>
                <w:color w:val="auto"/>
              </w:rPr>
            </w:pPr>
            <w:r>
              <w:rPr>
                <w:rFonts w:ascii="Arial" w:cs="Arial" w:eastAsia="Arial" w:hAnsi="Arial"/>
                <w:sz w:val="13"/>
                <w:szCs w:val="13"/>
                <w:color w:val="auto"/>
              </w:rPr>
              <w:t>Vendor financing arrangements, noncurrent</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266</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727</w:t>
            </w:r>
          </w:p>
        </w:tc>
      </w:tr>
      <w:tr>
        <w:trPr>
          <w:trHeight w:val="170"/>
        </w:trPr>
        <w:tc>
          <w:tcPr>
            <w:tcW w:w="82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2,157</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2,986</w:t>
            </w:r>
          </w:p>
        </w:tc>
      </w:tr>
      <w:tr>
        <w:trPr>
          <w:trHeight w:val="160"/>
        </w:trPr>
        <w:tc>
          <w:tcPr>
            <w:tcW w:w="8220" w:type="dxa"/>
            <w:vAlign w:val="bottom"/>
            <w:tcBorders>
              <w:bottom w:val="single" w:sz="8" w:color="CCEEFF"/>
            </w:tcBorders>
            <w:gridSpan w:val="3"/>
          </w:tcPr>
          <w:p>
            <w:pPr>
              <w:ind w:left="440"/>
              <w:spacing w:after="0"/>
              <w:rPr>
                <w:sz w:val="20"/>
                <w:szCs w:val="20"/>
                <w:color w:val="auto"/>
              </w:rPr>
            </w:pPr>
            <w:r>
              <w:rPr>
                <w:rFonts w:ascii="Arial" w:cs="Arial" w:eastAsia="Arial" w:hAnsi="Arial"/>
                <w:sz w:val="13"/>
                <w:szCs w:val="13"/>
                <w:color w:val="auto"/>
              </w:rPr>
              <w:t>Total liabilities</w:t>
            </w: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67,539</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49,032</w:t>
            </w:r>
          </w:p>
        </w:tc>
      </w:tr>
      <w:tr>
        <w:trPr>
          <w:trHeight w:val="120"/>
        </w:trPr>
        <w:tc>
          <w:tcPr>
            <w:tcW w:w="8220" w:type="dxa"/>
            <w:vAlign w:val="bottom"/>
            <w:gridSpan w:val="3"/>
            <w:shd w:val="clear" w:color="auto" w:fill="CCEEFF"/>
          </w:tcPr>
          <w:p>
            <w:pPr>
              <w:ind w:left="20"/>
              <w:spacing w:after="0" w:line="120" w:lineRule="exact"/>
              <w:rPr>
                <w:rFonts w:ascii="Arial" w:cs="Arial" w:eastAsia="Arial" w:hAnsi="Arial"/>
                <w:sz w:val="13"/>
                <w:szCs w:val="13"/>
                <w:color w:val="auto"/>
              </w:rPr>
            </w:pPr>
            <w:r>
              <w:rPr>
                <w:rFonts w:ascii="Arial" w:cs="Arial" w:eastAsia="Arial" w:hAnsi="Arial"/>
                <w:sz w:val="13"/>
                <w:szCs w:val="13"/>
                <w:color w:val="auto"/>
              </w:rPr>
              <w:t>Commitments and contingencies (</w:t>
            </w:r>
            <w:hyperlink w:anchor="page101">
              <w:r>
                <w:rPr>
                  <w:rFonts w:ascii="Arial" w:cs="Arial" w:eastAsia="Arial" w:hAnsi="Arial"/>
                  <w:sz w:val="13"/>
                  <w:szCs w:val="13"/>
                  <w:color w:val="0000FF"/>
                </w:rPr>
                <w:t>Note 11</w:t>
              </w:r>
            </w:hyperlink>
            <w:r>
              <w:rPr>
                <w:rFonts w:ascii="Arial" w:cs="Arial" w:eastAsia="Arial" w:hAnsi="Arial"/>
                <w:sz w:val="13"/>
                <w:szCs w:val="13"/>
                <w:color w:val="auto"/>
              </w:rPr>
              <w:t>)</w:t>
            </w:r>
          </w:p>
        </w:tc>
        <w:tc>
          <w:tcPr>
            <w:tcW w:w="9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32"/>
        </w:trPr>
        <w:tc>
          <w:tcPr>
            <w:tcW w:w="194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r>
        <w:trPr>
          <w:trHeight w:val="168"/>
        </w:trPr>
        <w:tc>
          <w:tcPr>
            <w:tcW w:w="8220" w:type="dxa"/>
            <w:vAlign w:val="bottom"/>
            <w:gridSpan w:val="3"/>
          </w:tcPr>
          <w:p>
            <w:pPr>
              <w:ind w:left="20"/>
              <w:spacing w:after="0"/>
              <w:rPr>
                <w:sz w:val="20"/>
                <w:szCs w:val="20"/>
                <w:color w:val="auto"/>
              </w:rPr>
            </w:pPr>
            <w:r>
              <w:rPr>
                <w:rFonts w:ascii="Arial" w:cs="Arial" w:eastAsia="Arial" w:hAnsi="Arial"/>
                <w:sz w:val="13"/>
                <w:szCs w:val="13"/>
                <w:color w:val="auto"/>
              </w:rPr>
              <w:t>Redeemable convertible preferred stock:</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3"/>
        </w:trPr>
        <w:tc>
          <w:tcPr>
            <w:tcW w:w="82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w w:val="98"/>
              </w:rPr>
              <w:t>Redeemable convertible preferred stock, par value of $0.001, no shares authorized, issued, and outstanding at December 31, 2021; 4,471,316</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49"/>
        </w:trPr>
        <w:tc>
          <w:tcPr>
            <w:tcW w:w="822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shares authorized, issued and outstanding at December 31, 2020 (aggregate liquidation preference of zero and $5,768 at December 31,</w:t>
            </w: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8"/>
        </w:trPr>
        <w:tc>
          <w:tcPr>
            <w:tcW w:w="822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2021 and 2020, respectively)</w:t>
            </w:r>
          </w:p>
        </w:tc>
        <w:tc>
          <w:tcPr>
            <w:tcW w:w="9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r>
      <w:tr>
        <w:trPr>
          <w:trHeight w:val="148"/>
        </w:trPr>
        <w:tc>
          <w:tcPr>
            <w:tcW w:w="8220" w:type="dxa"/>
            <w:vAlign w:val="bottom"/>
            <w:gridSpan w:val="3"/>
          </w:tcPr>
          <w:p>
            <w:pPr>
              <w:ind w:left="20"/>
              <w:spacing w:after="0" w:line="146" w:lineRule="exact"/>
              <w:rPr>
                <w:sz w:val="20"/>
                <w:szCs w:val="20"/>
                <w:color w:val="auto"/>
              </w:rPr>
            </w:pPr>
            <w:r>
              <w:rPr>
                <w:rFonts w:ascii="Arial" w:cs="Arial" w:eastAsia="Arial" w:hAnsi="Arial"/>
                <w:sz w:val="13"/>
                <w:szCs w:val="13"/>
                <w:color w:val="auto"/>
              </w:rPr>
              <w:t>Stockholders’ equity (deficit):</w:t>
            </w:r>
          </w:p>
        </w:tc>
        <w:tc>
          <w:tcPr>
            <w:tcW w:w="9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r>
      <w:tr>
        <w:trPr>
          <w:trHeight w:val="173"/>
        </w:trPr>
        <w:tc>
          <w:tcPr>
            <w:tcW w:w="82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w w:val="99"/>
              </w:rPr>
              <w:t>Preferred stock, par value of $0.001—10,000,000 and no shares authorized at December 31, 2021 and 2020, respectively; no shares issued</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8"/>
        </w:trPr>
        <w:tc>
          <w:tcPr>
            <w:tcW w:w="822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and outstanding at December 31, 2021 and 2020</w:t>
            </w:r>
          </w:p>
        </w:tc>
        <w:tc>
          <w:tcPr>
            <w:tcW w:w="9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220" w:type="dxa"/>
            <w:vAlign w:val="bottom"/>
            <w:gridSpan w:val="3"/>
          </w:tcPr>
          <w:p>
            <w:pPr>
              <w:ind w:left="140"/>
              <w:spacing w:after="0"/>
              <w:rPr>
                <w:sz w:val="20"/>
                <w:szCs w:val="20"/>
                <w:color w:val="auto"/>
              </w:rPr>
            </w:pPr>
            <w:r>
              <w:rPr>
                <w:rFonts w:ascii="Arial" w:cs="Arial" w:eastAsia="Arial" w:hAnsi="Arial"/>
                <w:sz w:val="13"/>
                <w:szCs w:val="13"/>
                <w:color w:val="auto"/>
              </w:rPr>
              <w:t>Common stock, par value of $0.001—300,000,000 and 31,525,154 shares authorized at December 31, 2021 and 2020, respectively;</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8220" w:type="dxa"/>
            <w:vAlign w:val="bottom"/>
            <w:gridSpan w:val="3"/>
          </w:tcPr>
          <w:p>
            <w:pPr>
              <w:ind w:left="280"/>
              <w:spacing w:after="0"/>
              <w:rPr>
                <w:sz w:val="20"/>
                <w:szCs w:val="20"/>
                <w:color w:val="auto"/>
              </w:rPr>
            </w:pPr>
            <w:r>
              <w:rPr>
                <w:rFonts w:ascii="Arial" w:cs="Arial" w:eastAsia="Arial" w:hAnsi="Arial"/>
                <w:sz w:val="13"/>
                <w:szCs w:val="13"/>
                <w:color w:val="auto"/>
              </w:rPr>
              <w:t>31,530,682 and 18,486,989 shares issued and outstanding at December 31, 2021 and 2020, respectively</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72"/>
        </w:trPr>
        <w:tc>
          <w:tcPr>
            <w:tcW w:w="82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Additional paid-in capital</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91,945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3,612</w:t>
            </w:r>
          </w:p>
        </w:tc>
      </w:tr>
      <w:tr>
        <w:trPr>
          <w:trHeight w:val="168"/>
        </w:trPr>
        <w:tc>
          <w:tcPr>
            <w:tcW w:w="8220" w:type="dxa"/>
            <w:vAlign w:val="bottom"/>
            <w:gridSpan w:val="3"/>
          </w:tcPr>
          <w:p>
            <w:pPr>
              <w:ind w:left="180"/>
              <w:spacing w:after="0"/>
              <w:rPr>
                <w:sz w:val="20"/>
                <w:szCs w:val="20"/>
                <w:color w:val="auto"/>
              </w:rPr>
            </w:pPr>
            <w:r>
              <w:rPr>
                <w:rFonts w:ascii="Arial" w:cs="Arial" w:eastAsia="Arial" w:hAnsi="Arial"/>
                <w:sz w:val="13"/>
                <w:szCs w:val="13"/>
                <w:color w:val="auto"/>
              </w:rPr>
              <w:t>Accumulated other comprehensive loss</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70"/>
        </w:trPr>
        <w:tc>
          <w:tcPr>
            <w:tcW w:w="82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Accumulated deficit</w:t>
            </w: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(38,991)</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(15,607)</w:t>
            </w:r>
          </w:p>
        </w:tc>
      </w:tr>
      <w:tr>
        <w:trPr>
          <w:trHeight w:val="160"/>
        </w:trPr>
        <w:tc>
          <w:tcPr>
            <w:tcW w:w="8220" w:type="dxa"/>
            <w:vAlign w:val="bottom"/>
            <w:tcBorders>
              <w:bottom w:val="single" w:sz="8" w:color="CCEEFF"/>
            </w:tcBorders>
            <w:gridSpan w:val="3"/>
          </w:tcPr>
          <w:p>
            <w:pPr>
              <w:ind w:left="440"/>
              <w:spacing w:after="0"/>
              <w:rPr>
                <w:sz w:val="20"/>
                <w:szCs w:val="20"/>
                <w:color w:val="auto"/>
              </w:rPr>
            </w:pPr>
            <w:r>
              <w:rPr>
                <w:rFonts w:ascii="Arial" w:cs="Arial" w:eastAsia="Arial" w:hAnsi="Arial"/>
                <w:sz w:val="13"/>
                <w:szCs w:val="13"/>
                <w:color w:val="auto"/>
              </w:rPr>
              <w:t>Total stockholders’ equity (deficit)</w:t>
            </w: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52,904</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(12,008)</w:t>
            </w:r>
          </w:p>
        </w:tc>
      </w:tr>
      <w:tr>
        <w:trPr>
          <w:trHeight w:val="188"/>
        </w:trPr>
        <w:tc>
          <w:tcPr>
            <w:tcW w:w="822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3"/>
                <w:szCs w:val="13"/>
                <w:color w:val="auto"/>
              </w:rPr>
              <w:t>TOTAL LIABILITIES, REDEEMABLE CONVERTIBLE PREFERRED STOCK AND STOCKHOLDERS’ EQUITY (DEFICIT)</w:t>
            </w:r>
          </w:p>
        </w:tc>
        <w:tc>
          <w:tcPr>
            <w:tcW w:w="92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120,443</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42,736</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Arteris,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40" w:type="dxa"/>
            <w:vAlign w:val="bottom"/>
            <w:tcBorders>
              <w:bottom w:val="single" w:sz="8" w:color="auto"/>
            </w:tcBorders>
          </w:tcPr>
          <w:p>
            <w:pPr>
              <w:spacing w:after="0"/>
              <w:rPr>
                <w:sz w:val="12"/>
                <w:szCs w:val="12"/>
                <w:color w:val="auto"/>
              </w:rPr>
            </w:pPr>
          </w:p>
        </w:tc>
      </w:tr>
      <w:tr>
        <w:trPr>
          <w:trHeight w:val="139"/>
        </w:trPr>
        <w:tc>
          <w:tcPr>
            <w:tcW w:w="80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2020</w:t>
            </w:r>
          </w:p>
        </w:tc>
      </w:tr>
      <w:tr>
        <w:trPr>
          <w:trHeight w:val="150"/>
        </w:trPr>
        <w:tc>
          <w:tcPr>
            <w:tcW w:w="80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Revenue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9"/>
        </w:trPr>
        <w:tc>
          <w:tcPr>
            <w:tcW w:w="8020" w:type="dxa"/>
            <w:vAlign w:val="bottom"/>
          </w:tcPr>
          <w:p>
            <w:pPr>
              <w:ind w:left="180"/>
              <w:spacing w:after="0"/>
              <w:rPr>
                <w:sz w:val="20"/>
                <w:szCs w:val="20"/>
                <w:color w:val="auto"/>
              </w:rPr>
            </w:pPr>
            <w:r>
              <w:rPr>
                <w:rFonts w:ascii="Arial" w:cs="Arial" w:eastAsia="Arial" w:hAnsi="Arial"/>
                <w:sz w:val="13"/>
                <w:szCs w:val="13"/>
                <w:color w:val="auto"/>
              </w:rPr>
              <w:t>Licensing, support and maintenance</w:t>
            </w: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34,731</w:t>
            </w:r>
          </w:p>
        </w:tc>
        <w:tc>
          <w:tcPr>
            <w:tcW w:w="100" w:type="dxa"/>
            <w:vAlign w:val="bottom"/>
          </w:tcPr>
          <w:p>
            <w:pPr>
              <w:spacing w:after="0"/>
              <w:rPr>
                <w:sz w:val="14"/>
                <w:szCs w:val="14"/>
                <w:color w:val="auto"/>
              </w:rPr>
            </w:pP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27,408</w:t>
            </w:r>
          </w:p>
        </w:tc>
      </w:tr>
      <w:tr>
        <w:trPr>
          <w:trHeight w:val="171"/>
        </w:trPr>
        <w:tc>
          <w:tcPr>
            <w:tcW w:w="8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Variable royalties and other</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3,133</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4,404</w:t>
            </w: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revenue</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37,864</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31,812</w:t>
            </w:r>
          </w:p>
        </w:tc>
      </w:tr>
      <w:tr>
        <w:trPr>
          <w:trHeight w:val="16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3,731</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1,491</w:t>
            </w:r>
          </w:p>
        </w:tc>
      </w:tr>
      <w:tr>
        <w:trPr>
          <w:trHeight w:val="159"/>
        </w:trPr>
        <w:tc>
          <w:tcPr>
            <w:tcW w:w="80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34,133</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30,321</w:t>
            </w:r>
          </w:p>
        </w:tc>
      </w:tr>
      <w:tr>
        <w:trPr>
          <w:trHeight w:val="171"/>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9"/>
        </w:trPr>
        <w:tc>
          <w:tcPr>
            <w:tcW w:w="8020" w:type="dxa"/>
            <w:vAlign w:val="bottom"/>
          </w:tcPr>
          <w:p>
            <w:pPr>
              <w:ind w:left="180"/>
              <w:spacing w:after="0"/>
              <w:rPr>
                <w:sz w:val="20"/>
                <w:szCs w:val="20"/>
                <w:color w:val="auto"/>
              </w:rPr>
            </w:pPr>
            <w:r>
              <w:rPr>
                <w:rFonts w:ascii="Arial" w:cs="Arial" w:eastAsia="Arial" w:hAnsi="Arial"/>
                <w:sz w:val="13"/>
                <w:szCs w:val="13"/>
                <w:color w:val="auto"/>
              </w:rPr>
              <w:t>Research and development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30,812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17,020</w:t>
            </w:r>
          </w:p>
        </w:tc>
      </w:tr>
      <w:tr>
        <w:trPr>
          <w:trHeight w:val="171"/>
        </w:trPr>
        <w:tc>
          <w:tcPr>
            <w:tcW w:w="8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Sales and marketing</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9,749</w:t>
            </w:r>
          </w:p>
        </w:tc>
      </w:tr>
      <w:tr>
        <w:trPr>
          <w:trHeight w:val="16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General and administrative</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13,360</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7,329</w:t>
            </w:r>
          </w:p>
        </w:tc>
      </w:tr>
      <w:tr>
        <w:trPr>
          <w:trHeight w:val="16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55,898</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34,098</w:t>
            </w:r>
          </w:p>
        </w:tc>
      </w:tr>
      <w:tr>
        <w:trPr>
          <w:trHeight w:val="159"/>
        </w:trPr>
        <w:tc>
          <w:tcPr>
            <w:tcW w:w="8020" w:type="dxa"/>
            <w:vAlign w:val="bottom"/>
          </w:tcPr>
          <w:p>
            <w:pPr>
              <w:ind w:left="20"/>
              <w:spacing w:after="0"/>
              <w:rPr>
                <w:sz w:val="20"/>
                <w:szCs w:val="20"/>
                <w:color w:val="auto"/>
              </w:rPr>
            </w:pPr>
            <w:r>
              <w:rPr>
                <w:rFonts w:ascii="Arial" w:cs="Arial" w:eastAsia="Arial" w:hAnsi="Arial"/>
                <w:sz w:val="13"/>
                <w:szCs w:val="13"/>
                <w:color w:val="auto"/>
              </w:rPr>
              <w:t>Loss from operations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(21,765)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(3,777)</w:t>
            </w:r>
          </w:p>
        </w:tc>
      </w:tr>
      <w:tr>
        <w:trPr>
          <w:trHeight w:val="171"/>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extinguishment of debt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w:t>
            </w:r>
          </w:p>
        </w:tc>
      </w:tr>
      <w:tr>
        <w:trPr>
          <w:trHeight w:val="16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and other expense, net</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r>
      <w:tr>
        <w:trPr>
          <w:trHeight w:val="16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before provision for income taxes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(22,344)</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(2,234)</w:t>
            </w:r>
          </w:p>
        </w:tc>
      </w:tr>
      <w:tr>
        <w:trPr>
          <w:trHeight w:val="16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for income taxes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1,040</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1,026</w:t>
            </w:r>
          </w:p>
        </w:tc>
      </w:tr>
      <w:tr>
        <w:trPr>
          <w:trHeight w:val="18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(23,384)</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per share attributable to common stockholders, basic and diluted</w:t>
            </w: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(0.19)</w:t>
            </w:r>
          </w:p>
        </w:tc>
      </w:tr>
      <w:tr>
        <w:trPr>
          <w:trHeight w:val="180"/>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shares used in computing per share amounts, basic and diluted</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21,972,101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17,577,846</w:t>
            </w:r>
          </w:p>
        </w:tc>
      </w:tr>
      <w:tr>
        <w:trPr>
          <w:trHeight w:val="358"/>
        </w:trPr>
        <w:tc>
          <w:tcPr>
            <w:tcW w:w="8020" w:type="dxa"/>
            <w:vAlign w:val="bottom"/>
          </w:tcPr>
          <w:p>
            <w:pPr>
              <w:ind w:left="4240"/>
              <w:spacing w:after="0"/>
              <w:rPr>
                <w:sz w:val="20"/>
                <w:szCs w:val="20"/>
                <w:color w:val="auto"/>
              </w:rPr>
            </w:pPr>
            <w:r>
              <w:rPr>
                <w:rFonts w:ascii="Arial" w:cs="Arial" w:eastAsia="Arial" w:hAnsi="Arial"/>
                <w:sz w:val="13"/>
                <w:szCs w:val="13"/>
                <w:color w:val="auto"/>
              </w:rPr>
              <w:t>See notes to consolidated financial statements.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45"/>
        </w:trPr>
        <w:tc>
          <w:tcPr>
            <w:tcW w:w="8020" w:type="dxa"/>
            <w:vAlign w:val="bottom"/>
          </w:tcPr>
          <w:p>
            <w:pPr>
              <w:ind w:left="5580"/>
              <w:spacing w:after="0"/>
              <w:rPr>
                <w:sz w:val="20"/>
                <w:szCs w:val="20"/>
                <w:color w:val="auto"/>
              </w:rPr>
            </w:pPr>
            <w:r>
              <w:rPr>
                <w:rFonts w:ascii="Arial" w:cs="Arial" w:eastAsia="Arial" w:hAnsi="Arial"/>
                <w:sz w:val="13"/>
                <w:szCs w:val="13"/>
                <w:color w:val="auto"/>
              </w:rPr>
              <w:t>80</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0"/>
        </w:trPr>
        <w:tc>
          <w:tcPr>
            <w:tcW w:w="80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Arteris,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220" w:type="dxa"/>
            <w:vAlign w:val="bottom"/>
          </w:tcPr>
          <w:p>
            <w:pPr>
              <w:spacing w:after="0"/>
              <w:rPr>
                <w:sz w:val="12"/>
                <w:szCs w:val="12"/>
                <w:color w:val="auto"/>
              </w:rPr>
            </w:pPr>
          </w:p>
        </w:tc>
        <w:tc>
          <w:tcPr>
            <w:tcW w:w="25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1"/>
                <w:szCs w:val="11"/>
                <w:b w:val="1"/>
                <w:bCs w:val="1"/>
                <w:color w:val="auto"/>
              </w:rPr>
              <w:t>Year ended December 31,</w:t>
            </w:r>
          </w:p>
        </w:tc>
        <w:tc>
          <w:tcPr>
            <w:tcW w:w="520" w:type="dxa"/>
            <w:vAlign w:val="bottom"/>
            <w:tcBorders>
              <w:bottom w:val="single" w:sz="8" w:color="auto"/>
            </w:tcBorders>
          </w:tcPr>
          <w:p>
            <w:pPr>
              <w:spacing w:after="0"/>
              <w:rPr>
                <w:sz w:val="12"/>
                <w:szCs w:val="12"/>
                <w:color w:val="auto"/>
              </w:rPr>
            </w:pPr>
          </w:p>
        </w:tc>
      </w:tr>
      <w:tr>
        <w:trPr>
          <w:trHeight w:val="139"/>
        </w:trPr>
        <w:tc>
          <w:tcPr>
            <w:tcW w:w="82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2"/>
                <w:szCs w:val="12"/>
                <w:color w:val="auto"/>
              </w:rPr>
            </w:pP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shd w:val="clear" w:color="auto" w:fill="CCEEFF"/>
          </w:tcPr>
          <w:p>
            <w:pPr>
              <w:jc w:val="right"/>
              <w:ind w:right="758"/>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(23,384)</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(3,260)</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8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Unrealized pension actuarial loss</w:t>
            </w: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2"/>
        </w:trPr>
        <w:tc>
          <w:tcPr>
            <w:tcW w:w="8220" w:type="dxa"/>
            <w:vAlign w:val="bottom"/>
          </w:tcPr>
          <w:p>
            <w:pPr>
              <w:ind w:left="20"/>
              <w:spacing w:after="0"/>
              <w:rPr>
                <w:sz w:val="20"/>
                <w:szCs w:val="20"/>
                <w:color w:val="auto"/>
              </w:rPr>
            </w:pPr>
            <w:r>
              <w:rPr>
                <w:rFonts w:ascii="Arial" w:cs="Arial" w:eastAsia="Arial" w:hAnsi="Arial"/>
                <w:sz w:val="13"/>
                <w:szCs w:val="13"/>
                <w:color w:val="auto"/>
              </w:rPr>
              <w:t>Comprehensive loss</w:t>
            </w:r>
          </w:p>
        </w:tc>
        <w:tc>
          <w:tcPr>
            <w:tcW w:w="920" w:type="dxa"/>
            <w:vAlign w:val="bottom"/>
            <w:tcBorders>
              <w:bottom w:val="single" w:sz="8" w:color="auto"/>
            </w:tcBorders>
          </w:tcPr>
          <w:p>
            <w:pPr>
              <w:jc w:val="right"/>
              <w:ind w:right="75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(23,434)</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(3,273)</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Arteris,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Consolidated Statements of Redeemable Convertible Preferred Stock and Stockholders’ Equity (Deficit)</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01205" cy="2452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1205" cy="2452370"/>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p>
      <w:pPr>
        <w:spacing w:after="0" w:line="174" w:lineRule="exact"/>
        <w:rPr>
          <w:sz w:val="20"/>
          <w:szCs w:val="20"/>
          <w:color w:val="auto"/>
        </w:rPr>
      </w:pPr>
    </w:p>
    <w:p>
      <w:pPr>
        <w:jc w:val="center"/>
        <w:ind w:left="3780"/>
        <w:spacing w:after="0"/>
        <w:rPr>
          <w:sz w:val="20"/>
          <w:szCs w:val="20"/>
          <w:color w:val="auto"/>
        </w:rPr>
      </w:pPr>
      <w:r>
        <w:rPr>
          <w:rFonts w:ascii="Arial" w:cs="Arial" w:eastAsia="Arial" w:hAnsi="Arial"/>
          <w:sz w:val="11"/>
          <w:szCs w:val="11"/>
          <w:b w:val="1"/>
          <w:bCs w:val="1"/>
          <w:color w:val="auto"/>
        </w:rPr>
        <w:t>Redeemable Convertible</w:t>
      </w:r>
    </w:p>
    <w:p>
      <w:pPr>
        <w:spacing w:after="0" w:line="15" w:lineRule="exact"/>
        <w:rPr>
          <w:sz w:val="20"/>
          <w:szCs w:val="20"/>
          <w:color w:val="auto"/>
        </w:rPr>
      </w:pPr>
    </w:p>
    <w:p>
      <w:pPr>
        <w:jc w:val="center"/>
        <w:ind w:left="3780"/>
        <w:spacing w:after="0"/>
        <w:rPr>
          <w:sz w:val="20"/>
          <w:szCs w:val="20"/>
          <w:color w:val="auto"/>
        </w:rPr>
      </w:pPr>
      <w:r>
        <w:rPr>
          <w:rFonts w:ascii="Arial" w:cs="Arial" w:eastAsia="Arial" w:hAnsi="Arial"/>
          <w:sz w:val="11"/>
          <w:szCs w:val="11"/>
          <w:b w:val="1"/>
          <w:bCs w:val="1"/>
          <w:color w:val="auto"/>
        </w:rPr>
        <w:t>Preferred Stock</w:t>
      </w: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3760" w:type="dxa"/>
            <w:vAlign w:val="bottom"/>
          </w:tcPr>
          <w:p>
            <w:pPr>
              <w:spacing w:after="0"/>
              <w:rPr>
                <w:sz w:val="13"/>
                <w:szCs w:val="13"/>
                <w:color w:val="auto"/>
              </w:rPr>
            </w:pPr>
          </w:p>
        </w:tc>
        <w:tc>
          <w:tcPr>
            <w:tcW w:w="88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60" w:type="dxa"/>
            <w:vAlign w:val="bottom"/>
          </w:tcPr>
          <w:p>
            <w:pPr>
              <w:jc w:val="right"/>
              <w:ind w:right="123"/>
              <w:spacing w:after="0"/>
              <w:rPr>
                <w:sz w:val="20"/>
                <w:szCs w:val="20"/>
                <w:color w:val="auto"/>
              </w:rPr>
            </w:pPr>
            <w:r>
              <w:rPr>
                <w:rFonts w:ascii="Arial" w:cs="Arial" w:eastAsia="Arial" w:hAnsi="Arial"/>
                <w:sz w:val="11"/>
                <w:szCs w:val="11"/>
                <w:b w:val="1"/>
                <w:bCs w:val="1"/>
                <w:color w:val="auto"/>
              </w:rPr>
              <w:t>Amount</w:t>
            </w:r>
          </w:p>
        </w:tc>
      </w:tr>
      <w:tr>
        <w:trPr>
          <w:trHeight w:val="160"/>
        </w:trPr>
        <w:tc>
          <w:tcPr>
            <w:tcW w:w="3760" w:type="dxa"/>
            <w:vAlign w:val="bottom"/>
          </w:tcPr>
          <w:p>
            <w:pPr>
              <w:spacing w:after="0"/>
              <w:rPr>
                <w:sz w:val="20"/>
                <w:szCs w:val="20"/>
                <w:color w:val="auto"/>
              </w:rPr>
            </w:pPr>
            <w:r>
              <w:rPr>
                <w:rFonts w:ascii="Arial" w:cs="Arial" w:eastAsia="Arial" w:hAnsi="Arial"/>
                <w:sz w:val="11"/>
                <w:szCs w:val="11"/>
                <w:color w:val="auto"/>
              </w:rPr>
              <w:t>BALANCE—December 31, 2019</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4,471,316</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5,712</w:t>
            </w:r>
          </w:p>
        </w:tc>
      </w:tr>
      <w:tr>
        <w:trPr>
          <w:trHeight w:val="170"/>
        </w:trPr>
        <w:tc>
          <w:tcPr>
            <w:tcW w:w="3760" w:type="dxa"/>
            <w:vAlign w:val="bottom"/>
          </w:tcPr>
          <w:p>
            <w:pPr>
              <w:spacing w:after="0"/>
              <w:rPr>
                <w:sz w:val="20"/>
                <w:szCs w:val="20"/>
                <w:color w:val="auto"/>
              </w:rPr>
            </w:pPr>
            <w:r>
              <w:rPr>
                <w:rFonts w:ascii="Arial" w:cs="Arial" w:eastAsia="Arial" w:hAnsi="Arial"/>
                <w:sz w:val="11"/>
                <w:szCs w:val="11"/>
                <w:color w:val="auto"/>
              </w:rPr>
              <w:t>Issuance of common stock for cash upon exercise of stock options</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3760" w:type="dxa"/>
            <w:vAlign w:val="bottom"/>
          </w:tcPr>
          <w:p>
            <w:pPr>
              <w:spacing w:after="0"/>
              <w:rPr>
                <w:sz w:val="20"/>
                <w:szCs w:val="20"/>
                <w:color w:val="auto"/>
              </w:rPr>
            </w:pPr>
            <w:r>
              <w:rPr>
                <w:rFonts w:ascii="Arial" w:cs="Arial" w:eastAsia="Arial" w:hAnsi="Arial"/>
                <w:sz w:val="11"/>
                <w:szCs w:val="11"/>
                <w:color w:val="auto"/>
              </w:rPr>
              <w:t>Issuance of common stock for settlement of restricted stock units</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3760" w:type="dxa"/>
            <w:vAlign w:val="bottom"/>
          </w:tcPr>
          <w:p>
            <w:pPr>
              <w:spacing w:after="0"/>
              <w:rPr>
                <w:sz w:val="20"/>
                <w:szCs w:val="20"/>
                <w:color w:val="auto"/>
              </w:rPr>
            </w:pPr>
            <w:r>
              <w:rPr>
                <w:rFonts w:ascii="Arial" w:cs="Arial" w:eastAsia="Arial" w:hAnsi="Arial"/>
                <w:sz w:val="11"/>
                <w:szCs w:val="11"/>
                <w:color w:val="auto"/>
              </w:rPr>
              <w:t>Stock-based compensation expense</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3760" w:type="dxa"/>
            <w:vAlign w:val="bottom"/>
          </w:tcPr>
          <w:p>
            <w:pPr>
              <w:spacing w:after="0"/>
              <w:rPr>
                <w:sz w:val="20"/>
                <w:szCs w:val="20"/>
                <w:color w:val="auto"/>
              </w:rPr>
            </w:pPr>
            <w:r>
              <w:rPr>
                <w:rFonts w:ascii="Arial" w:cs="Arial" w:eastAsia="Arial" w:hAnsi="Arial"/>
                <w:sz w:val="11"/>
                <w:szCs w:val="11"/>
                <w:color w:val="auto"/>
              </w:rPr>
              <w:t>Unrealized pension actuarial loss</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8"/>
        </w:trPr>
        <w:tc>
          <w:tcPr>
            <w:tcW w:w="3760" w:type="dxa"/>
            <w:vAlign w:val="bottom"/>
          </w:tcPr>
          <w:p>
            <w:pPr>
              <w:spacing w:after="0"/>
              <w:rPr>
                <w:sz w:val="20"/>
                <w:szCs w:val="20"/>
                <w:color w:val="auto"/>
              </w:rPr>
            </w:pPr>
            <w:r>
              <w:rPr>
                <w:rFonts w:ascii="Arial" w:cs="Arial" w:eastAsia="Arial" w:hAnsi="Arial"/>
                <w:sz w:val="11"/>
                <w:szCs w:val="11"/>
                <w:color w:val="auto"/>
              </w:rPr>
              <w:t>Net loss</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3760" w:type="dxa"/>
            <w:vAlign w:val="bottom"/>
          </w:tcPr>
          <w:p>
            <w:pPr>
              <w:spacing w:after="0"/>
              <w:rPr>
                <w:sz w:val="20"/>
                <w:szCs w:val="20"/>
                <w:color w:val="auto"/>
              </w:rPr>
            </w:pPr>
            <w:r>
              <w:rPr>
                <w:rFonts w:ascii="Arial" w:cs="Arial" w:eastAsia="Arial" w:hAnsi="Arial"/>
                <w:sz w:val="11"/>
                <w:szCs w:val="11"/>
                <w:color w:val="auto"/>
              </w:rPr>
              <w:t>BALANCE—December 31, 2020</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4,471,316</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5,712</w:t>
            </w:r>
          </w:p>
        </w:tc>
      </w:tr>
      <w:tr>
        <w:trPr>
          <w:trHeight w:val="170"/>
        </w:trPr>
        <w:tc>
          <w:tcPr>
            <w:tcW w:w="3760" w:type="dxa"/>
            <w:vAlign w:val="bottom"/>
          </w:tcPr>
          <w:p>
            <w:pPr>
              <w:spacing w:after="0"/>
              <w:rPr>
                <w:sz w:val="20"/>
                <w:szCs w:val="20"/>
                <w:color w:val="auto"/>
              </w:rPr>
            </w:pPr>
            <w:r>
              <w:rPr>
                <w:rFonts w:ascii="Arial" w:cs="Arial" w:eastAsia="Arial" w:hAnsi="Arial"/>
                <w:sz w:val="11"/>
                <w:szCs w:val="11"/>
                <w:color w:val="auto"/>
              </w:rPr>
              <w:t>Issuance of common stock</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0"/>
        </w:trPr>
        <w:tc>
          <w:tcPr>
            <w:tcW w:w="3760" w:type="dxa"/>
            <w:vAlign w:val="bottom"/>
          </w:tcPr>
          <w:p>
            <w:pPr>
              <w:spacing w:after="0"/>
              <w:rPr>
                <w:sz w:val="20"/>
                <w:szCs w:val="20"/>
                <w:color w:val="auto"/>
              </w:rPr>
            </w:pPr>
            <w:r>
              <w:rPr>
                <w:rFonts w:ascii="Arial" w:cs="Arial" w:eastAsia="Arial" w:hAnsi="Arial"/>
                <w:sz w:val="11"/>
                <w:szCs w:val="11"/>
                <w:color w:val="auto"/>
              </w:rPr>
              <w:t>Conversion of redeemable convertible preferred stock to common stock</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7"/>
        </w:trPr>
        <w:tc>
          <w:tcPr>
            <w:tcW w:w="3760" w:type="dxa"/>
            <w:vAlign w:val="bottom"/>
          </w:tcPr>
          <w:p>
            <w:pPr>
              <w:ind w:left="120"/>
              <w:spacing w:after="0"/>
              <w:rPr>
                <w:sz w:val="20"/>
                <w:szCs w:val="20"/>
                <w:color w:val="auto"/>
              </w:rPr>
            </w:pPr>
            <w:r>
              <w:rPr>
                <w:rFonts w:ascii="Arial" w:cs="Arial" w:eastAsia="Arial" w:hAnsi="Arial"/>
                <w:sz w:val="11"/>
                <w:szCs w:val="11"/>
                <w:color w:val="auto"/>
              </w:rPr>
              <w:t>upon initial public offering</w:t>
            </w:r>
          </w:p>
        </w:tc>
        <w:tc>
          <w:tcPr>
            <w:tcW w:w="800" w:type="dxa"/>
            <w:vAlign w:val="bottom"/>
          </w:tcPr>
          <w:p>
            <w:pPr>
              <w:jc w:val="right"/>
              <w:spacing w:after="0"/>
              <w:rPr>
                <w:sz w:val="20"/>
                <w:szCs w:val="20"/>
                <w:color w:val="auto"/>
              </w:rPr>
            </w:pPr>
            <w:r>
              <w:rPr>
                <w:rFonts w:ascii="Arial" w:cs="Arial" w:eastAsia="Arial" w:hAnsi="Arial"/>
                <w:sz w:val="11"/>
                <w:szCs w:val="11"/>
                <w:color w:val="auto"/>
              </w:rPr>
              <w:t>(4,471,316)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(5,712)</w:t>
            </w:r>
          </w:p>
        </w:tc>
      </w:tr>
      <w:tr>
        <w:trPr>
          <w:trHeight w:val="150"/>
        </w:trPr>
        <w:tc>
          <w:tcPr>
            <w:tcW w:w="3760" w:type="dxa"/>
            <w:vAlign w:val="bottom"/>
          </w:tcPr>
          <w:p>
            <w:pPr>
              <w:spacing w:after="0"/>
              <w:rPr>
                <w:sz w:val="20"/>
                <w:szCs w:val="20"/>
                <w:color w:val="auto"/>
              </w:rPr>
            </w:pPr>
            <w:r>
              <w:rPr>
                <w:rFonts w:ascii="Arial" w:cs="Arial" w:eastAsia="Arial" w:hAnsi="Arial"/>
                <w:sz w:val="11"/>
                <w:szCs w:val="11"/>
                <w:color w:val="auto"/>
              </w:rPr>
              <w:t>Issuance of common stock upon initial public offering, net of underwriting</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7"/>
        </w:trPr>
        <w:tc>
          <w:tcPr>
            <w:tcW w:w="3760" w:type="dxa"/>
            <w:vAlign w:val="bottom"/>
          </w:tcPr>
          <w:p>
            <w:pPr>
              <w:ind w:left="120"/>
              <w:spacing w:after="0"/>
              <w:rPr>
                <w:sz w:val="20"/>
                <w:szCs w:val="20"/>
                <w:color w:val="auto"/>
              </w:rPr>
            </w:pPr>
            <w:r>
              <w:rPr>
                <w:rFonts w:ascii="Arial" w:cs="Arial" w:eastAsia="Arial" w:hAnsi="Arial"/>
                <w:sz w:val="11"/>
                <w:szCs w:val="11"/>
                <w:color w:val="auto"/>
              </w:rPr>
              <w:t>commissions and other issuance costs</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3760" w:type="dxa"/>
            <w:vAlign w:val="bottom"/>
          </w:tcPr>
          <w:p>
            <w:pPr>
              <w:spacing w:after="0"/>
              <w:rPr>
                <w:sz w:val="20"/>
                <w:szCs w:val="20"/>
                <w:color w:val="auto"/>
              </w:rPr>
            </w:pPr>
            <w:r>
              <w:rPr>
                <w:rFonts w:ascii="Arial" w:cs="Arial" w:eastAsia="Arial" w:hAnsi="Arial"/>
                <w:sz w:val="11"/>
                <w:szCs w:val="11"/>
                <w:color w:val="auto"/>
              </w:rPr>
              <w:t>Issuance of common stock for cash upon exercise of stock options</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3760" w:type="dxa"/>
            <w:vAlign w:val="bottom"/>
          </w:tcPr>
          <w:p>
            <w:pPr>
              <w:spacing w:after="0"/>
              <w:rPr>
                <w:sz w:val="20"/>
                <w:szCs w:val="20"/>
                <w:color w:val="auto"/>
              </w:rPr>
            </w:pPr>
            <w:r>
              <w:rPr>
                <w:rFonts w:ascii="Arial" w:cs="Arial" w:eastAsia="Arial" w:hAnsi="Arial"/>
                <w:sz w:val="11"/>
                <w:szCs w:val="11"/>
                <w:color w:val="auto"/>
              </w:rPr>
              <w:t>Issuance of common stock for settlement of restricted stock units</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3760" w:type="dxa"/>
            <w:vAlign w:val="bottom"/>
          </w:tcPr>
          <w:p>
            <w:pPr>
              <w:spacing w:after="0"/>
              <w:rPr>
                <w:sz w:val="20"/>
                <w:szCs w:val="20"/>
                <w:color w:val="auto"/>
              </w:rPr>
            </w:pPr>
            <w:r>
              <w:rPr>
                <w:rFonts w:ascii="Arial" w:cs="Arial" w:eastAsia="Arial" w:hAnsi="Arial"/>
                <w:sz w:val="11"/>
                <w:szCs w:val="11"/>
                <w:color w:val="auto"/>
              </w:rPr>
              <w:t>Stock-based compensation expense</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3760" w:type="dxa"/>
            <w:vAlign w:val="bottom"/>
          </w:tcPr>
          <w:p>
            <w:pPr>
              <w:spacing w:after="0"/>
              <w:rPr>
                <w:sz w:val="20"/>
                <w:szCs w:val="20"/>
                <w:color w:val="auto"/>
              </w:rPr>
            </w:pPr>
            <w:r>
              <w:rPr>
                <w:rFonts w:ascii="Arial" w:cs="Arial" w:eastAsia="Arial" w:hAnsi="Arial"/>
                <w:sz w:val="11"/>
                <w:szCs w:val="11"/>
                <w:color w:val="auto"/>
              </w:rPr>
              <w:t>Unrealized pension actuarial loss</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8"/>
        </w:trPr>
        <w:tc>
          <w:tcPr>
            <w:tcW w:w="3760" w:type="dxa"/>
            <w:vAlign w:val="bottom"/>
          </w:tcPr>
          <w:p>
            <w:pPr>
              <w:spacing w:after="0"/>
              <w:rPr>
                <w:sz w:val="20"/>
                <w:szCs w:val="20"/>
                <w:color w:val="auto"/>
              </w:rPr>
            </w:pPr>
            <w:r>
              <w:rPr>
                <w:rFonts w:ascii="Arial" w:cs="Arial" w:eastAsia="Arial" w:hAnsi="Arial"/>
                <w:sz w:val="11"/>
                <w:szCs w:val="11"/>
                <w:color w:val="auto"/>
              </w:rPr>
              <w:t>Net loss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39"/>
        </w:trPr>
        <w:tc>
          <w:tcPr>
            <w:tcW w:w="3760" w:type="dxa"/>
            <w:vAlign w:val="bottom"/>
          </w:tcPr>
          <w:p>
            <w:pPr>
              <w:spacing w:after="0"/>
              <w:rPr>
                <w:sz w:val="20"/>
                <w:szCs w:val="20"/>
                <w:color w:val="auto"/>
              </w:rPr>
            </w:pPr>
            <w:r>
              <w:rPr>
                <w:rFonts w:ascii="Arial" w:cs="Arial" w:eastAsia="Arial" w:hAnsi="Arial"/>
                <w:sz w:val="11"/>
                <w:szCs w:val="11"/>
                <w:color w:val="auto"/>
              </w:rPr>
              <w:t>BALANCE—December 31, 2021</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0"/>
        </w:trPr>
        <w:tc>
          <w:tcPr>
            <w:tcW w:w="3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Stockholders’ Equity (Deficit)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80" w:type="dxa"/>
            <w:vAlign w:val="bottom"/>
            <w:gridSpan w:val="3"/>
            <w:vMerge w:val="restart"/>
          </w:tcPr>
          <w:p>
            <w:pPr>
              <w:jc w:val="right"/>
              <w:ind w:right="183"/>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1"/>
                <w:szCs w:val="11"/>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1"/>
                <w:szCs w:val="11"/>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Loss</w:t>
            </w: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3"/>
                <w:szCs w:val="13"/>
                <w:color w:val="auto"/>
              </w:rPr>
            </w:pPr>
          </w:p>
        </w:tc>
        <w:tc>
          <w:tcPr>
            <w:tcW w:w="580" w:type="dxa"/>
            <w:vAlign w:val="bottom"/>
          </w:tcPr>
          <w:p>
            <w:pPr>
              <w:jc w:val="right"/>
              <w:ind w:right="18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6"/>
        </w:trPr>
        <w:tc>
          <w:tcPr>
            <w:tcW w:w="8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17,349,695</w:t>
            </w:r>
          </w:p>
        </w:tc>
        <w:tc>
          <w:tcPr>
            <w:tcW w:w="60" w:type="dxa"/>
            <w:vAlign w:val="bottom"/>
          </w:tcPr>
          <w:p>
            <w:pPr>
              <w:spacing w:after="0"/>
              <w:rPr>
                <w:sz w:val="13"/>
                <w:szCs w:val="13"/>
                <w:color w:val="auto"/>
              </w:rPr>
            </w:pPr>
          </w:p>
        </w:tc>
        <w:tc>
          <w:tcPr>
            <w:tcW w:w="620" w:type="dxa"/>
            <w:vAlign w:val="bottom"/>
            <w:tcBorders>
              <w:top w:val="single" w:sz="8" w:color="auto"/>
            </w:tcBorders>
          </w:tcPr>
          <w:p>
            <w:pPr>
              <w:jc w:val="right"/>
              <w:ind w:right="483"/>
              <w:spacing w:after="0"/>
              <w:rPr>
                <w:sz w:val="20"/>
                <w:szCs w:val="20"/>
                <w:color w:val="auto"/>
              </w:rPr>
            </w:pPr>
            <w:r>
              <w:rPr>
                <w:rFonts w:ascii="Arial" w:cs="Arial" w:eastAsia="Arial" w:hAnsi="Arial"/>
                <w:sz w:val="11"/>
                <w:szCs w:val="11"/>
                <w:color w:val="auto"/>
                <w:w w:val="97"/>
              </w:rPr>
              <w:t>$</w:t>
            </w:r>
          </w:p>
        </w:tc>
        <w:tc>
          <w:tcPr>
            <w:tcW w:w="2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7"/>
              </w:rPr>
              <w:t>17</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2,918</w:t>
            </w: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(12,347)</w:t>
            </w:r>
          </w:p>
        </w:tc>
        <w:tc>
          <w:tcPr>
            <w:tcW w:w="60" w:type="dxa"/>
            <w:vAlign w:val="bottom"/>
          </w:tcPr>
          <w:p>
            <w:pPr>
              <w:spacing w:after="0"/>
              <w:rPr>
                <w:sz w:val="13"/>
                <w:szCs w:val="13"/>
                <w:color w:val="auto"/>
              </w:rPr>
            </w:pPr>
          </w:p>
        </w:tc>
        <w:tc>
          <w:tcPr>
            <w:tcW w:w="1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(9,430)</w:t>
            </w:r>
          </w:p>
        </w:tc>
        <w:tc>
          <w:tcPr>
            <w:tcW w:w="0" w:type="dxa"/>
            <w:vAlign w:val="bottom"/>
          </w:tcPr>
          <w:p>
            <w:pPr>
              <w:spacing w:after="0"/>
              <w:rPr>
                <w:sz w:val="1"/>
                <w:szCs w:val="1"/>
                <w:color w:val="auto"/>
              </w:rPr>
            </w:pPr>
          </w:p>
        </w:tc>
      </w:tr>
      <w:tr>
        <w:trPr>
          <w:trHeight w:val="170"/>
        </w:trPr>
        <w:tc>
          <w:tcPr>
            <w:tcW w:w="800" w:type="dxa"/>
            <w:vAlign w:val="bottom"/>
          </w:tcPr>
          <w:p>
            <w:pPr>
              <w:jc w:val="right"/>
              <w:ind w:right="3"/>
              <w:spacing w:after="0"/>
              <w:rPr>
                <w:sz w:val="20"/>
                <w:szCs w:val="20"/>
                <w:color w:val="auto"/>
              </w:rPr>
            </w:pPr>
            <w:r>
              <w:rPr>
                <w:rFonts w:ascii="Arial" w:cs="Arial" w:eastAsia="Arial" w:hAnsi="Arial"/>
                <w:sz w:val="11"/>
                <w:szCs w:val="11"/>
                <w:color w:val="auto"/>
              </w:rPr>
              <w:t>1,002,039</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236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70"/>
        </w:trPr>
        <w:tc>
          <w:tcPr>
            <w:tcW w:w="800" w:type="dxa"/>
            <w:vAlign w:val="bottom"/>
          </w:tcPr>
          <w:p>
            <w:pPr>
              <w:jc w:val="right"/>
              <w:ind w:right="3"/>
              <w:spacing w:after="0"/>
              <w:rPr>
                <w:sz w:val="20"/>
                <w:szCs w:val="20"/>
                <w:color w:val="auto"/>
              </w:rPr>
            </w:pPr>
            <w:r>
              <w:rPr>
                <w:rFonts w:ascii="Arial" w:cs="Arial" w:eastAsia="Arial" w:hAnsi="Arial"/>
                <w:sz w:val="11"/>
                <w:szCs w:val="11"/>
                <w:color w:val="auto"/>
              </w:rPr>
              <w:t>135,255</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458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458</w:t>
            </w:r>
          </w:p>
        </w:tc>
        <w:tc>
          <w:tcPr>
            <w:tcW w:w="0" w:type="dxa"/>
            <w:vAlign w:val="bottom"/>
          </w:tcPr>
          <w:p>
            <w:pPr>
              <w:spacing w:after="0"/>
              <w:rPr>
                <w:sz w:val="1"/>
                <w:szCs w:val="1"/>
                <w:color w:val="auto"/>
              </w:rPr>
            </w:pPr>
          </w:p>
        </w:tc>
      </w:tr>
      <w:tr>
        <w:trPr>
          <w:trHeight w:val="170"/>
        </w:trPr>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8"/>
        </w:trPr>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(3,260)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(3,260)</w:t>
            </w:r>
          </w:p>
        </w:tc>
        <w:tc>
          <w:tcPr>
            <w:tcW w:w="0" w:type="dxa"/>
            <w:vAlign w:val="bottom"/>
          </w:tcPr>
          <w:p>
            <w:pPr>
              <w:spacing w:after="0"/>
              <w:rPr>
                <w:sz w:val="1"/>
                <w:szCs w:val="1"/>
                <w:color w:val="auto"/>
              </w:rPr>
            </w:pPr>
          </w:p>
        </w:tc>
      </w:tr>
      <w:tr>
        <w:trPr>
          <w:trHeight w:val="152"/>
        </w:trPr>
        <w:tc>
          <w:tcPr>
            <w:tcW w:w="8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18,486,989</w:t>
            </w:r>
          </w:p>
        </w:tc>
        <w:tc>
          <w:tcPr>
            <w:tcW w:w="60" w:type="dxa"/>
            <w:vAlign w:val="bottom"/>
          </w:tcPr>
          <w:p>
            <w:pPr>
              <w:spacing w:after="0"/>
              <w:rPr>
                <w:sz w:val="13"/>
                <w:szCs w:val="13"/>
                <w:color w:val="auto"/>
              </w:rPr>
            </w:pPr>
          </w:p>
        </w:tc>
        <w:tc>
          <w:tcPr>
            <w:tcW w:w="620" w:type="dxa"/>
            <w:vAlign w:val="bottom"/>
            <w:tcBorders>
              <w:top w:val="single" w:sz="8" w:color="auto"/>
            </w:tcBorders>
          </w:tcPr>
          <w:p>
            <w:pPr>
              <w:jc w:val="right"/>
              <w:ind w:right="483"/>
              <w:spacing w:after="0"/>
              <w:rPr>
                <w:sz w:val="20"/>
                <w:szCs w:val="20"/>
                <w:color w:val="auto"/>
              </w:rPr>
            </w:pPr>
            <w:r>
              <w:rPr>
                <w:rFonts w:ascii="Arial" w:cs="Arial" w:eastAsia="Arial" w:hAnsi="Arial"/>
                <w:sz w:val="11"/>
                <w:szCs w:val="11"/>
                <w:color w:val="auto"/>
                <w:w w:val="97"/>
              </w:rPr>
              <w:t>$</w:t>
            </w:r>
          </w:p>
        </w:tc>
        <w:tc>
          <w:tcPr>
            <w:tcW w:w="2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7"/>
              </w:rPr>
              <w:t>18</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3,612</w:t>
            </w: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(15,607)</w:t>
            </w:r>
          </w:p>
        </w:tc>
        <w:tc>
          <w:tcPr>
            <w:tcW w:w="60" w:type="dxa"/>
            <w:vAlign w:val="bottom"/>
          </w:tcPr>
          <w:p>
            <w:pPr>
              <w:spacing w:after="0"/>
              <w:rPr>
                <w:sz w:val="13"/>
                <w:szCs w:val="13"/>
                <w:color w:val="auto"/>
              </w:rPr>
            </w:pPr>
          </w:p>
        </w:tc>
        <w:tc>
          <w:tcPr>
            <w:tcW w:w="1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(12,008)</w:t>
            </w:r>
          </w:p>
        </w:tc>
        <w:tc>
          <w:tcPr>
            <w:tcW w:w="0" w:type="dxa"/>
            <w:vAlign w:val="bottom"/>
          </w:tcPr>
          <w:p>
            <w:pPr>
              <w:spacing w:after="0"/>
              <w:rPr>
                <w:sz w:val="1"/>
                <w:szCs w:val="1"/>
                <w:color w:val="auto"/>
              </w:rPr>
            </w:pPr>
          </w:p>
        </w:tc>
      </w:tr>
      <w:tr>
        <w:trPr>
          <w:trHeight w:val="170"/>
        </w:trPr>
        <w:tc>
          <w:tcPr>
            <w:tcW w:w="800" w:type="dxa"/>
            <w:vAlign w:val="bottom"/>
          </w:tcPr>
          <w:p>
            <w:pPr>
              <w:jc w:val="right"/>
              <w:ind w:right="3"/>
              <w:spacing w:after="0"/>
              <w:rPr>
                <w:sz w:val="20"/>
                <w:szCs w:val="20"/>
                <w:color w:val="auto"/>
              </w:rPr>
            </w:pPr>
            <w:r>
              <w:rPr>
                <w:rFonts w:ascii="Arial" w:cs="Arial" w:eastAsia="Arial" w:hAnsi="Arial"/>
                <w:sz w:val="11"/>
                <w:szCs w:val="11"/>
                <w:color w:val="auto"/>
              </w:rPr>
              <w:t>1,250,000</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5,435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5,437</w:t>
            </w:r>
          </w:p>
        </w:tc>
        <w:tc>
          <w:tcPr>
            <w:tcW w:w="0" w:type="dxa"/>
            <w:vAlign w:val="bottom"/>
          </w:tcPr>
          <w:p>
            <w:pPr>
              <w:spacing w:after="0"/>
              <w:rPr>
                <w:sz w:val="1"/>
                <w:szCs w:val="1"/>
                <w:color w:val="auto"/>
              </w:rPr>
            </w:pPr>
          </w:p>
        </w:tc>
      </w:tr>
      <w:tr>
        <w:trPr>
          <w:trHeight w:val="297"/>
        </w:trPr>
        <w:tc>
          <w:tcPr>
            <w:tcW w:w="800" w:type="dxa"/>
            <w:vAlign w:val="bottom"/>
          </w:tcPr>
          <w:p>
            <w:pPr>
              <w:jc w:val="right"/>
              <w:ind w:right="3"/>
              <w:spacing w:after="0"/>
              <w:rPr>
                <w:sz w:val="20"/>
                <w:szCs w:val="20"/>
                <w:color w:val="auto"/>
              </w:rPr>
            </w:pPr>
            <w:r>
              <w:rPr>
                <w:rFonts w:ascii="Arial" w:cs="Arial" w:eastAsia="Arial" w:hAnsi="Arial"/>
                <w:sz w:val="11"/>
                <w:szCs w:val="11"/>
                <w:color w:val="auto"/>
              </w:rPr>
              <w:t>4,471,316</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5,708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5,712</w:t>
            </w:r>
          </w:p>
        </w:tc>
        <w:tc>
          <w:tcPr>
            <w:tcW w:w="0" w:type="dxa"/>
            <w:vAlign w:val="bottom"/>
          </w:tcPr>
          <w:p>
            <w:pPr>
              <w:spacing w:after="0"/>
              <w:rPr>
                <w:sz w:val="1"/>
                <w:szCs w:val="1"/>
                <w:color w:val="auto"/>
              </w:rPr>
            </w:pPr>
          </w:p>
        </w:tc>
      </w:tr>
      <w:tr>
        <w:trPr>
          <w:trHeight w:val="297"/>
        </w:trPr>
        <w:tc>
          <w:tcPr>
            <w:tcW w:w="800" w:type="dxa"/>
            <w:vAlign w:val="bottom"/>
          </w:tcPr>
          <w:p>
            <w:pPr>
              <w:jc w:val="right"/>
              <w:ind w:right="3"/>
              <w:spacing w:after="0"/>
              <w:rPr>
                <w:sz w:val="20"/>
                <w:szCs w:val="20"/>
                <w:color w:val="auto"/>
              </w:rPr>
            </w:pPr>
            <w:r>
              <w:rPr>
                <w:rFonts w:ascii="Arial" w:cs="Arial" w:eastAsia="Arial" w:hAnsi="Arial"/>
                <w:sz w:val="11"/>
                <w:szCs w:val="11"/>
                <w:color w:val="auto"/>
              </w:rPr>
              <w:t>5,750,000</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jc w:val="right"/>
              <w:ind w:right="3"/>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71,082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71,088</w:t>
            </w:r>
          </w:p>
        </w:tc>
        <w:tc>
          <w:tcPr>
            <w:tcW w:w="0" w:type="dxa"/>
            <w:vAlign w:val="bottom"/>
          </w:tcPr>
          <w:p>
            <w:pPr>
              <w:spacing w:after="0"/>
              <w:rPr>
                <w:sz w:val="1"/>
                <w:szCs w:val="1"/>
                <w:color w:val="auto"/>
              </w:rPr>
            </w:pPr>
          </w:p>
        </w:tc>
      </w:tr>
      <w:tr>
        <w:trPr>
          <w:trHeight w:val="170"/>
        </w:trPr>
        <w:tc>
          <w:tcPr>
            <w:tcW w:w="800" w:type="dxa"/>
            <w:vAlign w:val="bottom"/>
          </w:tcPr>
          <w:p>
            <w:pPr>
              <w:jc w:val="right"/>
              <w:ind w:right="3"/>
              <w:spacing w:after="0"/>
              <w:rPr>
                <w:sz w:val="20"/>
                <w:szCs w:val="20"/>
                <w:color w:val="auto"/>
              </w:rPr>
            </w:pPr>
            <w:r>
              <w:rPr>
                <w:rFonts w:ascii="Arial" w:cs="Arial" w:eastAsia="Arial" w:hAnsi="Arial"/>
                <w:sz w:val="11"/>
                <w:szCs w:val="11"/>
                <w:color w:val="auto"/>
              </w:rPr>
              <w:t>1,362,327</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598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599</w:t>
            </w:r>
          </w:p>
        </w:tc>
        <w:tc>
          <w:tcPr>
            <w:tcW w:w="0" w:type="dxa"/>
            <w:vAlign w:val="bottom"/>
          </w:tcPr>
          <w:p>
            <w:pPr>
              <w:spacing w:after="0"/>
              <w:rPr>
                <w:sz w:val="1"/>
                <w:szCs w:val="1"/>
                <w:color w:val="auto"/>
              </w:rPr>
            </w:pPr>
          </w:p>
        </w:tc>
      </w:tr>
      <w:tr>
        <w:trPr>
          <w:trHeight w:val="170"/>
        </w:trPr>
        <w:tc>
          <w:tcPr>
            <w:tcW w:w="800" w:type="dxa"/>
            <w:vAlign w:val="bottom"/>
          </w:tcPr>
          <w:p>
            <w:pPr>
              <w:jc w:val="right"/>
              <w:ind w:right="3"/>
              <w:spacing w:after="0"/>
              <w:rPr>
                <w:sz w:val="20"/>
                <w:szCs w:val="20"/>
                <w:color w:val="auto"/>
              </w:rPr>
            </w:pPr>
            <w:r>
              <w:rPr>
                <w:rFonts w:ascii="Arial" w:cs="Arial" w:eastAsia="Arial" w:hAnsi="Arial"/>
                <w:sz w:val="11"/>
                <w:szCs w:val="11"/>
                <w:color w:val="auto"/>
              </w:rPr>
              <w:t>210,050</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5,510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5,510</w:t>
            </w:r>
          </w:p>
        </w:tc>
        <w:tc>
          <w:tcPr>
            <w:tcW w:w="0" w:type="dxa"/>
            <w:vAlign w:val="bottom"/>
          </w:tcPr>
          <w:p>
            <w:pPr>
              <w:spacing w:after="0"/>
              <w:rPr>
                <w:sz w:val="1"/>
                <w:szCs w:val="1"/>
                <w:color w:val="auto"/>
              </w:rPr>
            </w:pPr>
          </w:p>
        </w:tc>
      </w:tr>
      <w:tr>
        <w:trPr>
          <w:trHeight w:val="170"/>
        </w:trPr>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68"/>
        </w:trPr>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(23,384)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(23,384)</w:t>
            </w:r>
          </w:p>
        </w:tc>
        <w:tc>
          <w:tcPr>
            <w:tcW w:w="0" w:type="dxa"/>
            <w:vAlign w:val="bottom"/>
          </w:tcPr>
          <w:p>
            <w:pPr>
              <w:spacing w:after="0"/>
              <w:rPr>
                <w:sz w:val="1"/>
                <w:szCs w:val="1"/>
                <w:color w:val="auto"/>
              </w:rPr>
            </w:pPr>
          </w:p>
        </w:tc>
      </w:tr>
      <w:tr>
        <w:trPr>
          <w:trHeight w:val="139"/>
        </w:trPr>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31,530,682</w:t>
            </w: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1"/>
                <w:szCs w:val="11"/>
                <w:color w:val="auto"/>
                <w:w w:val="97"/>
              </w:rPr>
              <w:t>$</w:t>
            </w: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31</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91,945</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(38,991)</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52,904</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5440" w:space="140"/>
            <w:col w:w="5600"/>
          </w:cols>
          <w:pgMar w:left="300" w:top="125" w:right="419" w:bottom="1440" w:gutter="0" w:footer="0" w:header="0"/>
          <w:type w:val="continuous"/>
        </w:sectPr>
      </w:pPr>
    </w:p>
    <w:p>
      <w:pPr>
        <w:jc w:val="center"/>
        <w:ind w:right="-99"/>
        <w:spacing w:after="0"/>
        <w:rPr>
          <w:sz w:val="20"/>
          <w:szCs w:val="20"/>
          <w:color w:val="auto"/>
        </w:rPr>
      </w:pPr>
      <w:r>
        <w:rPr>
          <w:rFonts w:ascii="Arial" w:cs="Arial" w:eastAsia="Arial" w:hAnsi="Arial"/>
          <w:sz w:val="13"/>
          <w:szCs w:val="13"/>
          <w:color w:val="auto"/>
        </w:rPr>
        <w:t>See notes to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type w:val="continuous"/>
        </w:sectPr>
      </w:pPr>
    </w:p>
    <w:bookmarkStart w:id="82" w:name="page83"/>
    <w:bookmarkEnd w:id="8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Arteris,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764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1040" w:type="dxa"/>
            <w:vAlign w:val="bottom"/>
            <w:tcBorders>
              <w:bottom w:val="single" w:sz="8" w:color="auto"/>
            </w:tcBorders>
          </w:tcPr>
          <w:p>
            <w:pPr>
              <w:spacing w:after="0"/>
              <w:rPr>
                <w:sz w:val="12"/>
                <w:szCs w:val="12"/>
                <w:color w:val="auto"/>
              </w:rPr>
            </w:pPr>
          </w:p>
        </w:tc>
      </w:tr>
      <w:tr>
        <w:trPr>
          <w:trHeight w:val="139"/>
        </w:trPr>
        <w:tc>
          <w:tcPr>
            <w:tcW w:w="76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73"/>
              <w:spacing w:after="0"/>
              <w:rPr>
                <w:sz w:val="20"/>
                <w:szCs w:val="20"/>
                <w:color w:val="auto"/>
              </w:rPr>
            </w:pPr>
            <w:r>
              <w:rPr>
                <w:rFonts w:ascii="Arial" w:cs="Arial" w:eastAsia="Arial" w:hAnsi="Arial"/>
                <w:sz w:val="11"/>
                <w:szCs w:val="11"/>
                <w:b w:val="1"/>
                <w:bCs w:val="1"/>
                <w:color w:val="auto"/>
              </w:rPr>
              <w:t>2020</w:t>
            </w:r>
          </w:p>
        </w:tc>
      </w:tr>
      <w:tr>
        <w:trPr>
          <w:trHeight w:val="150"/>
        </w:trPr>
        <w:tc>
          <w:tcPr>
            <w:tcW w:w="76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FLOWS FROM OPERATING ACTIVITIES:</w:t>
            </w:r>
          </w:p>
        </w:tc>
        <w:tc>
          <w:tcPr>
            <w:tcW w:w="10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69"/>
        </w:trPr>
        <w:tc>
          <w:tcPr>
            <w:tcW w:w="764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060" w:type="dxa"/>
            <w:vAlign w:val="bottom"/>
          </w:tcPr>
          <w:p>
            <w:pPr>
              <w:jc w:val="right"/>
              <w:ind w:right="89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(23,384)</w:t>
            </w:r>
          </w:p>
        </w:tc>
        <w:tc>
          <w:tcPr>
            <w:tcW w:w="80" w:type="dxa"/>
            <w:vAlign w:val="bottom"/>
          </w:tcPr>
          <w:p>
            <w:pPr>
              <w:spacing w:after="0"/>
              <w:rPr>
                <w:sz w:val="14"/>
                <w:szCs w:val="14"/>
                <w:color w:val="auto"/>
              </w:rPr>
            </w:pPr>
          </w:p>
        </w:tc>
        <w:tc>
          <w:tcPr>
            <w:tcW w:w="700" w:type="dxa"/>
            <w:vAlign w:val="bottom"/>
          </w:tcPr>
          <w:p>
            <w:pPr>
              <w:jc w:val="right"/>
              <w:ind w:right="5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(3,260)</w:t>
            </w:r>
          </w:p>
        </w:tc>
      </w:tr>
      <w:tr>
        <w:trPr>
          <w:trHeight w:val="171"/>
        </w:trPr>
        <w:tc>
          <w:tcPr>
            <w:tcW w:w="7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9"/>
        </w:trPr>
        <w:tc>
          <w:tcPr>
            <w:tcW w:w="7640" w:type="dxa"/>
            <w:vAlign w:val="bottom"/>
          </w:tcPr>
          <w:p>
            <w:pPr>
              <w:ind w:left="360"/>
              <w:spacing w:after="0"/>
              <w:rPr>
                <w:sz w:val="20"/>
                <w:szCs w:val="20"/>
                <w:color w:val="auto"/>
              </w:rPr>
            </w:pPr>
            <w:r>
              <w:rPr>
                <w:rFonts w:ascii="Arial" w:cs="Arial" w:eastAsia="Arial" w:hAnsi="Arial"/>
                <w:sz w:val="13"/>
                <w:szCs w:val="13"/>
                <w:color w:val="auto"/>
              </w:rPr>
              <w:t>Depreciation and amortization</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1,492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935</w:t>
            </w:r>
          </w:p>
        </w:tc>
      </w:tr>
      <w:tr>
        <w:trPr>
          <w:trHeight w:val="171"/>
        </w:trPr>
        <w:tc>
          <w:tcPr>
            <w:tcW w:w="76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Stock-based compensation</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r>
      <w:tr>
        <w:trPr>
          <w:trHeight w:val="169"/>
        </w:trPr>
        <w:tc>
          <w:tcPr>
            <w:tcW w:w="7640" w:type="dxa"/>
            <w:vAlign w:val="bottom"/>
          </w:tcPr>
          <w:p>
            <w:pPr>
              <w:ind w:left="360"/>
              <w:spacing w:after="0"/>
              <w:rPr>
                <w:sz w:val="20"/>
                <w:szCs w:val="20"/>
                <w:color w:val="auto"/>
              </w:rPr>
            </w:pPr>
            <w:r>
              <w:rPr>
                <w:rFonts w:ascii="Arial" w:cs="Arial" w:eastAsia="Arial" w:hAnsi="Arial"/>
                <w:sz w:val="13"/>
                <w:szCs w:val="13"/>
                <w:color w:val="auto"/>
              </w:rPr>
              <w:t>Pension plan expenses</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71"/>
        </w:trPr>
        <w:tc>
          <w:tcPr>
            <w:tcW w:w="76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Operating non-cash lease expense</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r>
      <w:tr>
        <w:trPr>
          <w:trHeight w:val="169"/>
        </w:trPr>
        <w:tc>
          <w:tcPr>
            <w:tcW w:w="7640" w:type="dxa"/>
            <w:vAlign w:val="bottom"/>
          </w:tcPr>
          <w:p>
            <w:pPr>
              <w:ind w:left="360"/>
              <w:spacing w:after="0"/>
              <w:rPr>
                <w:sz w:val="20"/>
                <w:szCs w:val="20"/>
                <w:color w:val="auto"/>
              </w:rPr>
            </w:pPr>
            <w:r>
              <w:rPr>
                <w:rFonts w:ascii="Arial" w:cs="Arial" w:eastAsia="Arial" w:hAnsi="Arial"/>
                <w:sz w:val="13"/>
                <w:szCs w:val="13"/>
                <w:color w:val="auto"/>
              </w:rPr>
              <w:t>Gain on extinguishment of debt</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(1,593)</w:t>
            </w:r>
          </w:p>
        </w:tc>
      </w:tr>
      <w:tr>
        <w:trPr>
          <w:trHeight w:val="171"/>
        </w:trPr>
        <w:tc>
          <w:tcPr>
            <w:tcW w:w="76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7640" w:type="dxa"/>
            <w:vAlign w:val="bottom"/>
          </w:tcPr>
          <w:p>
            <w:pPr>
              <w:ind w:left="360"/>
              <w:spacing w:after="0"/>
              <w:rPr>
                <w:sz w:val="20"/>
                <w:szCs w:val="20"/>
                <w:color w:val="auto"/>
              </w:rPr>
            </w:pPr>
            <w:r>
              <w:rPr>
                <w:rFonts w:ascii="Arial" w:cs="Arial" w:eastAsia="Arial" w:hAnsi="Arial"/>
                <w:sz w:val="13"/>
                <w:szCs w:val="13"/>
                <w:color w:val="auto"/>
              </w:rPr>
              <w:t>Changes in operating assets and liabilities:</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76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Accounts receivable, net</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(6,324)</w:t>
            </w:r>
          </w:p>
        </w:tc>
      </w:tr>
      <w:tr>
        <w:trPr>
          <w:trHeight w:val="169"/>
        </w:trPr>
        <w:tc>
          <w:tcPr>
            <w:tcW w:w="7640" w:type="dxa"/>
            <w:vAlign w:val="bottom"/>
          </w:tcPr>
          <w:p>
            <w:pPr>
              <w:ind w:left="540"/>
              <w:spacing w:after="0"/>
              <w:rPr>
                <w:sz w:val="20"/>
                <w:szCs w:val="20"/>
                <w:color w:val="auto"/>
              </w:rPr>
            </w:pPr>
            <w:r>
              <w:rPr>
                <w:rFonts w:ascii="Arial" w:cs="Arial" w:eastAsia="Arial" w:hAnsi="Arial"/>
                <w:sz w:val="13"/>
                <w:szCs w:val="13"/>
                <w:color w:val="auto"/>
              </w:rPr>
              <w:t>Prepaid expenses and other assets</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(4,418)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(2,608)</w:t>
            </w:r>
          </w:p>
        </w:tc>
      </w:tr>
      <w:tr>
        <w:trPr>
          <w:trHeight w:val="171"/>
        </w:trPr>
        <w:tc>
          <w:tcPr>
            <w:tcW w:w="76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Accounts payable</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w:t>
            </w:r>
          </w:p>
        </w:tc>
      </w:tr>
      <w:tr>
        <w:trPr>
          <w:trHeight w:val="169"/>
        </w:trPr>
        <w:tc>
          <w:tcPr>
            <w:tcW w:w="7640" w:type="dxa"/>
            <w:vAlign w:val="bottom"/>
          </w:tcPr>
          <w:p>
            <w:pPr>
              <w:ind w:left="540"/>
              <w:spacing w:after="0"/>
              <w:rPr>
                <w:sz w:val="20"/>
                <w:szCs w:val="20"/>
                <w:color w:val="auto"/>
              </w:rPr>
            </w:pPr>
            <w:r>
              <w:rPr>
                <w:rFonts w:ascii="Arial" w:cs="Arial" w:eastAsia="Arial" w:hAnsi="Arial"/>
                <w:sz w:val="13"/>
                <w:szCs w:val="13"/>
                <w:color w:val="auto"/>
              </w:rPr>
              <w:t>Accrued expenses and other liabilities</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2,836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3,016</w:t>
            </w:r>
          </w:p>
        </w:tc>
      </w:tr>
      <w:tr>
        <w:trPr>
          <w:trHeight w:val="171"/>
        </w:trPr>
        <w:tc>
          <w:tcPr>
            <w:tcW w:w="76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Operating lease liabilities</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r>
      <w:tr>
        <w:trPr>
          <w:trHeight w:val="169"/>
        </w:trPr>
        <w:tc>
          <w:tcPr>
            <w:tcW w:w="764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Deferred revenue</w:t>
            </w: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16,268</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11,086</w:t>
            </w:r>
          </w:p>
        </w:tc>
      </w:tr>
      <w:tr>
        <w:trPr>
          <w:trHeight w:val="162"/>
        </w:trPr>
        <w:tc>
          <w:tcPr>
            <w:tcW w:w="7640" w:type="dxa"/>
            <w:vAlign w:val="bottom"/>
            <w:shd w:val="clear" w:color="auto" w:fill="CCEEFF"/>
          </w:tcPr>
          <w:p>
            <w:pPr>
              <w:ind w:left="700"/>
              <w:spacing w:after="0"/>
              <w:rPr>
                <w:sz w:val="20"/>
                <w:szCs w:val="20"/>
                <w:color w:val="auto"/>
              </w:rPr>
            </w:pPr>
            <w:r>
              <w:rPr>
                <w:rFonts w:ascii="Arial" w:cs="Arial" w:eastAsia="Arial" w:hAnsi="Arial"/>
                <w:sz w:val="13"/>
                <w:szCs w:val="13"/>
                <w:color w:val="auto"/>
              </w:rPr>
              <w:t>Net cash (used in) provided by operating activities</w:t>
            </w:r>
          </w:p>
        </w:tc>
        <w:tc>
          <w:tcPr>
            <w:tcW w:w="10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(814)</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2,163</w:t>
            </w:r>
          </w:p>
        </w:tc>
      </w:tr>
      <w:tr>
        <w:trPr>
          <w:trHeight w:val="149"/>
        </w:trPr>
        <w:tc>
          <w:tcPr>
            <w:tcW w:w="7640" w:type="dxa"/>
            <w:vAlign w:val="bottom"/>
          </w:tcPr>
          <w:p>
            <w:pPr>
              <w:ind w:left="20"/>
              <w:spacing w:after="0" w:line="148" w:lineRule="exact"/>
              <w:rPr>
                <w:sz w:val="20"/>
                <w:szCs w:val="20"/>
                <w:color w:val="auto"/>
              </w:rPr>
            </w:pPr>
            <w:r>
              <w:rPr>
                <w:rFonts w:ascii="Arial" w:cs="Arial" w:eastAsia="Arial" w:hAnsi="Arial"/>
                <w:sz w:val="13"/>
                <w:szCs w:val="13"/>
                <w:color w:val="auto"/>
              </w:rPr>
              <w:t>CASH FLOWS FROM INVESTING ACTIVITIES:</w:t>
            </w: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1"/>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r>
      <w:tr>
        <w:trPr>
          <w:trHeight w:val="169"/>
        </w:trPr>
        <w:tc>
          <w:tcPr>
            <w:tcW w:w="7640" w:type="dxa"/>
            <w:vAlign w:val="bottom"/>
          </w:tcPr>
          <w:p>
            <w:pPr>
              <w:ind w:left="20"/>
              <w:spacing w:after="0"/>
              <w:rPr>
                <w:sz w:val="20"/>
                <w:szCs w:val="20"/>
                <w:color w:val="auto"/>
              </w:rPr>
            </w:pPr>
            <w:r>
              <w:rPr>
                <w:rFonts w:ascii="Arial" w:cs="Arial" w:eastAsia="Arial" w:hAnsi="Arial"/>
                <w:sz w:val="13"/>
                <w:szCs w:val="13"/>
                <w:color w:val="auto"/>
              </w:rPr>
              <w:t>Payments for business acquisition</w:t>
            </w:r>
          </w:p>
        </w:tc>
        <w:tc>
          <w:tcPr>
            <w:tcW w:w="10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(4,500)</w:t>
            </w:r>
          </w:p>
        </w:tc>
      </w:tr>
      <w:tr>
        <w:trPr>
          <w:trHeight w:val="171"/>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of deferred consideration for business acquisition</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162"/>
        </w:trPr>
        <w:tc>
          <w:tcPr>
            <w:tcW w:w="76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Net cash used in investing activities</w:t>
            </w:r>
          </w:p>
        </w:tc>
        <w:tc>
          <w:tcPr>
            <w:tcW w:w="10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(5,147)</w:t>
            </w:r>
          </w:p>
        </w:tc>
      </w:tr>
      <w:tr>
        <w:trPr>
          <w:trHeight w:val="149"/>
        </w:trPr>
        <w:tc>
          <w:tcPr>
            <w:tcW w:w="7640" w:type="dxa"/>
            <w:vAlign w:val="bottom"/>
          </w:tcPr>
          <w:p>
            <w:pPr>
              <w:ind w:left="20"/>
              <w:spacing w:after="0" w:line="148" w:lineRule="exact"/>
              <w:rPr>
                <w:sz w:val="20"/>
                <w:szCs w:val="20"/>
                <w:color w:val="auto"/>
              </w:rPr>
            </w:pPr>
            <w:r>
              <w:rPr>
                <w:rFonts w:ascii="Arial" w:cs="Arial" w:eastAsia="Arial" w:hAnsi="Arial"/>
                <w:sz w:val="13"/>
                <w:szCs w:val="13"/>
                <w:color w:val="auto"/>
              </w:rPr>
              <w:t>CASH FLOWS FROM FINANCING ACTIVITIES:</w:t>
            </w: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1"/>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upon initial public offering, net of underwriting commissions and other issuance costs</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71,344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640" w:type="dxa"/>
            <w:vAlign w:val="bottom"/>
          </w:tcPr>
          <w:p>
            <w:pPr>
              <w:ind w:left="20"/>
              <w:spacing w:after="0"/>
              <w:rPr>
                <w:sz w:val="20"/>
                <w:szCs w:val="20"/>
                <w:color w:val="auto"/>
              </w:rPr>
            </w:pPr>
            <w:r>
              <w:rPr>
                <w:rFonts w:ascii="Arial" w:cs="Arial" w:eastAsia="Arial" w:hAnsi="Arial"/>
                <w:sz w:val="13"/>
                <w:szCs w:val="13"/>
                <w:color w:val="auto"/>
              </w:rPr>
              <w:t>Proceeds from issuance of common stock</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5,435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PPP Loan</w:t>
            </w:r>
          </w:p>
        </w:tc>
        <w:tc>
          <w:tcPr>
            <w:tcW w:w="10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1,603</w:t>
            </w:r>
          </w:p>
        </w:tc>
      </w:tr>
      <w:tr>
        <w:trPr>
          <w:trHeight w:val="169"/>
        </w:trPr>
        <w:tc>
          <w:tcPr>
            <w:tcW w:w="7640" w:type="dxa"/>
            <w:vAlign w:val="bottom"/>
          </w:tcPr>
          <w:p>
            <w:pPr>
              <w:ind w:left="20"/>
              <w:spacing w:after="0"/>
              <w:rPr>
                <w:sz w:val="20"/>
                <w:szCs w:val="20"/>
                <w:color w:val="auto"/>
              </w:rPr>
            </w:pPr>
            <w:r>
              <w:rPr>
                <w:rFonts w:ascii="Arial" w:cs="Arial" w:eastAsia="Arial" w:hAnsi="Arial"/>
                <w:sz w:val="13"/>
                <w:szCs w:val="13"/>
                <w:color w:val="auto"/>
              </w:rPr>
              <w:t>Payments of principal portion of Term loan</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(600)</w:t>
            </w:r>
          </w:p>
        </w:tc>
      </w:tr>
      <w:tr>
        <w:trPr>
          <w:trHeight w:val="171"/>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under vendor financing arrangements</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r>
      <w:tr>
        <w:trPr>
          <w:trHeight w:val="169"/>
        </w:trPr>
        <w:tc>
          <w:tcPr>
            <w:tcW w:w="7640" w:type="dxa"/>
            <w:vAlign w:val="bottom"/>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599</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236</w:t>
            </w:r>
          </w:p>
        </w:tc>
      </w:tr>
      <w:tr>
        <w:trPr>
          <w:trHeight w:val="171"/>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0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59"/>
        </w:trPr>
        <w:tc>
          <w:tcPr>
            <w:tcW w:w="764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provided by financing activities</w:t>
            </w:r>
          </w:p>
        </w:tc>
        <w:tc>
          <w:tcPr>
            <w:tcW w:w="10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76,254</w:t>
            </w:r>
          </w:p>
        </w:tc>
        <w:tc>
          <w:tcPr>
            <w:tcW w:w="8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790</w:t>
            </w:r>
          </w:p>
        </w:tc>
      </w:tr>
      <w:tr>
        <w:trPr>
          <w:trHeight w:val="162"/>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(DECREASE) IN CASH</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74,081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(2,194)</w:t>
            </w:r>
          </w:p>
        </w:tc>
      </w:tr>
      <w:tr>
        <w:trPr>
          <w:trHeight w:val="16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beginning of period</w:t>
            </w: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11,744</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13,938</w:t>
            </w:r>
          </w:p>
        </w:tc>
      </w:tr>
      <w:tr>
        <w:trPr>
          <w:trHeight w:val="18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end of period</w:t>
            </w:r>
          </w:p>
        </w:tc>
        <w:tc>
          <w:tcPr>
            <w:tcW w:w="106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85,825</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11,744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7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70"/>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cash flow information:</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9"/>
        </w:trPr>
        <w:tc>
          <w:tcPr>
            <w:tcW w:w="7640" w:type="dxa"/>
            <w:vAlign w:val="bottom"/>
          </w:tcPr>
          <w:p>
            <w:pPr>
              <w:ind w:left="100"/>
              <w:spacing w:after="0"/>
              <w:rPr>
                <w:sz w:val="20"/>
                <w:szCs w:val="20"/>
                <w:color w:val="auto"/>
              </w:rPr>
            </w:pPr>
            <w:r>
              <w:rPr>
                <w:rFonts w:ascii="Arial" w:cs="Arial" w:eastAsia="Arial" w:hAnsi="Arial"/>
                <w:sz w:val="13"/>
                <w:szCs w:val="13"/>
                <w:color w:val="auto"/>
              </w:rPr>
              <w:t>Cash paid for interest</w:t>
            </w:r>
          </w:p>
        </w:tc>
        <w:tc>
          <w:tcPr>
            <w:tcW w:w="1060" w:type="dxa"/>
            <w:vAlign w:val="bottom"/>
          </w:tcPr>
          <w:p>
            <w:pPr>
              <w:jc w:val="right"/>
              <w:ind w:right="89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700" w:type="dxa"/>
            <w:vAlign w:val="bottom"/>
          </w:tcPr>
          <w:p>
            <w:pPr>
              <w:jc w:val="right"/>
              <w:ind w:right="5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71"/>
        </w:trPr>
        <w:tc>
          <w:tcPr>
            <w:tcW w:w="7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paid for taxes</w:t>
            </w:r>
          </w:p>
        </w:tc>
        <w:tc>
          <w:tcPr>
            <w:tcW w:w="1060" w:type="dxa"/>
            <w:vAlign w:val="bottom"/>
            <w:shd w:val="clear" w:color="auto" w:fill="CCEEFF"/>
          </w:tcPr>
          <w:p>
            <w:pPr>
              <w:jc w:val="right"/>
              <w:ind w:right="8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1,529</w:t>
            </w:r>
          </w:p>
        </w:tc>
      </w:tr>
      <w:tr>
        <w:trPr>
          <w:trHeight w:val="169"/>
        </w:trPr>
        <w:tc>
          <w:tcPr>
            <w:tcW w:w="7640" w:type="dxa"/>
            <w:vAlign w:val="bottom"/>
          </w:tcPr>
          <w:p>
            <w:pPr>
              <w:ind w:left="20"/>
              <w:spacing w:after="0"/>
              <w:rPr>
                <w:sz w:val="20"/>
                <w:szCs w:val="20"/>
                <w:color w:val="auto"/>
              </w:rPr>
            </w:pPr>
            <w:r>
              <w:rPr>
                <w:rFonts w:ascii="Arial" w:cs="Arial" w:eastAsia="Arial" w:hAnsi="Arial"/>
                <w:sz w:val="13"/>
                <w:szCs w:val="13"/>
                <w:color w:val="auto"/>
              </w:rPr>
              <w:t>Noncash activities:</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7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Conversion of redeemable convertible preferred stock to common stock</w:t>
            </w:r>
          </w:p>
        </w:tc>
        <w:tc>
          <w:tcPr>
            <w:tcW w:w="1060" w:type="dxa"/>
            <w:vAlign w:val="bottom"/>
            <w:shd w:val="clear" w:color="auto" w:fill="CCEEFF"/>
          </w:tcPr>
          <w:p>
            <w:pPr>
              <w:jc w:val="right"/>
              <w:ind w:right="8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640" w:type="dxa"/>
            <w:vAlign w:val="bottom"/>
          </w:tcPr>
          <w:p>
            <w:pPr>
              <w:ind w:left="100"/>
              <w:spacing w:after="0"/>
              <w:rPr>
                <w:sz w:val="20"/>
                <w:szCs w:val="20"/>
                <w:color w:val="auto"/>
              </w:rPr>
            </w:pPr>
            <w:r>
              <w:rPr>
                <w:rFonts w:ascii="Arial" w:cs="Arial" w:eastAsia="Arial" w:hAnsi="Arial"/>
                <w:sz w:val="13"/>
                <w:szCs w:val="13"/>
                <w:color w:val="auto"/>
              </w:rPr>
              <w:t>Unpaid deferred offering costs</w:t>
            </w:r>
          </w:p>
        </w:tc>
        <w:tc>
          <w:tcPr>
            <w:tcW w:w="1060" w:type="dxa"/>
            <w:vAlign w:val="bottom"/>
          </w:tcPr>
          <w:p>
            <w:pPr>
              <w:jc w:val="right"/>
              <w:ind w:right="89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256</w:t>
            </w:r>
          </w:p>
        </w:tc>
        <w:tc>
          <w:tcPr>
            <w:tcW w:w="80" w:type="dxa"/>
            <w:vAlign w:val="bottom"/>
          </w:tcPr>
          <w:p>
            <w:pPr>
              <w:spacing w:after="0"/>
              <w:rPr>
                <w:sz w:val="14"/>
                <w:szCs w:val="14"/>
                <w:color w:val="auto"/>
              </w:rPr>
            </w:pPr>
          </w:p>
        </w:tc>
        <w:tc>
          <w:tcPr>
            <w:tcW w:w="700" w:type="dxa"/>
            <w:vAlign w:val="bottom"/>
          </w:tcPr>
          <w:p>
            <w:pPr>
              <w:jc w:val="right"/>
              <w:ind w:right="5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PPP Loan forgiven</w:t>
            </w:r>
          </w:p>
        </w:tc>
        <w:tc>
          <w:tcPr>
            <w:tcW w:w="1060" w:type="dxa"/>
            <w:vAlign w:val="bottom"/>
            <w:shd w:val="clear" w:color="auto" w:fill="CCEEFF"/>
          </w:tcPr>
          <w:p>
            <w:pPr>
              <w:jc w:val="right"/>
              <w:ind w:right="8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w:t>
            </w:r>
          </w:p>
        </w:tc>
      </w:tr>
      <w:tr>
        <w:trPr>
          <w:trHeight w:val="169"/>
        </w:trPr>
        <w:tc>
          <w:tcPr>
            <w:tcW w:w="7640" w:type="dxa"/>
            <w:vAlign w:val="bottom"/>
          </w:tcPr>
          <w:p>
            <w:pPr>
              <w:ind w:left="100"/>
              <w:spacing w:after="0"/>
              <w:rPr>
                <w:sz w:val="20"/>
                <w:szCs w:val="20"/>
                <w:color w:val="auto"/>
              </w:rPr>
            </w:pPr>
            <w:r>
              <w:rPr>
                <w:rFonts w:ascii="Arial" w:cs="Arial" w:eastAsia="Arial" w:hAnsi="Arial"/>
                <w:sz w:val="13"/>
                <w:szCs w:val="13"/>
                <w:color w:val="auto"/>
              </w:rPr>
              <w:t>Property and equipment included in vendor financing</w:t>
            </w:r>
          </w:p>
        </w:tc>
        <w:tc>
          <w:tcPr>
            <w:tcW w:w="1060" w:type="dxa"/>
            <w:vAlign w:val="bottom"/>
          </w:tcPr>
          <w:p>
            <w:pPr>
              <w:jc w:val="right"/>
              <w:ind w:right="89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1,099</w:t>
            </w:r>
          </w:p>
        </w:tc>
        <w:tc>
          <w:tcPr>
            <w:tcW w:w="80" w:type="dxa"/>
            <w:vAlign w:val="bottom"/>
          </w:tcPr>
          <w:p>
            <w:pPr>
              <w:spacing w:after="0"/>
              <w:rPr>
                <w:sz w:val="14"/>
                <w:szCs w:val="14"/>
                <w:color w:val="auto"/>
              </w:rPr>
            </w:pPr>
          </w:p>
        </w:tc>
        <w:tc>
          <w:tcPr>
            <w:tcW w:w="700" w:type="dxa"/>
            <w:vAlign w:val="bottom"/>
          </w:tcPr>
          <w:p>
            <w:pPr>
              <w:jc w:val="right"/>
              <w:ind w:right="5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1,370</w:t>
            </w:r>
          </w:p>
        </w:tc>
      </w:tr>
      <w:tr>
        <w:trPr>
          <w:trHeight w:val="171"/>
        </w:trPr>
        <w:tc>
          <w:tcPr>
            <w:tcW w:w="7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Recognition of new right-of-use assets and lease liabilities for the lease modification/obligation</w:t>
            </w:r>
          </w:p>
        </w:tc>
        <w:tc>
          <w:tcPr>
            <w:tcW w:w="1060" w:type="dxa"/>
            <w:vAlign w:val="bottom"/>
            <w:shd w:val="clear" w:color="auto" w:fill="CCEEFF"/>
          </w:tcPr>
          <w:p>
            <w:pPr>
              <w:jc w:val="right"/>
              <w:ind w:right="8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r>
      <w:tr>
        <w:trPr>
          <w:trHeight w:val="167"/>
        </w:trPr>
        <w:tc>
          <w:tcPr>
            <w:tcW w:w="7640" w:type="dxa"/>
            <w:vAlign w:val="bottom"/>
          </w:tcPr>
          <w:p>
            <w:pPr>
              <w:ind w:left="100"/>
              <w:spacing w:after="0"/>
              <w:rPr>
                <w:sz w:val="20"/>
                <w:szCs w:val="20"/>
                <w:color w:val="auto"/>
              </w:rPr>
            </w:pPr>
            <w:r>
              <w:rPr>
                <w:rFonts w:ascii="Arial" w:cs="Arial" w:eastAsia="Arial" w:hAnsi="Arial"/>
                <w:sz w:val="13"/>
                <w:szCs w:val="13"/>
                <w:color w:val="auto"/>
              </w:rPr>
              <w:t>Contingent and deferred consideration for business acquisition</w:t>
            </w:r>
          </w:p>
        </w:tc>
        <w:tc>
          <w:tcPr>
            <w:tcW w:w="1060" w:type="dxa"/>
            <w:vAlign w:val="bottom"/>
          </w:tcPr>
          <w:p>
            <w:pPr>
              <w:jc w:val="right"/>
              <w:ind w:right="894"/>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3,342</w:t>
            </w:r>
          </w:p>
        </w:tc>
      </w:tr>
    </w:tbl>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See notes to consolidated financial statements.</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Arteris,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BUSINESS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Arteris, Inc. and its subsidiaries (collectively, the “Company” or “Arteris”) was incorporated in Delaware on April 12, 2004. The Company develops, licenses, and supports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Japan, Korea and China.</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COVID-19 Pandemic</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In March 2020, the World Health Organization declared the outbreak of COVID-19 a pandemic which has resulted in substantial global economic disruption and uncertainty. In response to the COVID-19 pandemic, the measures implemented by various authorities have caused us to change the Company’s business practices, including those related to where employees work, the distance between employees in the Company’s facilities, limitations on in-person meetings between employees and with customers, suppliers, service providers and stakeholders, as well as restrictions on business travel to domestic and international locations and to attend trade shows, technical conferences and other events. The extent and continued impact of the COVID-19 pandemic on our business will depend on certain developments including the duration and spread of the outbreak and new variant strains of the virus; the availability and distribution of effective vaccines; the severity of the economic decline attributable to the pandemic and timing, nature and sustainability of economic recovery; and government responses, including vaccination or testing mandates, all of which are highly uncertain and unpredictable.</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 is unable to accurately predict the full impact that COVID-19 will have on its future results of operations, financial condition, liquidity and cash flows due to numerous uncertainties, including the duration and severity of the pandemic and containment measures. The Company will continue to monitor health orders issued by applicable governments to ensure compliance with evolving domestic and global COVID-19 guidelines.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Initial Public Offering</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October, 2021, the Company completed its initial public offering (IPO), in which it issued and sold 5,750,000 shares of its common stock at the public offering price of $14.00 per share, including 750,000 shares of its common stock upon the full exercise of the underwriters’ option to purchase additional shares. The Company received net proceeds of $71.1 million after deducting underwriting discounts and commissions and offering expenses. In connection with the IPO, all of the shares of the Company’s outstanding redeemable convertible preferred stock prior to the IPO automatically converted into an aggregate of 4,471,316 shares of common stock.</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Deferred offering costs for the IPO were $3.8 million and consisted primarily of direct incremental accounting, legal and other fees related to the IPO. Prior to the IPO, all deferred offering costs were capitalized and included in other assets, non-current on the consolidated balance sheets. Upon completion of the IPO, deferred offering costs were reclassified into stockholders’ equity (deficit) as a reduction of the IPO proceeds.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consolidated financial statements have been prepared in accordance with accounting principles generally accepted in the United States of America (GAAP).</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consolidated financial statements include the accounts of Arteris, Inc. and its wholly-owned subsidiaries. All intercompany transactions and accounts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 operates as a single operating segment. The chief operating decision maker is the Company’s Chief Executive Officer, who makes resource allocation decisions and assesses performance based on financial information presented on a consolidated basis, accompanied by disaggregated revenue information. Accordingly, the Company has determined that it has a single reportable segment and operating segment.</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The preparation of the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values of goodwill and other intangible assets, including impairments, leases, allowances for doubtful accounts, deferred tax assets and related valuation allowance, stock-based compensation, potential reserves relating to litigation and tax matters, collectability of tax receivable, as well as other accruals or reserves. Actual results could differ from those estimates and such differences may be material to the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 and its foreign subsidiaries’ functional currency is the US dollar. Accordingly, monetary assets and liabilities of foreign subsidiaries are remeasured into US dollars at the exchange rates in effect at the balance sheet date, non-monetary assets and liabilities are recorded at historical rates, and revenue and expenses are remeasured at average rates during the period. Remeasurement adjustments are recognized as a component of interest and other income (expense), net within the consolidated statements of loss.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Comprehensive Loss</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Comprehensive loss generally represents all changes in stockholders’ deficit during the period except those resulting from investments by, or distributions to, stockholders. For the years ended December 31, 2021 and 2020, the components of comprehensive loss consist of net loss and unrealized pension actuarial loss.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Loss per Share</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Basic net loss per share is computed by dividing net loss available to common stockholders by the weighted-average number of shares of common stock outstanding during the period. Diluted net loss per share is computed by dividing net loss by the weighted-average number of shares of common stock during the period, plus the dilutive effects of stock options, restricted stock units (RSU) and restricted stock awards (RSA). Dilutive shares of common stock are determined by applying the treasury stock method.</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 considers all highly liquid investments with an original maturity of three months or less when purchased to be cash and cash equivalents. Cash and cash equivalents are recorded at cost, which approximates their fair value. As of December 31, 2021 and 2020, cash and cash equivalents consist primarily of checking and savings deposits. There were no cash equivalents as of December 31, 2021 and 2020.</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Accounts Receivable and Allowance for Doubtful Accounts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Accounts receivable, net consist of primarily billed and unbilled trade accounts receivable. Unbilled accounts receivable represents amounts recorded as royalty revenue which will be invoiced within a short period upon receipt of the royalty reports from the licensees. The Company records accounts receivable when it has an unconditional right to consideration. Trade accounts receivable are recorded at the invoiced amount. The Company maintains allowances for doubtful accounts to reduce its receivables to their estimated net realizable value. In general, the Company does not offer extended credit terms and also do not require any security or collateral to support its receivables. The Company performs ongoing credit evaluations of its customers and establishes allowances for potential credit losses by considering factors such as historical experience, credit quality, age of the accounts receivable balances, and current economic conditions that may affect a customer’s ability to pay. The Company’s allowance for doubtful accounts activity has historically not been significant. Probable losses are recorded in general and administrative expense in the consolidated statements of income (loss).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Account balances are written off against the allowance after all means of collection have been exhausted and the potential for recovery is considered remote.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Financial instruments that potentially subject us to concentration of credit risk consist of cash and accounts receivable. The Company maintains cash in checking and savings deposits. Management believes no significant concentration risk exists with respect to cash as in management’s judgment the banks that hold the Company’s cash are financially stable. The Company deposits cash with high-credit-quality financial institutions which, at times, may exceed federally insured amounts.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The Company’s accounts receivable are derived principally from revenue earned from customers located in Americas and Asia Pacific regions.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Accounts receivable from the Company’s major customers representing 10% or more of total accounts receivable was as follows:</w:t>
      </w:r>
    </w:p>
    <w:p>
      <w:pPr>
        <w:spacing w:after="0" w:line="174" w:lineRule="exact"/>
        <w:rPr>
          <w:sz w:val="20"/>
          <w:szCs w:val="20"/>
          <w:color w:val="auto"/>
        </w:rPr>
      </w:pPr>
    </w:p>
    <w:p>
      <w:pPr>
        <w:ind w:left="914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20320</wp:posOffset>
            </wp:positionV>
            <wp:extent cx="206184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61845" cy="69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2020</w:t>
            </w:r>
          </w:p>
        </w:tc>
      </w:tr>
      <w:tr>
        <w:trPr>
          <w:trHeight w:val="186"/>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Customer A</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9120" w:type="dxa"/>
            <w:vAlign w:val="bottom"/>
            <w:gridSpan w:val="2"/>
          </w:tcPr>
          <w:p>
            <w:pPr>
              <w:ind w:left="20"/>
              <w:spacing w:after="0"/>
              <w:rPr>
                <w:sz w:val="20"/>
                <w:szCs w:val="20"/>
                <w:color w:val="auto"/>
              </w:rPr>
            </w:pPr>
            <w:r>
              <w:rPr>
                <w:rFonts w:ascii="Arial" w:cs="Arial" w:eastAsia="Arial" w:hAnsi="Arial"/>
                <w:sz w:val="13"/>
                <w:szCs w:val="13"/>
                <w:color w:val="auto"/>
              </w:rPr>
              <w:t>Customer B</w:t>
            </w:r>
          </w:p>
        </w:tc>
        <w:tc>
          <w:tcPr>
            <w:tcW w:w="500" w:type="dxa"/>
            <w:vAlign w:val="bottom"/>
          </w:tcPr>
          <w:p>
            <w:pPr>
              <w:jc w:val="right"/>
              <w:spacing w:after="0"/>
              <w:rPr>
                <w:sz w:val="20"/>
                <w:szCs w:val="20"/>
                <w:color w:val="auto"/>
              </w:rPr>
            </w:pPr>
            <w:r>
              <w:rPr>
                <w:rFonts w:ascii="Arial" w:cs="Arial" w:eastAsia="Arial" w:hAnsi="Arial"/>
                <w:sz w:val="13"/>
                <w:szCs w:val="13"/>
                <w:color w:val="auto"/>
              </w:rPr>
              <w:t>21 %</w:t>
            </w: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20 %</w:t>
            </w:r>
          </w:p>
        </w:tc>
      </w:tr>
      <w:tr>
        <w:trPr>
          <w:trHeight w:val="203"/>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Customer C</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33 %</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w:t>
            </w:r>
          </w:p>
        </w:tc>
      </w:tr>
    </w:tbl>
    <w:p>
      <w:pPr>
        <w:spacing w:after="0" w:line="78" w:lineRule="exact"/>
        <w:rPr>
          <w:sz w:val="20"/>
          <w:szCs w:val="20"/>
          <w:color w:val="auto"/>
        </w:rPr>
      </w:pPr>
    </w:p>
    <w:p>
      <w:pPr>
        <w:ind w:left="420" w:hanging="160"/>
        <w:spacing w:after="0"/>
        <w:tabs>
          <w:tab w:leader="none" w:pos="420" w:val="left"/>
        </w:tabs>
        <w:numPr>
          <w:ilvl w:val="0"/>
          <w:numId w:val="36"/>
        </w:numPr>
        <w:rPr>
          <w:rFonts w:ascii="Arial" w:cs="Arial" w:eastAsia="Arial" w:hAnsi="Arial"/>
          <w:sz w:val="11"/>
          <w:szCs w:val="11"/>
          <w:color w:val="auto"/>
        </w:rPr>
      </w:pPr>
      <w:r>
        <w:rPr>
          <w:rFonts w:ascii="Arial" w:cs="Arial" w:eastAsia="Arial" w:hAnsi="Arial"/>
          <w:sz w:val="11"/>
          <w:szCs w:val="11"/>
          <w:color w:val="auto"/>
        </w:rPr>
        <w:t>Customer accounted for less than 10% of total accounts receivable at period end.</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Revenue from the Company’s major customers representing 10% or more of total revenue was as follows:</w:t>
      </w:r>
    </w:p>
    <w:p>
      <w:pPr>
        <w:spacing w:after="0" w:line="174" w:lineRule="exact"/>
        <w:rPr>
          <w:sz w:val="20"/>
          <w:szCs w:val="20"/>
          <w:color w:val="auto"/>
        </w:rPr>
      </w:pPr>
    </w:p>
    <w:p>
      <w:pPr>
        <w:ind w:left="896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20320</wp:posOffset>
            </wp:positionV>
            <wp:extent cx="206184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61845" cy="69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2020</w:t>
            </w:r>
          </w:p>
        </w:tc>
      </w:tr>
      <w:tr>
        <w:trPr>
          <w:trHeight w:val="186"/>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Customer C</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r>
      <w:tr>
        <w:trPr>
          <w:trHeight w:val="199"/>
        </w:trPr>
        <w:tc>
          <w:tcPr>
            <w:tcW w:w="9120" w:type="dxa"/>
            <w:vAlign w:val="bottom"/>
            <w:gridSpan w:val="2"/>
          </w:tcPr>
          <w:p>
            <w:pPr>
              <w:ind w:left="20"/>
              <w:spacing w:after="0"/>
              <w:rPr>
                <w:sz w:val="20"/>
                <w:szCs w:val="20"/>
                <w:color w:val="auto"/>
              </w:rPr>
            </w:pPr>
            <w:r>
              <w:rPr>
                <w:rFonts w:ascii="Arial" w:cs="Arial" w:eastAsia="Arial" w:hAnsi="Arial"/>
                <w:sz w:val="13"/>
                <w:szCs w:val="13"/>
                <w:color w:val="auto"/>
              </w:rPr>
              <w:t>Customer D</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25 %</w:t>
            </w:r>
          </w:p>
        </w:tc>
      </w:tr>
    </w:tbl>
    <w:p>
      <w:pPr>
        <w:spacing w:after="0" w:line="70" w:lineRule="exact"/>
        <w:rPr>
          <w:sz w:val="20"/>
          <w:szCs w:val="20"/>
          <w:color w:val="auto"/>
        </w:rPr>
      </w:pPr>
    </w:p>
    <w:p>
      <w:pPr>
        <w:ind w:left="420" w:hanging="160"/>
        <w:spacing w:after="0"/>
        <w:tabs>
          <w:tab w:leader="none" w:pos="420" w:val="left"/>
        </w:tabs>
        <w:numPr>
          <w:ilvl w:val="0"/>
          <w:numId w:val="37"/>
        </w:numPr>
        <w:rPr>
          <w:rFonts w:ascii="Arial" w:cs="Arial" w:eastAsia="Arial" w:hAnsi="Arial"/>
          <w:sz w:val="11"/>
          <w:szCs w:val="11"/>
          <w:color w:val="auto"/>
        </w:rPr>
      </w:pPr>
      <w:r>
        <w:rPr>
          <w:rFonts w:ascii="Arial" w:cs="Arial" w:eastAsia="Arial" w:hAnsi="Arial"/>
          <w:sz w:val="11"/>
          <w:szCs w:val="11"/>
          <w:color w:val="auto"/>
        </w:rPr>
        <w:t>Customer accounted for less than 10% of total revenue in the period.</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Property and equipment are stated at cost, less accumulated depreciation. Depreciation is recorded using the straight-line method over the estimated useful lives, generally ranging from one to seven years. Leasehold improvements are amortized over the shorter of the estimated useful life of the asset or the remaining lease term.</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Depreciation expenses are recorded in cost of revenue and operating expenses in the consolidated statements of loss. Upon retirement or sale, the cost of assets disposed of and the related accumulated depreciation are removed from the accounts and any resulting gain or loss is recorded as a component of operating expenses. Repairs and maintenance costs are expensed as incurred.</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evaluates the recoverability of property and equipment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comparing their carrying amounts to the future undiscounted cash flows the assets are expected to generate. If such review indicates that the carrying amount is not recoverable, the carrying amount of such assets is reduced to fair value. No impairment was recognized during the years ended December 31, 2021 and 2020.</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 allocates the purchase price to the tangible assets acquired, liabilities assumed, and intangible assets acquired based on their estimated fair values. The excess of the purchase price over the fair value of these identifiable assets and liabilities is recorded as goodwill. Such valuations require management to make significant estimates and assumptions, especially with respect to intangible assets. These estimates are based on information obtained from management of the acquired companies, the Company’s assessment of this information, and historical experience. Significant estimates in valuing certain intangible assets include, but are not limited to, future expected cash flows from acquired customers,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In addition, unanticipated events and circumstances may occur that may affect the accuracy or validity of such estimates, and if such events occur, the Company may be required to adjust the value allocated to acquired assets or assumed liabilities.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Company’s consolidated statements of income (loss). Acquisition costs, such as legal and consulting fees, are expensed as incurred.</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 and Intangible Assets</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Company performs its goodwill and other indefinite-lived intangible assets impairment tests annually or more frequently if events or changes in circumstances occur that would more likely than not reduce the fair value below its carrying value. For the years ended December 31, 2021 and 2020, the Company did not have any goodwill or other indefinite-lived intangible assets impairment.</w:t>
      </w:r>
    </w:p>
    <w:p>
      <w:pPr>
        <w:spacing w:after="0" w:line="265"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Acquired finite-lived intangible assets are amortized on a straight-line basis over the estimated useful lives of the assets, which range from five to eight years, unless the lives are determined to be indefinite. The Company routinely reviews the remaining estimated useful lives of finite-lived intangible assets. Amortization expenses are recorded in operating expenses on the consolidated statements of income (loss).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Issuance Costs</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Costs incurred in connection with the issuance of long-term debt have been recorded as a direct reduction against the debt and are amortized over the life of the associated debt as a component of interest and other income (expense), net using the effective interest method.</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 (ROU) and Lease Liabilities</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recognizes leases in accordance with Accounting Standard Codification (ASC) Topic 842, Leases, and subsequently issued additional related Accounting Standard Updates (ASU) (Topic 842).</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leases its offices at various locations under noncancelable operating lease agreements expiring at various dates through 2027. Under the terms of these agreements, the Company also bears the costs for certain insurance, property tax, and maintenance. The terms of certain lease agreements provide for increasing rental payments at fixed intervals.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At lease commencement, the Company measures and records a lease liability equal to the present value of the remaining lease payments, generally discounted using incremental borrowing rate as the implicit rate is not readily determinable on many of its leases. When determining the incremental borrowing rates, the Company considers information including, but not limited to, the lease term, the interest rates on its collateralized debt and incremental borrowing rates for its peer group.</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On the lease commencement date, the amount of the ROU assets consists of the following:</w:t>
      </w:r>
    </w:p>
    <w:p>
      <w:pPr>
        <w:spacing w:after="0" w:line="137" w:lineRule="exact"/>
        <w:rPr>
          <w:sz w:val="20"/>
          <w:szCs w:val="20"/>
          <w:color w:val="auto"/>
        </w:rPr>
      </w:pPr>
    </w:p>
    <w:p>
      <w:pPr>
        <w:ind w:left="640" w:hanging="253"/>
        <w:spacing w:after="0"/>
        <w:tabs>
          <w:tab w:leader="none" w:pos="6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amount of the initial measurement of the lease liability;</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lease payments made at or before the commencement date, minus any lease incentives received; and</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initial direct costs incurred.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assesses the option for lease extensions, renewals, or terminations on individual leases, and generally considers the base term to be the term of lease contracts, unless it is reasonably certain that the Company will exercise such options. Lease agreements may contain other variable costs such as common area maintenance, insurance, real estate taxes or other costs. Variable lease costs are expensed as incurred in the consolidated statements of income (loss). The Company does not include non-lease components with lease payments for the purpose of calculating lease right-of-use assets and lease liabilities. The lease agreements generally do not contain any residual guarantees or restrictive covenants.</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Operating leases are included in operating lease ROU assets, operating lease liabilities, current and operating lease liabilities, noncurrent in the consolidated balance sheets. Finance leases are included in property and equipment, accrued expenses and other current liabilities and other liabilities in the consolidated balance sheets.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The Company recognizes revenue in accordance with ASC Topic </w:t>
      </w:r>
      <w:r>
        <w:rPr>
          <w:rFonts w:ascii="Arial" w:cs="Arial" w:eastAsia="Arial" w:hAnsi="Arial"/>
          <w:sz w:val="13"/>
          <w:szCs w:val="13"/>
          <w:i w:val="1"/>
          <w:iCs w:val="1"/>
          <w:color w:val="auto"/>
        </w:rPr>
        <w:t>606, Revenue from Contracts with Customers,</w:t>
      </w:r>
      <w:r>
        <w:rPr>
          <w:rFonts w:ascii="Arial" w:cs="Arial" w:eastAsia="Arial" w:hAnsi="Arial"/>
          <w:sz w:val="13"/>
          <w:szCs w:val="13"/>
          <w:color w:val="auto"/>
        </w:rPr>
        <w:t xml:space="preserve"> and subsequently issued additional related </w:t>
      </w:r>
      <w:r>
        <w:rPr>
          <w:rFonts w:ascii="Arial" w:cs="Arial" w:eastAsia="Arial" w:hAnsi="Arial"/>
          <w:sz w:val="13"/>
          <w:szCs w:val="13"/>
          <w:i w:val="1"/>
          <w:iCs w:val="1"/>
          <w:color w:val="auto"/>
        </w:rPr>
        <w:t>ASUs (Topic 606).</w:t>
      </w:r>
      <w:r>
        <w:rPr>
          <w:rFonts w:ascii="Arial" w:cs="Arial" w:eastAsia="Arial" w:hAnsi="Arial"/>
          <w:sz w:val="13"/>
          <w:szCs w:val="13"/>
          <w:color w:val="auto"/>
        </w:rPr>
        <w:t xml:space="preserve"> The Company recognizes revenues as it transfers control of deliverables (software and services) to its customers in an amount reflecting the consideration to which it expects to be entitled. To recognize revenues,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revenues when a performance obligation is satisfied. The Company accounts for a contract when it has approval and commitment from all parties, the rights of the parties are identified, payment terms are identified, the contract has commercial substance and collectability of consideration is probable. The Company applies judgment in determining the customer’s ability and intention to pay based on a variety of factors including the customer’s historical payment experience.</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Nature of Products and Services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Company’s revenue is primarily derived from licensing intellectual property, licensing software, support and maintenance services, professional services, training services, and royalties.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Design Solutions</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Interconnect Solutions product arrangements provide customers the right to software licenses, services, software updates and technical support. The Company enters into licensing arrangements with customers that typically range from two to three years and generally consist of delivery of a design license that grants the customer the right to use the IP to design a contractually defined number of products and stand-ready support services that provide the customer a significant benefit from its proprietary software tool (RTL) as well as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support services, including access to application engineering support services and the benefits of the RTL, are integral and fundamental to the customer’s ability to derive its intended benefit from the IP. 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 FAEs provide assistance to the customer’s engineering team in translating their desired SoC architecture into inputs for NoC IP configuration, assistance in optimizing the NoC configuration, answer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the Company continues to provide technical support and software updates throughout the license term even if the customer does not renew these services in subsequent years, making the license term and support and maintenance term co-terminus.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Considering the nature of the combined design tool and assisting the Company’s customers in applying its IP technology in its customers’ development environment and the relative significance thereof, the Company has concluded that its Interconnect Solutions IP licensing arrangements are not distinct from its obligation to provide the application engineering support services and benefits of the RTL. The Interconnect Solutions IP, RTL, and the application engineering support services serve to fulfill its commitment to the customer, as they represent inputs to a single, combined performance obligation that commences upon the later of the arrangement effective date or transfer of the software license. The design license and the regular two-way interaction between the design tool, RTL, and the application engineering support services give the customer the intended benefit from the arrangement, which is the ability to commercialize their design. Customers cannot benefit from the design license on its own or together with other readily available resources as no other RTL or application engineer support service provides exists in the marketplace that a customer could use with the design license. Consequently, the RTL and application engineer support service cannot be used on its own or together with any other design license as the Company does not allow the use of the RTL or provide application engineer support services separately from the design license. Further, although technical support and software updates is a distinct performance obligation, it is accounted for as if it were part of a single performance obligation that includes the licenses, RTL and application engineer support services because the technical support and updates are provided in practice for the same period of time and have the same time-based pattern of transfer to the customer as the combined design license, RTL, and application support services.</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Revenues that are derived from the sale of a licensee’s products that incorporate the Company’s IP are classified as royalty revenues. Royalty revenues are recognized during the quarter in which the sale of the product incorporating the Company’s IP occurs. Royalties are calculated either as a percentage of the revenues received by a licensee’s sale of products incorporating the Company’s IP or on a per unit basis, as specified in the agreements with the licensees. For a majority of the Company’s royalty revenues, it receives the actual sales data from its customers after the quarter ends and accounts for it as unbilled receivables. When the Company does not receive actual sales data from the customer prior to the finalization of its financial statements, royalty revenues are recognized based on its estimation of the customer’s sales during the quarter.</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Deployment Solutions</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Deployment Solutions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Revenue allocated to the software license is recognized at a point in time upon the later of the delivery date or the beginning of the license period, and revenue allocated to support services is recognized ratably over the support term.</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 limited number of Deployment Solutions contracts include tokens, a mechanism used to both enable “peak” users to choose a combination of the software products on a monthly basis and restrict the number of users. The Company recognizes revenue related to these tokens at a point in time, upon delivery of monthly token license keys to the customer.</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Professional Services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Company’s agreements often include service elements (other than maintenance and support services). These services include training, design assistance, and consulting. Services performed on a time and materials basis are recognized over the period the services are provided either using an output method such as labor hours, or a method that is otherwise consistent with the way in which value is delivered to the customer. Services performed on a fixed price basis are recognized over time, generally using costs incurred or hours expended to measure progress.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Multiple Performance Obligations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which are estimated considering multiple factors including observable industry pricing practices and internal pricing strategies and objectives.. Standalone selling prices of software license are typically estimated using the residual approach. Standalone selling prices of professional services are typically estimated based on observable transactions when these services are sold on a standalone basis.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Transaction price</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Revenue is recognized when, or as, control of a promised product or service transfers to a client, in an amount that reflects the consideration to which the Company expects to be entitled in exchange for transferring those products or services. If the consideration promised in a contract includes a variable amount, the Company estimates the amount to which it expects to be entitled using either the expected value or most likely amount method, to the extent it is probable that a significant reversal of cumulative revenue recognized will not occur. Generally, the transaction price of the Company’s contracts is fixed at the inception of the contract, except for variable royalties. The Company’s contracts generally do not include terms that could cause variability in the transaction price.</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The Company assesses the timing of the transfer of goods or services to the customer as compared to the timing of payments to determine whether a significant financing component exists. As a practical expedient, the Company does not assess the existence of a significant financing component when the difference between payment and transfer of deliverables is a year or less. If the difference in timing arises for reasons other than the provision of finance to either the customer or the Company, no financing component is deemed to exist. When contracts involve a significant financing component, the Company adjusts the promised amount of consideration for the effects of the time value of money if the timing of payments agreed to by the parties to the contract (either explicitly or implicitly) provide the customer with a significant benefit of financing.</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The Company reports revenue net of any revenue-based taxes assessed by governmental authorities that are imposed on and concurrent with specific revenue-producing transactions.</w:t>
      </w:r>
    </w:p>
    <w:p>
      <w:pPr>
        <w:spacing w:after="0" w:line="13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 instances where foreign licensees withhold and remit taxes to local authorities in accordance with local laws and regulations, the Company recognizes and presents revenue on a gross basis, and includes the withholding tax in income tax expense.</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Flexible Spending Accounts</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Some customers enter into a non-cancelable flexible spending account agreements (FSA Agreements) whereby the customer commits to a fixed dollar amount over a specified period of time that can be used to purchase from a list of the Company’s products or services. These agreements do not meet the definition of a revenue contract until the customer executes a separate order to identify the required products and services that they are purchasing. The combination of the FSA agreement and the subsequent order creates enforceable rights and obligations, thus meeting the definition of a revenue contract. Each separate order under the agreement is treated as an individual contract and accounted for based on the respective performance obligations included within the FSA agreements.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Contract modifications</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The Company’s contracts may be modified to add, remove or change existing performance obligations. The accounting for modifications to the Company’s contracts involves assessing whether the products and services added to an existing contract are distinct and whether the pricing is at the standalone selling price. Products and services added that are not distinct are accounted for on a cumulative catch-up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 The Company’s more significant contract modifications include extensions of the design license term and the purchase of additional years of support and maintenance.</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Judgments</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Company’s contracts with customers often include promises to transfer multiple products and services to a customer. Determining whether products and services are considered distinct performance obligations that should be accounted for separately versus together requires significant judgment. Judgment is also required to determine the standalone selling price for each distinct performance obligation.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Contract Balances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timing of revenue recognition may differ from the timing of invoicing to customers, and these timing differences result in receivables (billed or unbilled), contract assets, or contract liabilities (deferred revenue) on the Company’s consolidated balance sheets. The Company records a contract asset when revenue is recognized prior to the right to invoice. The Company records deferred revenue when it invoices customers and revenue is not yet recognized. For time-based software agreements, customers are generally invoiced in single or annual amounts, although some customers are invoiced more frequently over time. The Company records an unbilled receivable when revenue is recognized and it has an unconditional right to invoice and receive payment.</w:t>
      </w:r>
    </w:p>
    <w:p>
      <w:pPr>
        <w:spacing w:after="0" w:line="27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capitalizes sales commission as costs of obtaining a contract when they are incremental and, if they are expected to be recovered, amortized in a manner consistent with the pattern of transfer of the good or service to which the asset relates.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Revenue</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Cost of Revenues relates to costs associated with the Company’s IP licensing arrangements, deployment solution software and support activities, including applicable personnel related costs, travel, and overhead.</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Research and development costs that do not meet the criteria for capitalization are expensed as incurred. Research and development costs consist primarily of compensation, stock-based compensation, and employee benefits of engineering and product development personnel, consulting services, and other direct expenses.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Software Development Costs</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Software development costs are capitalized beginning when a product’s technological feasibility has been established and ending when a product is available for general release to customers. Arteris has not capitalized any software development costs as of and for the years ended December 31, 2021 and 2020 as the period between establishing technological feasibility and general customer release has historically been short and therefore capitalizable costs have been insignificant.</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not capitalized any internal-use software development costs as these costs have historically been insignificant.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and Marketing</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Sales and marketing expenses consist of compensation and employee benefits of marketing and sales personnel and related support teams, and stock-based compensation, as well as travel, trade show sponsorships and events, conferences, and internet advertising costs. Advertising costs, included in sales and marketing expenses, are expensed as incurred. The Company incurred advertising costs of $0.4 million and $0.1 million for the years ended December 31, 2021 and 2020,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General and administrative expenses include executive and administrative compensation and employee benefits, depreciation, professional services fees, insurance costs, bad debt, other allocated costs, such as facility-related expenses, supplies, other fixed costs, and stock-based compensation.</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The Company measures equity classified stock-based awards, including stock options, RSUs, and RSAs granted to employees, directors, and non-employees based on the estimated fair values of the awards on the date of the grant. Stock-based compensation expense for awards with service-based vesting only is recognized on a straight-line basis over the requisite service period which is generally the vesting period of such awards, as a component of operating expenses within the consolidated statements of income (loss). For awards that include performance conditions stock-based compensation expense is recognized on a graded vesting basis over the requisite service period. Compensation expense is not recognized until the performance condition becomes probable. The Company accounts for forfeitures related to these awards as they occur.</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fair value of each stock option grant is estimated on the date of grant using the Black-Scholes option-pricing model. This valuation model for stock-based compensation expense requires the Company to make assumptions and judgments about the variables used in the calculation including the expected term, the volatility of the Company’s common stock, and an assumed risk-free interest rate. As a result, if the Company revises its assumptions and estimates, the Company’s stock-based compensation expense could change.</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RSUs and RSAs granted is measured as the fair value per share of the Company’s common stock on the date of grant.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Taxes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Company accounts for income taxes under the asset and liability method. Under this method, deferred taxes are determined based on the temporary differences between the financial statement and tax basis of assets and liabilities using tax rates expected to be in effect during the years in which the basis differences are expected to reverse. The effect of a change in tax rates on deferred tax assets and liabilities is recognized in income in the period that includes the enactment date. The Company provides for a valuation allowance when it is more likely than not that some portion, or all of its deferred tax assets will not be realized. In making such determination, the Company considers all available positive and negative evidence, including future reversals of existing taxable temporary differences, projected future taxable income, tax-planning strategies, and results of recent operations. As of December 31, 2021, the Company recorded a full valuation allowance against its U.S. federal, state, and certain foreign jurisdiction net deferred tax assets. As of December 31, 2020, the Company recorded a full valuation allowance against its U.S. federal and state deferred tax assets.</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$3.1 million and $2.5 million unrecognized tax benefits as of December 31, 2021 and 2020. The Company recognizes accrued interest and penalties related to unrecognized tax benefits as income tax expense. No amounts were accrued for the payment of interest and penalties as of December 31, 2021 and 2020. The Company is currently not aware of any issues under review that could result in significant payments, accruals or material deviation from its position.</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of financials instruments</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market or the most advantageous market in which it would transact.</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Company maximizes the use of observable inputs and minimizes the use of unobservable inputs when measuring fair value. Observable inputs are inputs that reflect the assumptions market participants would use in valuing the asset or liability and are developed based on market data obtained from sources independent of the Company. Unobservable inputs are inputs that reflect the Company’s own assumptions about the factors that market participants would use in valuing the asset or liability developed based on the best information available in the circumstances.</w:t>
      </w:r>
    </w:p>
    <w:p>
      <w:pPr>
        <w:spacing w:after="0" w:line="271"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standard establishes a fair value hierarchy based on the level of independent, objective evidence surrounding the inputs used to measure fair value by requiring that the most observable inputs be used when available. A financial instrument’s categorization within the fair value hierarchy is based upon the lowest level of input that is significant to the fair value measurement. The fair value hierarchy is as follows:</w:t>
      </w:r>
    </w:p>
    <w:p>
      <w:pPr>
        <w:spacing w:after="0" w:line="110" w:lineRule="exact"/>
        <w:rPr>
          <w:sz w:val="20"/>
          <w:szCs w:val="20"/>
          <w:color w:val="auto"/>
        </w:rPr>
      </w:pPr>
    </w:p>
    <w:p>
      <w:pPr>
        <w:ind w:left="640" w:hanging="253"/>
        <w:spacing w:after="0" w:line="274" w:lineRule="auto"/>
        <w:tabs>
          <w:tab w:leader="none" w:pos="647" w:val="left"/>
        </w:tabs>
        <w:numPr>
          <w:ilvl w:val="0"/>
          <w:numId w:val="39"/>
        </w:numPr>
        <w:rPr>
          <w:rFonts w:ascii="Arial" w:cs="Arial" w:eastAsia="Arial" w:hAnsi="Arial"/>
          <w:sz w:val="13"/>
          <w:szCs w:val="13"/>
          <w:color w:val="auto"/>
        </w:rPr>
      </w:pPr>
      <w:r>
        <w:rPr>
          <w:rFonts w:ascii="Arial" w:cs="Arial" w:eastAsia="Arial" w:hAnsi="Arial"/>
          <w:sz w:val="13"/>
          <w:szCs w:val="13"/>
          <w:color w:val="auto"/>
        </w:rPr>
        <w:t>Level 1 applies to assets or liabilities for which there are quoted prices in active markets for identical assets or liabilities that the Company has the ability to access at the measurement date.</w:t>
      </w:r>
    </w:p>
    <w:p>
      <w:pPr>
        <w:spacing w:after="0" w:line="19" w:lineRule="exact"/>
        <w:rPr>
          <w:rFonts w:ascii="Arial" w:cs="Arial" w:eastAsia="Arial" w:hAnsi="Arial"/>
          <w:sz w:val="13"/>
          <w:szCs w:val="13"/>
          <w:color w:val="auto"/>
        </w:rPr>
      </w:pPr>
    </w:p>
    <w:p>
      <w:pPr>
        <w:jc w:val="both"/>
        <w:ind w:left="640" w:hanging="253"/>
        <w:spacing w:after="0" w:line="265" w:lineRule="auto"/>
        <w:tabs>
          <w:tab w:leader="none" w:pos="636" w:val="left"/>
        </w:tabs>
        <w:numPr>
          <w:ilvl w:val="0"/>
          <w:numId w:val="39"/>
        </w:numPr>
        <w:rPr>
          <w:rFonts w:ascii="Arial" w:cs="Arial" w:eastAsia="Arial" w:hAnsi="Arial"/>
          <w:sz w:val="13"/>
          <w:szCs w:val="13"/>
          <w:color w:val="auto"/>
        </w:rPr>
      </w:pPr>
      <w:r>
        <w:rPr>
          <w:rFonts w:ascii="Arial" w:cs="Arial" w:eastAsia="Arial" w:hAnsi="Arial"/>
          <w:sz w:val="13"/>
          <w:szCs w:val="13"/>
          <w:color w:val="auto"/>
        </w:rPr>
        <w:t>Level 2 applies to assets or liabilities for which there are inputs other than quoted prices included in Level 1 that are observable for the asset or liability, either directly or indirectly, such as quoted prices for similar assets or liabilities in active markets; quoted prices for identical assets or liabilities in markets with insufficient volume or infrequent transactions (less active markets).</w:t>
      </w:r>
    </w:p>
    <w:p>
      <w:pPr>
        <w:spacing w:after="0" w:line="24" w:lineRule="exact"/>
        <w:rPr>
          <w:rFonts w:ascii="Arial" w:cs="Arial" w:eastAsia="Arial" w:hAnsi="Arial"/>
          <w:sz w:val="13"/>
          <w:szCs w:val="13"/>
          <w:color w:val="auto"/>
        </w:rPr>
      </w:pPr>
    </w:p>
    <w:p>
      <w:pPr>
        <w:ind w:left="640" w:hanging="253"/>
        <w:spacing w:after="0" w:line="274" w:lineRule="auto"/>
        <w:tabs>
          <w:tab w:leader="none" w:pos="636" w:val="left"/>
        </w:tabs>
        <w:numPr>
          <w:ilvl w:val="0"/>
          <w:numId w:val="39"/>
        </w:numPr>
        <w:rPr>
          <w:rFonts w:ascii="Arial" w:cs="Arial" w:eastAsia="Arial" w:hAnsi="Arial"/>
          <w:sz w:val="13"/>
          <w:szCs w:val="13"/>
          <w:color w:val="auto"/>
        </w:rPr>
      </w:pPr>
      <w:r>
        <w:rPr>
          <w:rFonts w:ascii="Arial" w:cs="Arial" w:eastAsia="Arial" w:hAnsi="Arial"/>
          <w:sz w:val="13"/>
          <w:szCs w:val="13"/>
          <w:color w:val="auto"/>
        </w:rPr>
        <w:t>Level 3 applies to assets or liabilities for which fair value is derived from valuation techniques in which one or more significant inputs are unobservable, including the Company’s own assumptions.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 determined the estimated fair value of financial instruments using available market information and valuation methodologies considered to be appropriate. The carrying amounts of the cash, accounts receivable and accounts payable approximate their fair values due to their short maturities. The Company’s investments are recorded at fair value and Term loan, Revolving line of credit, and Vendor financing arrangements are recorded at net carrying value.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Recently Adopted Accounting Pronouncements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In December 2019, the FASB issued ASU No. 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xml:space="preserve"> (ASU 2019-12), which simplifies the accounting for income taxes. This Update removes certain exceptions for performing intraperiod tax allocations, recognizing deferred taxes for investments, and calculating income taxes in interim periods. The guidance also simplifies the accounting for franchise taxes, transactions that result in a step-up in the tax basis of goodwill, and the effect of enacted changes in tax laws or rates in interim periods. The Company adopted ASU 2019-12 on January 1, 2021 and the adoption had no material impact on the Company’s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Recently Issued Accounting Pronouncements Not Yet Adopted</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 xml:space="preserve">In June 2016, the FASB issued ASU No. 2016-13, </w:t>
      </w:r>
      <w:r>
        <w:rPr>
          <w:rFonts w:ascii="Arial" w:cs="Arial" w:eastAsia="Arial" w:hAnsi="Arial"/>
          <w:sz w:val="13"/>
          <w:szCs w:val="13"/>
          <w:i w:val="1"/>
          <w:iCs w:val="1"/>
          <w:color w:val="auto"/>
        </w:rPr>
        <w:t>Financial Instruments-Credit Losses (Topic 326): Measurement of Credit Losses on Financial Instruments</w:t>
      </w:r>
      <w:r>
        <w:rPr>
          <w:rFonts w:ascii="Arial" w:cs="Arial" w:eastAsia="Arial" w:hAnsi="Arial"/>
          <w:sz w:val="13"/>
          <w:szCs w:val="13"/>
          <w:color w:val="auto"/>
        </w:rPr>
        <w:t xml:space="preserve"> and in </w:t>
      </w:r>
      <w:r>
        <w:rPr>
          <w:rFonts w:ascii="Arial" w:cs="Arial" w:eastAsia="Arial" w:hAnsi="Arial"/>
          <w:sz w:val="13"/>
          <w:szCs w:val="13"/>
          <w:i w:val="1"/>
          <w:iCs w:val="1"/>
          <w:color w:val="auto"/>
        </w:rPr>
        <w:t>May</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2019 </w:t>
      </w:r>
      <w:r>
        <w:rPr>
          <w:rFonts w:ascii="Arial" w:cs="Arial" w:eastAsia="Arial" w:hAnsi="Arial"/>
          <w:sz w:val="13"/>
          <w:szCs w:val="13"/>
          <w:color w:val="auto"/>
        </w:rPr>
        <w:t>issued ASU</w:t>
      </w:r>
      <w:r>
        <w:rPr>
          <w:rFonts w:ascii="Arial" w:cs="Arial" w:eastAsia="Arial" w:hAnsi="Arial"/>
          <w:sz w:val="13"/>
          <w:szCs w:val="13"/>
          <w:i w:val="1"/>
          <w:iCs w:val="1"/>
          <w:color w:val="auto"/>
        </w:rPr>
        <w:t xml:space="preserve"> No. 2019</w:t>
      </w:r>
      <w:r>
        <w:rPr>
          <w:rFonts w:ascii="Arial" w:cs="Arial" w:eastAsia="Arial" w:hAnsi="Arial"/>
          <w:sz w:val="13"/>
          <w:szCs w:val="13"/>
          <w:color w:val="auto"/>
        </w:rPr>
        <w:t>-</w:t>
      </w:r>
      <w:r>
        <w:rPr>
          <w:rFonts w:ascii="Arial" w:cs="Arial" w:eastAsia="Arial" w:hAnsi="Arial"/>
          <w:sz w:val="13"/>
          <w:szCs w:val="13"/>
          <w:i w:val="1"/>
          <w:iCs w:val="1"/>
          <w:color w:val="auto"/>
        </w:rPr>
        <w:t xml:space="preserve">05, Credit Losses (Topic 326): Targeted Transition Relief </w:t>
      </w:r>
      <w:r>
        <w:rPr>
          <w:rFonts w:ascii="Arial" w:cs="Arial" w:eastAsia="Arial" w:hAnsi="Arial"/>
          <w:sz w:val="13"/>
          <w:szCs w:val="13"/>
          <w:color w:val="auto"/>
        </w:rPr>
        <w:t>(collectively referred to as Topic</w:t>
      </w:r>
      <w:r>
        <w:rPr>
          <w:rFonts w:ascii="Arial" w:cs="Arial" w:eastAsia="Arial" w:hAnsi="Arial"/>
          <w:sz w:val="13"/>
          <w:szCs w:val="13"/>
          <w:i w:val="1"/>
          <w:iCs w:val="1"/>
          <w:color w:val="auto"/>
        </w:rPr>
        <w:t xml:space="preserve"> 326</w:t>
      </w:r>
      <w:r>
        <w:rPr>
          <w:rFonts w:ascii="Arial" w:cs="Arial" w:eastAsia="Arial" w:hAnsi="Arial"/>
          <w:sz w:val="13"/>
          <w:szCs w:val="13"/>
          <w:color w:val="auto"/>
        </w:rPr>
        <w:t>), which requires the measurement and recognition of expected</w:t>
      </w:r>
      <w:r>
        <w:rPr>
          <w:rFonts w:ascii="Arial" w:cs="Arial" w:eastAsia="Arial" w:hAnsi="Arial"/>
          <w:sz w:val="13"/>
          <w:szCs w:val="13"/>
          <w:i w:val="1"/>
          <w:iCs w:val="1"/>
          <w:color w:val="auto"/>
        </w:rPr>
        <w:t xml:space="preserve"> </w:t>
      </w:r>
      <w:r>
        <w:rPr>
          <w:rFonts w:ascii="Arial" w:cs="Arial" w:eastAsia="Arial" w:hAnsi="Arial"/>
          <w:sz w:val="13"/>
          <w:szCs w:val="13"/>
          <w:color w:val="auto"/>
        </w:rPr>
        <w:t>credit losses for financial assets held at amortized cost. Topic 326 replaces the existing incurred loss impairment model with a forward-looking expected credit loss model which will result in earlier recognition of credit losses. Topic 326 is effective for the Company for fiscal years beginning after December 15, 2022, and interim periods within those fiscal years. The Company does not expect the adoption of this guidance to have a material impact on its consolidated financial statements and related disclosures.</w:t>
      </w:r>
    </w:p>
    <w:p>
      <w:pPr>
        <w:spacing w:after="0" w:line="98"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In October 2021, the FASB issued ASU No. 2021-08, </w:t>
      </w:r>
      <w:r>
        <w:rPr>
          <w:rFonts w:ascii="Arial" w:cs="Arial" w:eastAsia="Arial" w:hAnsi="Arial"/>
          <w:sz w:val="13"/>
          <w:szCs w:val="13"/>
          <w:i w:val="1"/>
          <w:iCs w:val="1"/>
          <w:color w:val="auto"/>
        </w:rPr>
        <w:t>Business Combinations (Topic 805): Accounting for Contract Assets and Contract Liabilities from Contracts with Customers.</w:t>
      </w:r>
      <w:r>
        <w:rPr>
          <w:rFonts w:ascii="Arial" w:cs="Arial" w:eastAsia="Arial" w:hAnsi="Arial"/>
          <w:sz w:val="13"/>
          <w:szCs w:val="13"/>
          <w:color w:val="auto"/>
        </w:rPr>
        <w:t xml:space="preserve"> This standard requires contract assets and contract liabilities acquired in a business combination to be recognized in accordance with Topic 606 as if the acquirer had originated the contracts. The guidance is effective for fiscal years beginning after December 15, 2022, including interim periods within those years and early adoption is permitted. The Company is currently evaluating the impact that the standard will have on its consolidated financial statements and related disclosures.</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REVENUE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Disaggregated Revenue</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revenue by product and services groups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20" w:type="dxa"/>
            <w:vAlign w:val="bottom"/>
          </w:tcPr>
          <w:p>
            <w:pPr>
              <w:spacing w:after="0"/>
              <w:rPr>
                <w:sz w:val="13"/>
                <w:szCs w:val="13"/>
                <w:color w:val="auto"/>
              </w:rPr>
            </w:pPr>
          </w:p>
        </w:tc>
        <w:tc>
          <w:tcPr>
            <w:tcW w:w="25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Licensing, support and maintenance</w:t>
            </w: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34,731</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27,408</w:t>
            </w:r>
          </w:p>
        </w:tc>
        <w:tc>
          <w:tcPr>
            <w:tcW w:w="0" w:type="dxa"/>
            <w:vAlign w:val="bottom"/>
          </w:tcPr>
          <w:p>
            <w:pPr>
              <w:spacing w:after="0"/>
              <w:rPr>
                <w:sz w:val="1"/>
                <w:szCs w:val="1"/>
                <w:color w:val="auto"/>
              </w:rPr>
            </w:pPr>
          </w:p>
        </w:tc>
      </w:tr>
      <w:tr>
        <w:trPr>
          <w:trHeight w:val="200"/>
        </w:trPr>
        <w:tc>
          <w:tcPr>
            <w:tcW w:w="8220" w:type="dxa"/>
            <w:vAlign w:val="bottom"/>
          </w:tcPr>
          <w:p>
            <w:pPr>
              <w:ind w:left="20"/>
              <w:spacing w:after="0"/>
              <w:rPr>
                <w:sz w:val="20"/>
                <w:szCs w:val="20"/>
                <w:color w:val="auto"/>
              </w:rPr>
            </w:pPr>
            <w:r>
              <w:rPr>
                <w:rFonts w:ascii="Arial" w:cs="Arial" w:eastAsia="Arial" w:hAnsi="Arial"/>
                <w:sz w:val="13"/>
                <w:szCs w:val="13"/>
                <w:color w:val="auto"/>
              </w:rPr>
              <w:t>Variable royalties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2,647</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3,470</w:t>
            </w:r>
          </w:p>
        </w:tc>
        <w:tc>
          <w:tcPr>
            <w:tcW w:w="0" w:type="dxa"/>
            <w:vAlign w:val="bottom"/>
          </w:tcPr>
          <w:p>
            <w:pPr>
              <w:spacing w:after="0"/>
              <w:rPr>
                <w:sz w:val="1"/>
                <w:szCs w:val="1"/>
                <w:color w:val="auto"/>
              </w:rPr>
            </w:pP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934</w:t>
            </w:r>
          </w:p>
        </w:tc>
        <w:tc>
          <w:tcPr>
            <w:tcW w:w="0" w:type="dxa"/>
            <w:vAlign w:val="bottom"/>
          </w:tcPr>
          <w:p>
            <w:pPr>
              <w:spacing w:after="0"/>
              <w:rPr>
                <w:sz w:val="1"/>
                <w:szCs w:val="1"/>
                <w:color w:val="auto"/>
              </w:rPr>
            </w:pPr>
          </w:p>
        </w:tc>
      </w:tr>
      <w:tr>
        <w:trPr>
          <w:trHeight w:val="158"/>
        </w:trPr>
        <w:tc>
          <w:tcPr>
            <w:tcW w:w="8220" w:type="dxa"/>
            <w:vAlign w:val="bottom"/>
          </w:tcPr>
          <w:p>
            <w:pPr>
              <w:ind w:left="100"/>
              <w:spacing w:after="0"/>
              <w:rPr>
                <w:sz w:val="20"/>
                <w:szCs w:val="20"/>
                <w:color w:val="auto"/>
              </w:rPr>
            </w:pPr>
            <w:r>
              <w:rPr>
                <w:rFonts w:ascii="Arial" w:cs="Arial" w:eastAsia="Arial" w:hAnsi="Arial"/>
                <w:sz w:val="13"/>
                <w:szCs w:val="13"/>
                <w:color w:val="auto"/>
              </w:rPr>
              <w:t>Total</w:t>
            </w:r>
          </w:p>
        </w:tc>
        <w:tc>
          <w:tcPr>
            <w:tcW w:w="920" w:type="dxa"/>
            <w:vAlign w:val="bottom"/>
            <w:tcBorders>
              <w:bottom w:val="single" w:sz="8" w:color="auto"/>
            </w:tcBorders>
          </w:tcPr>
          <w:p>
            <w:pPr>
              <w:jc w:val="right"/>
              <w:ind w:right="75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37,864</w:t>
            </w: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31,812</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3"/>
                <w:szCs w:val="13"/>
                <w:i w:val="1"/>
                <w:iCs w:val="1"/>
                <w:color w:val="auto"/>
              </w:rPr>
              <w:t>Contract Balances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82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220" w:type="dxa"/>
            <w:vAlign w:val="bottom"/>
          </w:tcPr>
          <w:p>
            <w:pPr>
              <w:spacing w:after="0"/>
              <w:rPr>
                <w:sz w:val="20"/>
                <w:szCs w:val="20"/>
                <w:color w:val="auto"/>
              </w:rPr>
            </w:pPr>
            <w:r>
              <w:rPr>
                <w:rFonts w:ascii="Arial" w:cs="Arial" w:eastAsia="Arial" w:hAnsi="Arial"/>
                <w:sz w:val="13"/>
                <w:szCs w:val="13"/>
                <w:color w:val="auto"/>
              </w:rPr>
              <w:t>The following table provides information about accounts receivable, contract assets and deferred revenue (in thousands):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1"/>
                <w:szCs w:val="11"/>
                <w:b w:val="1"/>
                <w:bCs w:val="1"/>
                <w:color w:val="auto"/>
              </w:rPr>
              <w:t>As of December 31,</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receivable—net</w:t>
            </w: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13,873</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14,350</w:t>
            </w:r>
          </w:p>
        </w:tc>
        <w:tc>
          <w:tcPr>
            <w:tcW w:w="0" w:type="dxa"/>
            <w:vAlign w:val="bottom"/>
          </w:tcPr>
          <w:p>
            <w:pPr>
              <w:spacing w:after="0"/>
              <w:rPr>
                <w:sz w:val="1"/>
                <w:szCs w:val="1"/>
                <w:color w:val="auto"/>
              </w:rPr>
            </w:pPr>
          </w:p>
        </w:tc>
      </w:tr>
      <w:tr>
        <w:trPr>
          <w:trHeight w:val="200"/>
        </w:trPr>
        <w:tc>
          <w:tcPr>
            <w:tcW w:w="8220" w:type="dxa"/>
            <w:vAlign w:val="bottom"/>
          </w:tcPr>
          <w:p>
            <w:pPr>
              <w:ind w:left="20"/>
              <w:spacing w:after="0"/>
              <w:rPr>
                <w:sz w:val="20"/>
                <w:szCs w:val="20"/>
                <w:color w:val="auto"/>
              </w:rPr>
            </w:pPr>
            <w:r>
              <w:rPr>
                <w:rFonts w:ascii="Arial" w:cs="Arial" w:eastAsia="Arial" w:hAnsi="Arial"/>
                <w:sz w:val="13"/>
                <w:szCs w:val="13"/>
                <w:color w:val="auto"/>
              </w:rPr>
              <w:t>Contract assets</w:t>
            </w:r>
          </w:p>
        </w:tc>
        <w:tc>
          <w:tcPr>
            <w:tcW w:w="920" w:type="dxa"/>
            <w:vAlign w:val="bottom"/>
          </w:tcPr>
          <w:p>
            <w:pPr>
              <w:jc w:val="right"/>
              <w:ind w:right="75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1,486</w:t>
            </w:r>
          </w:p>
        </w:tc>
        <w:tc>
          <w:tcPr>
            <w:tcW w:w="80" w:type="dxa"/>
            <w:vAlign w:val="bottom"/>
          </w:tcPr>
          <w:p>
            <w:pPr>
              <w:spacing w:after="0"/>
              <w:rPr>
                <w:sz w:val="17"/>
                <w:szCs w:val="17"/>
                <w:color w:val="auto"/>
              </w:rPr>
            </w:pP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1,359</w:t>
            </w:r>
          </w:p>
        </w:tc>
        <w:tc>
          <w:tcPr>
            <w:tcW w:w="0" w:type="dxa"/>
            <w:vAlign w:val="bottom"/>
          </w:tcPr>
          <w:p>
            <w:pPr>
              <w:spacing w:after="0"/>
              <w:rPr>
                <w:sz w:val="1"/>
                <w:szCs w:val="1"/>
                <w:color w:val="auto"/>
              </w:rPr>
            </w:pP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revenue</w:t>
            </w: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(49,176)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(32,908)</w:t>
            </w:r>
          </w:p>
        </w:tc>
        <w:tc>
          <w:tcPr>
            <w:tcW w:w="0" w:type="dxa"/>
            <w:vAlign w:val="bottom"/>
          </w:tcPr>
          <w:p>
            <w:pPr>
              <w:spacing w:after="0"/>
              <w:rPr>
                <w:sz w:val="1"/>
                <w:szCs w:val="1"/>
                <w:color w:val="auto"/>
              </w:rPr>
            </w:pPr>
          </w:p>
        </w:tc>
      </w:tr>
      <w:tr>
        <w:trPr>
          <w:trHeight w:val="706"/>
        </w:trPr>
        <w:tc>
          <w:tcPr>
            <w:tcW w:w="8220" w:type="dxa"/>
            <w:vAlign w:val="bottom"/>
          </w:tcPr>
          <w:p>
            <w:pPr>
              <w:ind w:left="5580"/>
              <w:spacing w:after="0"/>
              <w:rPr>
                <w:sz w:val="20"/>
                <w:szCs w:val="20"/>
                <w:color w:val="auto"/>
              </w:rPr>
            </w:pPr>
            <w:r>
              <w:rPr>
                <w:rFonts w:ascii="Arial" w:cs="Arial" w:eastAsia="Arial" w:hAnsi="Arial"/>
                <w:sz w:val="13"/>
                <w:szCs w:val="13"/>
                <w:color w:val="auto"/>
              </w:rPr>
              <w:t>93</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During the years ended December 31, 2021 and 2020, the Company recognized revenue of $19.1 million and $15.7 million, respectively, that was included in the deferred revenue balance at the beginning of the fiscal year.</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Contracted but unsatisfied performance obligations were $49.3 million and $37.6 million at the end of fiscal years 2021 and 2020, respectively, and include unearned revenue and non-cancelable FSA commitments from customers where actual product selection and quantities of specific products are to be determined by customers at a future period. FSA commitments amounted to $0.2 million and $4.7 million at the end of fiscal years 2021 and 2020, respectively. The Company has elected to exclude the potential future royalty receipts from the remaining performance obligations. The contracted but unsatisfied or partially unsatisfied performance obligations, excluding non-cancelable FSA, expected to be recognized in revenue over the next 12 months at the end of fiscal year 2021 are $29.7 million, with the remainder recognized thereafter.</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is a roll forward of contract balances as of December 31, 2021 and 2020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As of December 31,</w:t>
            </w:r>
          </w:p>
        </w:tc>
        <w:tc>
          <w:tcPr>
            <w:tcW w:w="94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2020</w:t>
            </w: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revenue licensing, support and maintenance—beginning balance</w:t>
            </w:r>
          </w:p>
        </w:tc>
        <w:tc>
          <w:tcPr>
            <w:tcW w:w="92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32,908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center"/>
              <w:ind w:left="355"/>
              <w:spacing w:after="0"/>
              <w:rPr>
                <w:sz w:val="20"/>
                <w:szCs w:val="20"/>
                <w:color w:val="auto"/>
              </w:rPr>
            </w:pPr>
            <w:r>
              <w:rPr>
                <w:rFonts w:ascii="Arial" w:cs="Arial" w:eastAsia="Arial" w:hAnsi="Arial"/>
                <w:sz w:val="13"/>
                <w:szCs w:val="13"/>
                <w:color w:val="auto"/>
              </w:rPr>
              <w:t>23,116</w:t>
            </w:r>
          </w:p>
        </w:tc>
      </w:tr>
      <w:tr>
        <w:trPr>
          <w:trHeight w:val="200"/>
        </w:trPr>
        <w:tc>
          <w:tcPr>
            <w:tcW w:w="8220" w:type="dxa"/>
            <w:vAlign w:val="bottom"/>
          </w:tcPr>
          <w:p>
            <w:pPr>
              <w:ind w:left="20"/>
              <w:spacing w:after="0"/>
              <w:rPr>
                <w:sz w:val="20"/>
                <w:szCs w:val="20"/>
                <w:color w:val="auto"/>
              </w:rPr>
            </w:pPr>
            <w:r>
              <w:rPr>
                <w:rFonts w:ascii="Arial" w:cs="Arial" w:eastAsia="Arial" w:hAnsi="Arial"/>
                <w:sz w:val="13"/>
                <w:szCs w:val="13"/>
                <w:color w:val="auto"/>
              </w:rPr>
              <w:t>Additions</w:t>
            </w:r>
          </w:p>
        </w:tc>
        <w:tc>
          <w:tcPr>
            <w:tcW w:w="920" w:type="dxa"/>
            <w:vAlign w:val="bottom"/>
          </w:tcPr>
          <w:p>
            <w:pPr>
              <w:spacing w:after="0"/>
              <w:rPr>
                <w:sz w:val="17"/>
                <w:szCs w:val="17"/>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51,485</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center"/>
              <w:ind w:left="355"/>
              <w:spacing w:after="0"/>
              <w:rPr>
                <w:sz w:val="20"/>
                <w:szCs w:val="20"/>
                <w:color w:val="auto"/>
              </w:rPr>
            </w:pPr>
            <w:r>
              <w:rPr>
                <w:rFonts w:ascii="Arial" w:cs="Arial" w:eastAsia="Arial" w:hAnsi="Arial"/>
                <w:sz w:val="13"/>
                <w:szCs w:val="13"/>
                <w:color w:val="auto"/>
              </w:rPr>
              <w:t>37,200</w:t>
            </w: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 recognized</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(35,217)</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ind w:left="335"/>
              <w:spacing w:after="0"/>
              <w:rPr>
                <w:sz w:val="20"/>
                <w:szCs w:val="20"/>
                <w:color w:val="auto"/>
              </w:rPr>
            </w:pPr>
            <w:r>
              <w:rPr>
                <w:rFonts w:ascii="Arial" w:cs="Arial" w:eastAsia="Arial" w:hAnsi="Arial"/>
                <w:sz w:val="13"/>
                <w:szCs w:val="13"/>
                <w:color w:val="auto"/>
              </w:rPr>
              <w:t>(27,408)</w:t>
            </w:r>
          </w:p>
        </w:tc>
      </w:tr>
      <w:tr>
        <w:trPr>
          <w:trHeight w:val="159"/>
        </w:trPr>
        <w:tc>
          <w:tcPr>
            <w:tcW w:w="8220" w:type="dxa"/>
            <w:vAlign w:val="bottom"/>
          </w:tcPr>
          <w:p>
            <w:pPr>
              <w:ind w:left="20"/>
              <w:spacing w:after="0"/>
              <w:rPr>
                <w:sz w:val="20"/>
                <w:szCs w:val="20"/>
                <w:color w:val="auto"/>
              </w:rPr>
            </w:pPr>
            <w:r>
              <w:rPr>
                <w:rFonts w:ascii="Arial" w:cs="Arial" w:eastAsia="Arial" w:hAnsi="Arial"/>
                <w:sz w:val="13"/>
                <w:szCs w:val="13"/>
                <w:color w:val="auto"/>
              </w:rPr>
              <w:t>Deferred revenue licensing, support and maintenance—ending balance</w:t>
            </w:r>
          </w:p>
        </w:tc>
        <w:tc>
          <w:tcPr>
            <w:tcW w:w="92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49,176</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center"/>
              <w:ind w:left="355"/>
              <w:spacing w:after="0"/>
              <w:rPr>
                <w:sz w:val="20"/>
                <w:szCs w:val="20"/>
                <w:color w:val="auto"/>
              </w:rPr>
            </w:pPr>
            <w:r>
              <w:rPr>
                <w:rFonts w:ascii="Arial" w:cs="Arial" w:eastAsia="Arial" w:hAnsi="Arial"/>
                <w:sz w:val="13"/>
                <w:szCs w:val="13"/>
                <w:color w:val="auto"/>
              </w:rPr>
              <w:t>32,908</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During fiscal years 2021 and 2020, the Company recognized $2.6 million and $3.5 million, respectively, from performance obligations satisfied from sales-based royalties earned during the periods.</w:t>
      </w: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Costs of Obtaining a Contract with a Customer</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Incremental costs of obtaining a contract with a customer consist primarily of direct sales commissions incurred upon execution of the contract. These costs are required to be capitalized under ASC 340-40, </w:t>
      </w:r>
      <w:r>
        <w:rPr>
          <w:rFonts w:ascii="Arial" w:cs="Arial" w:eastAsia="Arial" w:hAnsi="Arial"/>
          <w:sz w:val="13"/>
          <w:szCs w:val="13"/>
          <w:i w:val="1"/>
          <w:iCs w:val="1"/>
          <w:color w:val="auto"/>
        </w:rPr>
        <w:t>Other Assets and Deferred Costs—Contracts With Customers</w:t>
      </w:r>
      <w:r>
        <w:rPr>
          <w:rFonts w:ascii="Arial" w:cs="Arial" w:eastAsia="Arial" w:hAnsi="Arial"/>
          <w:sz w:val="13"/>
          <w:szCs w:val="13"/>
          <w:color w:val="auto"/>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December 31,</w:t>
            </w:r>
          </w:p>
        </w:tc>
        <w:tc>
          <w:tcPr>
            <w:tcW w:w="94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2020</w:t>
            </w: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commission capitalized in prepaid expenses and other current assets</w:t>
            </w:r>
          </w:p>
        </w:tc>
        <w:tc>
          <w:tcPr>
            <w:tcW w:w="94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w:t>
            </w:r>
          </w:p>
        </w:tc>
      </w:tr>
      <w:tr>
        <w:trPr>
          <w:trHeight w:val="20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Long-term commission capitalized in other assets</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1,719</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1,479</w:t>
            </w:r>
          </w:p>
        </w:tc>
      </w:tr>
      <w:tr>
        <w:trPr>
          <w:trHeight w:val="185"/>
        </w:trPr>
        <w:tc>
          <w:tcPr>
            <w:tcW w:w="8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94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4,008</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Amortization of capitalized sales commissions were $2.3 million and $2.2 million during fiscal 2021 and 2020, respectively, and are included in sales and marketing expense in the consolidated statements of loss.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NET LOSS PER SHARE</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calculation of basic and diluted net loss per share attributable to common stockholders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1"/>
                <w:szCs w:val="11"/>
                <w:b w:val="1"/>
                <w:bCs w:val="1"/>
                <w:color w:val="auto"/>
              </w:rPr>
              <w:t>Year Ended December 31,</w:t>
            </w:r>
          </w:p>
        </w:tc>
      </w:tr>
      <w:tr>
        <w:trPr>
          <w:trHeight w:val="139"/>
        </w:trPr>
        <w:tc>
          <w:tcPr>
            <w:tcW w:w="4580" w:type="dxa"/>
            <w:vAlign w:val="bottom"/>
            <w:tcBorders>
              <w:bottom w:val="single" w:sz="8" w:color="CCEEFF"/>
            </w:tcBorders>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2020</w:t>
            </w:r>
          </w:p>
        </w:tc>
      </w:tr>
      <w:tr>
        <w:trPr>
          <w:trHeight w:val="16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Numerator:</w:t>
            </w:r>
          </w:p>
        </w:tc>
        <w:tc>
          <w:tcPr>
            <w:tcW w:w="36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200"/>
        </w:trPr>
        <w:tc>
          <w:tcPr>
            <w:tcW w:w="4580" w:type="dxa"/>
            <w:vAlign w:val="bottom"/>
          </w:tcPr>
          <w:p>
            <w:pPr>
              <w:ind w:left="140"/>
              <w:spacing w:after="0"/>
              <w:rPr>
                <w:sz w:val="20"/>
                <w:szCs w:val="20"/>
                <w:color w:val="auto"/>
              </w:rPr>
            </w:pPr>
            <w:r>
              <w:rPr>
                <w:rFonts w:ascii="Arial" w:cs="Arial" w:eastAsia="Arial" w:hAnsi="Arial"/>
                <w:sz w:val="13"/>
                <w:szCs w:val="13"/>
                <w:color w:val="auto"/>
              </w:rPr>
              <w:t>Net loss</w:t>
            </w:r>
          </w:p>
        </w:tc>
        <w:tc>
          <w:tcPr>
            <w:tcW w:w="4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(23,384)</w:t>
            </w:r>
          </w:p>
        </w:tc>
        <w:tc>
          <w:tcPr>
            <w:tcW w:w="80" w:type="dxa"/>
            <w:vAlign w:val="bottom"/>
          </w:tcPr>
          <w:p>
            <w:pPr>
              <w:spacing w:after="0"/>
              <w:rPr>
                <w:sz w:val="17"/>
                <w:szCs w:val="17"/>
                <w:color w:val="auto"/>
              </w:rPr>
            </w:pP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(3,260)</w:t>
            </w:r>
          </w:p>
        </w:tc>
      </w:tr>
      <w:tr>
        <w:trPr>
          <w:trHeight w:val="18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Denominator:</w:t>
            </w:r>
          </w:p>
        </w:tc>
        <w:tc>
          <w:tcPr>
            <w:tcW w:w="36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00"/>
        </w:trPr>
        <w:tc>
          <w:tcPr>
            <w:tcW w:w="4580" w:type="dxa"/>
            <w:vAlign w:val="bottom"/>
          </w:tcPr>
          <w:p>
            <w:pPr>
              <w:ind w:left="140"/>
              <w:spacing w:after="0"/>
              <w:rPr>
                <w:sz w:val="20"/>
                <w:szCs w:val="20"/>
                <w:color w:val="auto"/>
              </w:rPr>
            </w:pPr>
            <w:r>
              <w:rPr>
                <w:rFonts w:ascii="Arial" w:cs="Arial" w:eastAsia="Arial" w:hAnsi="Arial"/>
                <w:sz w:val="13"/>
                <w:szCs w:val="13"/>
                <w:color w:val="auto"/>
              </w:rPr>
              <w:t>Weighted-average shares outstanding—Basic and diluted</w:t>
            </w: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21,972,101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17,577,846</w:t>
            </w:r>
          </w:p>
        </w:tc>
      </w:tr>
      <w:tr>
        <w:trPr>
          <w:trHeight w:val="203"/>
        </w:trPr>
        <w:tc>
          <w:tcPr>
            <w:tcW w:w="458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9"/>
        </w:trPr>
        <w:tc>
          <w:tcPr>
            <w:tcW w:w="4580" w:type="dxa"/>
            <w:vAlign w:val="bottom"/>
          </w:tcPr>
          <w:p>
            <w:pPr>
              <w:ind w:left="20"/>
              <w:spacing w:after="0"/>
              <w:rPr>
                <w:sz w:val="20"/>
                <w:szCs w:val="20"/>
                <w:color w:val="auto"/>
              </w:rPr>
            </w:pPr>
            <w:r>
              <w:rPr>
                <w:rFonts w:ascii="Arial" w:cs="Arial" w:eastAsia="Arial" w:hAnsi="Arial"/>
                <w:sz w:val="13"/>
                <w:szCs w:val="13"/>
                <w:color w:val="auto"/>
              </w:rPr>
              <w:t>Net loss per share, basic and diluted</w:t>
            </w:r>
          </w:p>
        </w:tc>
        <w:tc>
          <w:tcPr>
            <w:tcW w:w="4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7"/>
                <w:szCs w:val="17"/>
                <w:color w:val="auto"/>
              </w:rPr>
            </w:pP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(0.19)</w:t>
            </w:r>
          </w:p>
        </w:tc>
      </w:tr>
      <w:tr>
        <w:trPr>
          <w:trHeight w:val="719"/>
        </w:trPr>
        <w:tc>
          <w:tcPr>
            <w:tcW w:w="4580" w:type="dxa"/>
            <w:vAlign w:val="bottom"/>
          </w:tcPr>
          <w:p>
            <w:pPr>
              <w:spacing w:after="0"/>
              <w:rPr>
                <w:sz w:val="24"/>
                <w:szCs w:val="24"/>
                <w:color w:val="auto"/>
              </w:rPr>
            </w:pPr>
          </w:p>
        </w:tc>
        <w:tc>
          <w:tcPr>
            <w:tcW w:w="3640" w:type="dxa"/>
            <w:vAlign w:val="bottom"/>
          </w:tcPr>
          <w:p>
            <w:pPr>
              <w:jc w:val="right"/>
              <w:ind w:right="2434"/>
              <w:spacing w:after="0"/>
              <w:rPr>
                <w:sz w:val="20"/>
                <w:szCs w:val="20"/>
                <w:color w:val="auto"/>
              </w:rPr>
            </w:pPr>
            <w:r>
              <w:rPr>
                <w:rFonts w:ascii="Arial" w:cs="Arial" w:eastAsia="Arial" w:hAnsi="Arial"/>
                <w:sz w:val="13"/>
                <w:szCs w:val="13"/>
                <w:color w:val="auto"/>
              </w:rPr>
              <w:t>94</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0"/>
        </w:trPr>
        <w:tc>
          <w:tcPr>
            <w:tcW w:w="4580" w:type="dxa"/>
            <w:vAlign w:val="bottom"/>
            <w:tcBorders>
              <w:bottom w:val="single" w:sz="8" w:color="9A9A9A"/>
            </w:tcBorders>
          </w:tcPr>
          <w:p>
            <w:pPr>
              <w:spacing w:after="0"/>
              <w:rPr>
                <w:sz w:val="6"/>
                <w:szCs w:val="6"/>
                <w:color w:val="auto"/>
              </w:rPr>
            </w:pPr>
          </w:p>
        </w:tc>
        <w:tc>
          <w:tcPr>
            <w:tcW w:w="36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Since the Company was in a loss position for the years ended December 31, 2021 and 2020, the diluted earnings per share is equal to the basic earnings per share as the effect of potentially dilutive securities would have been antidilutive.</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potentially dilutive securities that were excluded from the calculation of diluted earnings per share because they would be anti-dilutive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20" w:type="dxa"/>
            <w:vAlign w:val="bottom"/>
          </w:tcPr>
          <w:p>
            <w:pPr>
              <w:spacing w:after="0"/>
              <w:rPr>
                <w:sz w:val="13"/>
                <w:szCs w:val="13"/>
                <w:color w:val="auto"/>
              </w:rPr>
            </w:pPr>
          </w:p>
        </w:tc>
        <w:tc>
          <w:tcPr>
            <w:tcW w:w="2120" w:type="dxa"/>
            <w:vAlign w:val="bottom"/>
            <w:tcBorders>
              <w:bottom w:val="single" w:sz="8" w:color="auto"/>
            </w:tcBorders>
            <w:gridSpan w:val="3"/>
          </w:tcPr>
          <w:p>
            <w:pPr>
              <w:ind w:left="1020"/>
              <w:spacing w:after="0"/>
              <w:rPr>
                <w:sz w:val="20"/>
                <w:szCs w:val="20"/>
                <w:color w:val="auto"/>
              </w:rPr>
            </w:pPr>
            <w:r>
              <w:rPr>
                <w:rFonts w:ascii="Arial" w:cs="Arial" w:eastAsia="Arial" w:hAnsi="Arial"/>
                <w:sz w:val="11"/>
                <w:szCs w:val="11"/>
                <w:b w:val="1"/>
                <w:bCs w:val="1"/>
                <w:color w:val="auto"/>
              </w:rPr>
              <w:t>As of December 31,</w:t>
            </w:r>
          </w:p>
        </w:tc>
        <w:tc>
          <w:tcPr>
            <w:tcW w:w="94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2020</w:t>
            </w: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5,407,170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7,073,584</w:t>
            </w:r>
          </w:p>
        </w:tc>
      </w:tr>
      <w:tr>
        <w:trPr>
          <w:trHeight w:val="200"/>
        </w:trPr>
        <w:tc>
          <w:tcPr>
            <w:tcW w:w="8220" w:type="dxa"/>
            <w:vAlign w:val="bottom"/>
          </w:tcPr>
          <w:p>
            <w:pPr>
              <w:ind w:left="20"/>
              <w:spacing w:after="0"/>
              <w:rPr>
                <w:sz w:val="20"/>
                <w:szCs w:val="20"/>
                <w:color w:val="auto"/>
              </w:rPr>
            </w:pPr>
            <w:r>
              <w:rPr>
                <w:rFonts w:ascii="Arial" w:cs="Arial" w:eastAsia="Arial" w:hAnsi="Arial"/>
                <w:sz w:val="13"/>
                <w:szCs w:val="13"/>
                <w:color w:val="auto"/>
              </w:rPr>
              <w:t>Restricted stock units</w:t>
            </w:r>
          </w:p>
        </w:tc>
        <w:tc>
          <w:tcPr>
            <w:tcW w:w="1500" w:type="dxa"/>
            <w:vAlign w:val="bottom"/>
          </w:tcPr>
          <w:p>
            <w:pPr>
              <w:jc w:val="right"/>
              <w:spacing w:after="0"/>
              <w:rPr>
                <w:sz w:val="20"/>
                <w:szCs w:val="20"/>
                <w:color w:val="auto"/>
              </w:rPr>
            </w:pPr>
            <w:r>
              <w:rPr>
                <w:rFonts w:ascii="Arial" w:cs="Arial" w:eastAsia="Arial" w:hAnsi="Arial"/>
                <w:sz w:val="13"/>
                <w:szCs w:val="13"/>
                <w:color w:val="auto"/>
              </w:rPr>
              <w:t>3,925,097</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843,095</w:t>
            </w: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Redeemable convertible preferred stock</w:t>
            </w:r>
          </w:p>
        </w:tc>
        <w:tc>
          <w:tcPr>
            <w:tcW w:w="2120" w:type="dxa"/>
            <w:vAlign w:val="bottom"/>
            <w:gridSpan w:val="3"/>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4,471,316</w:t>
            </w:r>
          </w:p>
        </w:tc>
      </w:tr>
      <w:tr>
        <w:trPr>
          <w:trHeight w:val="159"/>
        </w:trPr>
        <w:tc>
          <w:tcPr>
            <w:tcW w:w="8220" w:type="dxa"/>
            <w:vAlign w:val="bottom"/>
          </w:tcPr>
          <w:p>
            <w:pPr>
              <w:ind w:left="100"/>
              <w:spacing w:after="0"/>
              <w:rPr>
                <w:sz w:val="20"/>
                <w:szCs w:val="20"/>
                <w:color w:val="auto"/>
              </w:rPr>
            </w:pPr>
            <w:r>
              <w:rPr>
                <w:rFonts w:ascii="Arial" w:cs="Arial" w:eastAsia="Arial" w:hAnsi="Arial"/>
                <w:sz w:val="13"/>
                <w:szCs w:val="13"/>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9,332,267</w:t>
            </w: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12,387,995</w:t>
            </w:r>
          </w:p>
        </w:tc>
      </w:tr>
      <w:tr>
        <w:trPr>
          <w:trHeight w:val="20"/>
        </w:trPr>
        <w:tc>
          <w:tcPr>
            <w:tcW w:w="8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MEASUREMENTS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Assets Measured and Recorded at Fair Value on a Non-Recurring Basis</w:t>
      </w:r>
    </w:p>
    <w:p>
      <w:pPr>
        <w:spacing w:after="0" w:line="151"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Certain non-financial assets, such as intangible assets and property, plant and equipment, are remeasured at fair value only if an impairment or observable price adjustment is recognized in the current period.</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Financial Instruments Not Recorded at Fair Value</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Financial instruments not recorded at fair value include the term loan and vendor financing arrangements. The carrying value of the vendor financing agreements was $1.1 million as of December 31, 2021. The term loan was fully repaid in November 2021. The aggregate carrying value of the term loan and vendor financing agreements was $1.9 million as of December 31, 2020. The Company’s borrowings under its term loan facility and vendor financing arrangements are classified within Level 2 because these borrowings are not actively traded and have a variable interest rate structure based upon market rates currently available to the Company for debt with similar terms and maturities. The estimated fair values of these financial instruments approximate their carrying values.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INTANGIBLE ASSETS AND GOODWILL</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Intangible assets, net</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Intangible assets, net consisted of the following as of December 31, 2021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Gross Fair Value</w:t>
            </w:r>
          </w:p>
        </w:tc>
        <w:tc>
          <w:tcPr>
            <w:tcW w:w="8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40"/>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3"/>
                <w:szCs w:val="13"/>
                <w:color w:val="auto"/>
              </w:rPr>
            </w:pPr>
          </w:p>
        </w:tc>
        <w:tc>
          <w:tcPr>
            <w:tcW w:w="130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Net Book Value</w:t>
            </w:r>
          </w:p>
        </w:tc>
        <w:tc>
          <w:tcPr>
            <w:tcW w:w="0" w:type="dxa"/>
            <w:vAlign w:val="bottom"/>
          </w:tcPr>
          <w:p>
            <w:pPr>
              <w:spacing w:after="0"/>
              <w:rPr>
                <w:sz w:val="1"/>
                <w:szCs w:val="1"/>
                <w:color w:val="auto"/>
              </w:rPr>
            </w:pPr>
          </w:p>
        </w:tc>
      </w:tr>
      <w:tr>
        <w:trPr>
          <w:trHeight w:val="169"/>
        </w:trPr>
        <w:tc>
          <w:tcPr>
            <w:tcW w:w="348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Amortization</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w:t>
            </w:r>
          </w:p>
        </w:tc>
        <w:tc>
          <w:tcPr>
            <w:tcW w:w="3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w:t>
            </w:r>
          </w:p>
        </w:tc>
        <w:tc>
          <w:tcPr>
            <w:tcW w:w="0" w:type="dxa"/>
            <w:vAlign w:val="bottom"/>
          </w:tcPr>
          <w:p>
            <w:pPr>
              <w:spacing w:after="0"/>
              <w:rPr>
                <w:sz w:val="1"/>
                <w:szCs w:val="1"/>
                <w:color w:val="auto"/>
              </w:rPr>
            </w:pPr>
          </w:p>
        </w:tc>
      </w:tr>
      <w:tr>
        <w:trPr>
          <w:trHeight w:val="201"/>
        </w:trPr>
        <w:tc>
          <w:tcPr>
            <w:tcW w:w="348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IPR&amp;D</w:t>
            </w:r>
          </w:p>
        </w:tc>
        <w:tc>
          <w:tcPr>
            <w:tcW w:w="3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1"/>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Trade name and other</w:t>
            </w:r>
          </w:p>
        </w:tc>
        <w:tc>
          <w:tcPr>
            <w:tcW w:w="3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intangibles</w:t>
            </w:r>
          </w:p>
        </w:tc>
        <w:tc>
          <w:tcPr>
            <w:tcW w:w="3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872"/>
              <w:spacing w:after="0"/>
              <w:rPr>
                <w:sz w:val="20"/>
                <w:szCs w:val="20"/>
                <w:color w:val="auto"/>
              </w:rPr>
            </w:pPr>
            <w:r>
              <w:rPr>
                <w:rFonts w:ascii="Arial" w:cs="Arial" w:eastAsia="Arial" w:hAnsi="Arial"/>
                <w:sz w:val="13"/>
                <w:szCs w:val="13"/>
                <w:color w:val="auto"/>
              </w:rPr>
              <w:t>95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4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480" w:type="dxa"/>
            <w:vAlign w:val="bottom"/>
            <w:tcBorders>
              <w:bottom w:val="single" w:sz="8" w:color="9A9A9A"/>
            </w:tcBorders>
          </w:tcPr>
          <w:p>
            <w:pPr>
              <w:spacing w:after="0"/>
              <w:rPr>
                <w:sz w:val="6"/>
                <w:szCs w:val="6"/>
                <w:color w:val="auto"/>
              </w:rPr>
            </w:pPr>
          </w:p>
        </w:tc>
        <w:tc>
          <w:tcPr>
            <w:tcW w:w="31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Intangible assets, net consisted of the following as of December 31, 2020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Gross Fair Value</w:t>
            </w:r>
          </w:p>
        </w:tc>
        <w:tc>
          <w:tcPr>
            <w:tcW w:w="11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Accumulated</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Net Book Value</w:t>
            </w:r>
          </w:p>
        </w:tc>
        <w:tc>
          <w:tcPr>
            <w:tcW w:w="0" w:type="dxa"/>
            <w:vAlign w:val="bottom"/>
          </w:tcPr>
          <w:p>
            <w:pPr>
              <w:spacing w:after="0"/>
              <w:rPr>
                <w:sz w:val="1"/>
                <w:szCs w:val="1"/>
                <w:color w:val="auto"/>
              </w:rPr>
            </w:pPr>
          </w:p>
        </w:tc>
      </w:tr>
      <w:tr>
        <w:trPr>
          <w:trHeight w:val="169"/>
        </w:trPr>
        <w:tc>
          <w:tcPr>
            <w:tcW w:w="6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vMerge w:val="continue"/>
          </w:tcPr>
          <w:p>
            <w:pPr>
              <w:spacing w:after="0"/>
              <w:rPr>
                <w:sz w:val="14"/>
                <w:szCs w:val="14"/>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Amortization</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52"/>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201"/>
        </w:trPr>
        <w:tc>
          <w:tcPr>
            <w:tcW w:w="666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1,100</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IPR&amp;D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1"/>
        </w:trPr>
        <w:tc>
          <w:tcPr>
            <w:tcW w:w="6660" w:type="dxa"/>
            <w:vAlign w:val="bottom"/>
          </w:tcPr>
          <w:p>
            <w:pPr>
              <w:ind w:left="20"/>
              <w:spacing w:after="0"/>
              <w:rPr>
                <w:sz w:val="20"/>
                <w:szCs w:val="20"/>
                <w:color w:val="auto"/>
              </w:rPr>
            </w:pPr>
            <w:r>
              <w:rPr>
                <w:rFonts w:ascii="Arial" w:cs="Arial" w:eastAsia="Arial" w:hAnsi="Arial"/>
                <w:sz w:val="13"/>
                <w:szCs w:val="13"/>
                <w:color w:val="auto"/>
              </w:rPr>
              <w:t>Trade name</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96"/>
        </w:trPr>
        <w:tc>
          <w:tcPr>
            <w:tcW w:w="66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intangibles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400" w:type="dxa"/>
            <w:vAlign w:val="bottom"/>
            <w:gridSpan w:val="6"/>
          </w:tcPr>
          <w:p>
            <w:pPr>
              <w:spacing w:after="0"/>
              <w:rPr>
                <w:sz w:val="20"/>
                <w:szCs w:val="20"/>
                <w:color w:val="auto"/>
              </w:rPr>
            </w:pPr>
            <w:r>
              <w:rPr>
                <w:rFonts w:ascii="Arial" w:cs="Arial" w:eastAsia="Arial" w:hAnsi="Arial"/>
                <w:sz w:val="13"/>
                <w:szCs w:val="13"/>
                <w:color w:val="auto"/>
              </w:rPr>
              <w:t>Amortization expense of intangible assets was $0.5 million and less than $0.1 million for the years ended December 31, 2021 and 2020, respectively.</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220" w:type="dxa"/>
            <w:vAlign w:val="bottom"/>
            <w:gridSpan w:val="4"/>
          </w:tcPr>
          <w:p>
            <w:pPr>
              <w:spacing w:after="0"/>
              <w:rPr>
                <w:sz w:val="20"/>
                <w:szCs w:val="20"/>
                <w:color w:val="auto"/>
              </w:rPr>
            </w:pPr>
            <w:r>
              <w:rPr>
                <w:rFonts w:ascii="Arial" w:cs="Arial" w:eastAsia="Arial" w:hAnsi="Arial"/>
                <w:sz w:val="13"/>
                <w:szCs w:val="13"/>
                <w:color w:val="auto"/>
              </w:rPr>
              <w:t>The expected future amortization expense of these intangible assets as of December 31, 2021 is as follows (in thousands)</w:t>
            </w: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2023</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2025</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 and thereafter</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1"/>
        </w:trPr>
        <w:tc>
          <w:tcPr>
            <w:tcW w:w="6660" w:type="dxa"/>
            <w:vAlign w:val="bottom"/>
          </w:tcPr>
          <w:p>
            <w:pPr>
              <w:ind w:left="100"/>
              <w:spacing w:after="0"/>
              <w:rPr>
                <w:sz w:val="20"/>
                <w:szCs w:val="20"/>
                <w:color w:val="auto"/>
              </w:rPr>
            </w:pPr>
            <w:r>
              <w:rPr>
                <w:rFonts w:ascii="Arial" w:cs="Arial" w:eastAsia="Arial" w:hAnsi="Arial"/>
                <w:sz w:val="14"/>
                <w:szCs w:val="14"/>
                <w:color w:val="auto"/>
              </w:rPr>
              <w:t>Total future amortization expense</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2,283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2021 and 2020, goodwill was $2.7 million. No goodwill impairments were recorded during the years ended December 31,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BALANCE SHEET COMPONENTS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Accounts Receivable, net</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represents the components of accounts receivable, net,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December 31,</w:t>
            </w:r>
          </w:p>
        </w:tc>
        <w:tc>
          <w:tcPr>
            <w:tcW w:w="94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2020</w:t>
            </w: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w:t>
            </w:r>
          </w:p>
        </w:tc>
        <w:tc>
          <w:tcPr>
            <w:tcW w:w="94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13,674</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13,927</w:t>
            </w:r>
          </w:p>
        </w:tc>
      </w:tr>
      <w:tr>
        <w:trPr>
          <w:trHeight w:val="20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Unbilled accounts receivable</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812</w:t>
            </w:r>
          </w:p>
        </w:tc>
      </w:tr>
      <w:tr>
        <w:trPr>
          <w:trHeight w:val="183"/>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accounts receivable</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14,183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14,739</w:t>
            </w:r>
          </w:p>
        </w:tc>
      </w:tr>
      <w:tr>
        <w:trPr>
          <w:trHeight w:val="20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allowance for doubtful accounts and allowance for foreign withholding tax</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w:t>
            </w:r>
          </w:p>
        </w:tc>
      </w:tr>
      <w:tr>
        <w:trPr>
          <w:trHeight w:val="185"/>
        </w:trPr>
        <w:tc>
          <w:tcPr>
            <w:tcW w:w="8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accounts receivable, net</w:t>
            </w:r>
          </w:p>
        </w:tc>
        <w:tc>
          <w:tcPr>
            <w:tcW w:w="94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13,873</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14,350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20"/>
        <w:spacing w:after="0" w:line="274" w:lineRule="auto"/>
        <w:rPr>
          <w:sz w:val="20"/>
          <w:szCs w:val="20"/>
          <w:color w:val="auto"/>
        </w:rPr>
      </w:pPr>
      <w:r>
        <w:rPr>
          <w:rFonts w:ascii="Arial" w:cs="Arial" w:eastAsia="Arial" w:hAnsi="Arial"/>
          <w:sz w:val="13"/>
          <w:szCs w:val="13"/>
          <w:color w:val="auto"/>
        </w:rPr>
        <w:t>The allowance for doubtful accounts was $0.3 million as of both December 31, 2021 and 2020. The allowance for foreign withholding tax was nil and $0.1 million as of December 31, 2021 and 2020, respectively.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Prepaid Expenses and Other Current Assets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Prepaid expenses and other current assets consisted of the following (in thousands):</w:t>
      </w:r>
    </w:p>
    <w:p>
      <w:pPr>
        <w:spacing w:after="0" w:line="174" w:lineRule="exact"/>
        <w:rPr>
          <w:sz w:val="20"/>
          <w:szCs w:val="20"/>
          <w:color w:val="auto"/>
        </w:rPr>
      </w:pPr>
    </w:p>
    <w:p>
      <w:pPr>
        <w:jc w:val="center"/>
        <w:ind w:left="820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20320</wp:posOffset>
            </wp:positionV>
            <wp:extent cx="194056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34" w:lineRule="exact"/>
        <w:rPr>
          <w:sz w:val="20"/>
          <w:szCs w:val="20"/>
          <w:color w:val="auto"/>
        </w:rPr>
      </w:pPr>
    </w:p>
    <w:p>
      <w:pPr>
        <w:jc w:val="both"/>
        <w:ind w:left="8840"/>
        <w:spacing w:after="0"/>
        <w:tabs>
          <w:tab w:leader="none" w:pos="10400" w:val="left"/>
        </w:tabs>
        <w:rPr>
          <w:sz w:val="20"/>
          <w:szCs w:val="20"/>
          <w:color w:val="auto"/>
        </w:rPr>
      </w:pPr>
      <w:r>
        <w:rPr>
          <w:rFonts w:ascii="Arial" w:cs="Arial" w:eastAsia="Arial" w:hAnsi="Arial"/>
          <w:sz w:val="11"/>
          <w:szCs w:val="11"/>
          <w:b w:val="1"/>
          <w:bCs w:val="1"/>
          <w:color w:val="auto"/>
        </w:rPr>
        <w:t>2021</w:t>
      </w:r>
      <w:r>
        <w:rPr>
          <w:sz w:val="20"/>
          <w:szCs w:val="20"/>
          <w:color w:val="auto"/>
        </w:rPr>
        <w:tab/>
      </w:r>
      <w:r>
        <w:rPr>
          <w:rFonts w:ascii="Arial" w:cs="Arial" w:eastAsia="Arial" w:hAnsi="Arial"/>
          <w:sz w:val="11"/>
          <w:szCs w:val="11"/>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61530" cy="1282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Research tax credit</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Capitalized commissions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61530" cy="1282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Contract assets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Software &amp;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61530" cy="128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3"/>
          <w:szCs w:val="13"/>
          <w:color w:val="auto"/>
        </w:rPr>
        <w:t>Total prepaid expenses and other current assets</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Property and Equipment, net</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Property and equipment consisted of the following (in thousands):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2,828</w:t>
            </w:r>
          </w:p>
        </w:tc>
        <w:tc>
          <w:tcPr>
            <w:tcW w:w="80" w:type="dxa"/>
            <w:vAlign w:val="bottom"/>
          </w:tcPr>
          <w:p>
            <w:pPr>
              <w:spacing w:after="0"/>
              <w:rPr>
                <w:sz w:val="14"/>
                <w:szCs w:val="14"/>
                <w:color w:val="auto"/>
              </w:rPr>
            </w:pPr>
          </w:p>
        </w:tc>
        <w:tc>
          <w:tcPr>
            <w:tcW w:w="580" w:type="dxa"/>
            <w:vAlign w:val="bottom"/>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523</w:t>
            </w:r>
          </w:p>
        </w:tc>
      </w:tr>
      <w:tr>
        <w:trPr>
          <w:trHeight w:val="202"/>
        </w:trPr>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2,289</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1,079</w:t>
            </w:r>
          </w:p>
        </w:tc>
      </w:tr>
      <w:tr>
        <w:trPr>
          <w:trHeight w:val="202"/>
        </w:trPr>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634</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551</w:t>
            </w:r>
          </w:p>
        </w:tc>
      </w:tr>
      <w:tr>
        <w:trPr>
          <w:trHeight w:val="202"/>
        </w:trPr>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388</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158</w:t>
            </w:r>
          </w:p>
        </w:tc>
      </w:tr>
      <w:tr>
        <w:trPr>
          <w:trHeight w:val="203"/>
        </w:trPr>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810</w:t>
            </w: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w:t>
            </w:r>
          </w:p>
        </w:tc>
      </w:tr>
      <w:tr>
        <w:trPr>
          <w:trHeight w:val="160"/>
        </w:trPr>
        <w:tc>
          <w:tcPr>
            <w:tcW w:w="60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6,949</w:t>
            </w: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2,858</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194056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34" w:lineRule="exact"/>
        <w:rPr>
          <w:sz w:val="20"/>
          <w:szCs w:val="20"/>
          <w:color w:val="auto"/>
        </w:rPr>
      </w:pPr>
    </w:p>
    <w:p>
      <w:pPr>
        <w:ind w:left="620"/>
        <w:spacing w:after="0"/>
        <w:tabs>
          <w:tab w:leader="none" w:pos="2180" w:val="left"/>
        </w:tabs>
        <w:rPr>
          <w:sz w:val="20"/>
          <w:szCs w:val="20"/>
          <w:color w:val="auto"/>
        </w:rPr>
      </w:pPr>
      <w:r>
        <w:rPr>
          <w:rFonts w:ascii="Arial" w:cs="Arial" w:eastAsia="Arial" w:hAnsi="Arial"/>
          <w:sz w:val="11"/>
          <w:szCs w:val="11"/>
          <w:b w:val="1"/>
          <w:bCs w:val="1"/>
          <w:color w:val="auto"/>
        </w:rPr>
        <w:t>2021</w:t>
      </w:r>
      <w:r>
        <w:rPr>
          <w:sz w:val="20"/>
          <w:szCs w:val="20"/>
          <w:color w:val="auto"/>
        </w:rPr>
        <w:tab/>
      </w:r>
      <w:r>
        <w:rPr>
          <w:rFonts w:ascii="Arial" w:cs="Arial" w:eastAsia="Arial" w:hAnsi="Arial"/>
          <w:sz w:val="11"/>
          <w:szCs w:val="11"/>
          <w:b w:val="1"/>
          <w:bCs w:val="1"/>
          <w:color w:val="auto"/>
        </w:rPr>
        <w:t>2020</w:t>
      </w:r>
    </w:p>
    <w:p>
      <w:pPr>
        <w:spacing w:after="0" w:line="24" w:lineRule="exact"/>
        <w:rPr>
          <w:sz w:val="20"/>
          <w:szCs w:val="20"/>
          <w:color w:val="auto"/>
        </w:rPr>
      </w:pPr>
    </w:p>
    <w:p>
      <w:pPr>
        <w:sectPr>
          <w:pgSz w:w="11900" w:h="16838" w:orient="portrait"/>
          <w:cols w:equalWidth="0" w:num="2">
            <w:col w:w="7500" w:space="720"/>
            <w:col w:w="306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Software and technology equipment</w:t>
            </w:r>
          </w:p>
        </w:tc>
        <w:tc>
          <w:tcPr>
            <w:tcW w:w="580" w:type="dxa"/>
            <w:vAlign w:val="bottom"/>
            <w:tcBorders>
              <w:top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4,067</w:t>
            </w: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3,209</w:t>
            </w:r>
          </w:p>
        </w:tc>
      </w:tr>
      <w:tr>
        <w:trPr>
          <w:trHeight w:val="200"/>
        </w:trPr>
        <w:tc>
          <w:tcPr>
            <w:tcW w:w="8220" w:type="dxa"/>
            <w:vAlign w:val="bottom"/>
          </w:tcPr>
          <w:p>
            <w:pPr>
              <w:ind w:left="20"/>
              <w:spacing w:after="0"/>
              <w:rPr>
                <w:sz w:val="20"/>
                <w:szCs w:val="20"/>
                <w:color w:val="auto"/>
              </w:rPr>
            </w:pPr>
            <w:r>
              <w:rPr>
                <w:rFonts w:ascii="Arial" w:cs="Arial" w:eastAsia="Arial" w:hAnsi="Arial"/>
                <w:sz w:val="13"/>
                <w:szCs w:val="13"/>
                <w:color w:val="auto"/>
              </w:rPr>
              <w:t>Office furniture and hardware equipment</w:t>
            </w: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271</w:t>
            </w: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Leasehold improvements</w:t>
            </w: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200"/>
        </w:trPr>
        <w:tc>
          <w:tcPr>
            <w:tcW w:w="8220" w:type="dxa"/>
            <w:vAlign w:val="bottom"/>
          </w:tcPr>
          <w:p>
            <w:pPr>
              <w:ind w:left="20"/>
              <w:spacing w:after="0"/>
              <w:rPr>
                <w:sz w:val="20"/>
                <w:szCs w:val="20"/>
                <w:color w:val="auto"/>
              </w:rPr>
            </w:pPr>
            <w:r>
              <w:rPr>
                <w:rFonts w:ascii="Arial" w:cs="Arial" w:eastAsia="Arial" w:hAnsi="Arial"/>
                <w:sz w:val="13"/>
                <w:szCs w:val="13"/>
                <w:color w:val="auto"/>
              </w:rPr>
              <w:t>Vehicles</w:t>
            </w: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lease right-of-use assets</w:t>
            </w:r>
          </w:p>
        </w:tc>
        <w:tc>
          <w:tcPr>
            <w:tcW w:w="5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80"/>
        </w:trPr>
        <w:tc>
          <w:tcPr>
            <w:tcW w:w="8220" w:type="dxa"/>
            <w:vAlign w:val="bottom"/>
          </w:tcPr>
          <w:p>
            <w:pPr>
              <w:ind w:left="20"/>
              <w:spacing w:after="0"/>
              <w:rPr>
                <w:sz w:val="20"/>
                <w:szCs w:val="20"/>
                <w:color w:val="auto"/>
              </w:rPr>
            </w:pPr>
            <w:r>
              <w:rPr>
                <w:rFonts w:ascii="Arial" w:cs="Arial" w:eastAsia="Arial" w:hAnsi="Arial"/>
                <w:sz w:val="13"/>
                <w:szCs w:val="13"/>
                <w:color w:val="auto"/>
              </w:rPr>
              <w:t>Total property and equipment</w:t>
            </w: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4,674</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3,594</w:t>
            </w: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accumulated depreciation and amortization</w:t>
            </w:r>
          </w:p>
        </w:tc>
        <w:tc>
          <w:tcPr>
            <w:tcW w:w="5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(2,236)</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(1,229)</w:t>
            </w:r>
          </w:p>
        </w:tc>
      </w:tr>
      <w:tr>
        <w:trPr>
          <w:trHeight w:val="159"/>
        </w:trPr>
        <w:tc>
          <w:tcPr>
            <w:tcW w:w="8220" w:type="dxa"/>
            <w:vAlign w:val="bottom"/>
          </w:tcPr>
          <w:p>
            <w:pPr>
              <w:ind w:left="100"/>
              <w:spacing w:after="0"/>
              <w:rPr>
                <w:sz w:val="20"/>
                <w:szCs w:val="20"/>
                <w:color w:val="auto"/>
              </w:rPr>
            </w:pPr>
            <w:r>
              <w:rPr>
                <w:rFonts w:ascii="Arial" w:cs="Arial" w:eastAsia="Arial" w:hAnsi="Arial"/>
                <w:sz w:val="13"/>
                <w:szCs w:val="13"/>
                <w:color w:val="auto"/>
              </w:rPr>
              <w:t>Total property and equipment—net</w:t>
            </w:r>
          </w:p>
        </w:tc>
        <w:tc>
          <w:tcPr>
            <w:tcW w:w="58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2,438</w:t>
            </w: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2,365</w:t>
            </w:r>
          </w:p>
        </w:tc>
      </w:tr>
      <w:tr>
        <w:trPr>
          <w:trHeight w:val="20"/>
        </w:trPr>
        <w:tc>
          <w:tcPr>
            <w:tcW w:w="8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Depreciation and amortization expenses related to property and equipment for the years ended December 31, 2021 and 2020, was $1.0 million and $0.9 million,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Assets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Other assets consisted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December 31,</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60" w:type="dxa"/>
            <w:vAlign w:val="bottom"/>
            <w:tcBorders>
              <w:bottom w:val="single" w:sz="8" w:color="CCEEFF"/>
            </w:tcBorders>
          </w:tcPr>
          <w:p>
            <w:pPr>
              <w:spacing w:after="0"/>
              <w:rPr>
                <w:sz w:val="13"/>
                <w:szCs w:val="13"/>
                <w:color w:val="auto"/>
              </w:rPr>
            </w:pPr>
          </w:p>
        </w:tc>
        <w:tc>
          <w:tcPr>
            <w:tcW w:w="40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86"/>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commissions asset, net</w:t>
            </w:r>
          </w:p>
        </w:tc>
        <w:tc>
          <w:tcPr>
            <w:tcW w:w="5000" w:type="dxa"/>
            <w:vAlign w:val="bottom"/>
            <w:gridSpan w:val="2"/>
            <w:shd w:val="clear" w:color="auto" w:fill="CCEEFF"/>
          </w:tcPr>
          <w:p>
            <w:pPr>
              <w:jc w:val="right"/>
              <w:ind w:right="783"/>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0" w:type="dxa"/>
            <w:vAlign w:val="bottom"/>
          </w:tcPr>
          <w:p>
            <w:pPr>
              <w:spacing w:after="0"/>
              <w:rPr>
                <w:sz w:val="1"/>
                <w:szCs w:val="1"/>
                <w:color w:val="auto"/>
              </w:rPr>
            </w:pPr>
          </w:p>
        </w:tc>
      </w:tr>
      <w:tr>
        <w:trPr>
          <w:trHeight w:val="200"/>
        </w:trPr>
        <w:tc>
          <w:tcPr>
            <w:tcW w:w="4160" w:type="dxa"/>
            <w:vAlign w:val="bottom"/>
          </w:tcPr>
          <w:p>
            <w:pPr>
              <w:ind w:left="20"/>
              <w:spacing w:after="0"/>
              <w:rPr>
                <w:sz w:val="20"/>
                <w:szCs w:val="20"/>
                <w:color w:val="auto"/>
              </w:rPr>
            </w:pPr>
            <w:r>
              <w:rPr>
                <w:rFonts w:ascii="Arial" w:cs="Arial" w:eastAsia="Arial" w:hAnsi="Arial"/>
                <w:sz w:val="13"/>
                <w:szCs w:val="13"/>
                <w:color w:val="auto"/>
              </w:rPr>
              <w:t>Contract assets</w:t>
            </w:r>
          </w:p>
        </w:tc>
        <w:tc>
          <w:tcPr>
            <w:tcW w:w="4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852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808</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Security deposits</w:t>
            </w:r>
          </w:p>
        </w:tc>
        <w:tc>
          <w:tcPr>
            <w:tcW w:w="40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200"/>
        </w:trPr>
        <w:tc>
          <w:tcPr>
            <w:tcW w:w="4160" w:type="dxa"/>
            <w:vAlign w:val="bottom"/>
          </w:tcPr>
          <w:p>
            <w:pPr>
              <w:ind w:left="20"/>
              <w:spacing w:after="0"/>
              <w:rPr>
                <w:sz w:val="20"/>
                <w:szCs w:val="20"/>
                <w:color w:val="auto"/>
              </w:rPr>
            </w:pPr>
            <w:r>
              <w:rPr>
                <w:rFonts w:ascii="Arial" w:cs="Arial" w:eastAsia="Arial" w:hAnsi="Arial"/>
                <w:sz w:val="13"/>
                <w:szCs w:val="13"/>
                <w:color w:val="auto"/>
              </w:rPr>
              <w:t>Capitalized third party commissions asset, net</w:t>
            </w:r>
          </w:p>
        </w:tc>
        <w:tc>
          <w:tcPr>
            <w:tcW w:w="4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40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62"/>
        </w:trPr>
        <w:tc>
          <w:tcPr>
            <w:tcW w:w="4160" w:type="dxa"/>
            <w:vAlign w:val="bottom"/>
          </w:tcPr>
          <w:p>
            <w:pPr>
              <w:ind w:left="100"/>
              <w:spacing w:after="0"/>
              <w:rPr>
                <w:sz w:val="20"/>
                <w:szCs w:val="20"/>
                <w:color w:val="auto"/>
              </w:rPr>
            </w:pPr>
            <w:r>
              <w:rPr>
                <w:rFonts w:ascii="Arial" w:cs="Arial" w:eastAsia="Arial" w:hAnsi="Arial"/>
                <w:sz w:val="13"/>
                <w:szCs w:val="13"/>
                <w:color w:val="auto"/>
              </w:rPr>
              <w:t>Total other assets</w:t>
            </w:r>
          </w:p>
        </w:tc>
        <w:tc>
          <w:tcPr>
            <w:tcW w:w="5000" w:type="dxa"/>
            <w:vAlign w:val="bottom"/>
            <w:gridSpan w:val="2"/>
          </w:tcPr>
          <w:p>
            <w:pPr>
              <w:jc w:val="right"/>
              <w:ind w:right="783"/>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2,957</w:t>
            </w:r>
          </w:p>
        </w:tc>
        <w:tc>
          <w:tcPr>
            <w:tcW w:w="80" w:type="dxa"/>
            <w:vAlign w:val="bottom"/>
          </w:tcPr>
          <w:p>
            <w:pPr>
              <w:spacing w:after="0"/>
              <w:rPr>
                <w:sz w:val="14"/>
                <w:szCs w:val="14"/>
                <w:color w:val="auto"/>
              </w:rPr>
            </w:pPr>
          </w:p>
        </w:tc>
        <w:tc>
          <w:tcPr>
            <w:tcW w:w="540" w:type="dxa"/>
            <w:vAlign w:val="bottom"/>
          </w:tcPr>
          <w:p>
            <w:pPr>
              <w:jc w:val="right"/>
              <w:ind w:right="39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2,580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060" w:type="dxa"/>
            <w:vAlign w:val="bottom"/>
            <w:vMerge w:val="restart"/>
          </w:tcPr>
          <w:p>
            <w:pPr>
              <w:jc w:val="right"/>
              <w:ind w:right="2434"/>
              <w:spacing w:after="0"/>
              <w:rPr>
                <w:sz w:val="20"/>
                <w:szCs w:val="20"/>
                <w:color w:val="auto"/>
              </w:rPr>
            </w:pPr>
            <w:r>
              <w:rPr>
                <w:rFonts w:ascii="Arial" w:cs="Arial" w:eastAsia="Arial" w:hAnsi="Arial"/>
                <w:sz w:val="13"/>
                <w:szCs w:val="13"/>
                <w:color w:val="auto"/>
              </w:rPr>
              <w:t>97</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9"/>
        </w:trPr>
        <w:tc>
          <w:tcPr>
            <w:tcW w:w="416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160" w:type="dxa"/>
            <w:vAlign w:val="bottom"/>
            <w:tcBorders>
              <w:bottom w:val="single" w:sz="8" w:color="9A9A9A"/>
            </w:tcBorders>
          </w:tcPr>
          <w:p>
            <w:pPr>
              <w:spacing w:after="0"/>
              <w:rPr>
                <w:sz w:val="6"/>
                <w:szCs w:val="6"/>
                <w:color w:val="auto"/>
              </w:rPr>
            </w:pPr>
          </w:p>
        </w:tc>
        <w:tc>
          <w:tcPr>
            <w:tcW w:w="406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97" w:name="page98"/>
    <w:bookmarkEnd w:id="9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Accrued Expenses and Other Current 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Accrued expenses and other current liabilities consisted of the following (in thousands):</w:t>
      </w:r>
    </w:p>
    <w:p>
      <w:pPr>
        <w:spacing w:after="0" w:line="174" w:lineRule="exact"/>
        <w:rPr>
          <w:sz w:val="20"/>
          <w:szCs w:val="20"/>
          <w:color w:val="auto"/>
        </w:rPr>
      </w:pPr>
    </w:p>
    <w:p>
      <w:pPr>
        <w:jc w:val="center"/>
        <w:ind w:left="820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20320</wp:posOffset>
            </wp:positionV>
            <wp:extent cx="194056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34" w:lineRule="exact"/>
        <w:rPr>
          <w:sz w:val="20"/>
          <w:szCs w:val="20"/>
          <w:color w:val="auto"/>
        </w:rPr>
      </w:pPr>
    </w:p>
    <w:p>
      <w:pPr>
        <w:jc w:val="both"/>
        <w:ind w:left="8840"/>
        <w:spacing w:after="0"/>
        <w:tabs>
          <w:tab w:leader="none" w:pos="10400" w:val="left"/>
        </w:tabs>
        <w:rPr>
          <w:sz w:val="20"/>
          <w:szCs w:val="20"/>
          <w:color w:val="auto"/>
        </w:rPr>
      </w:pPr>
      <w:r>
        <w:rPr>
          <w:rFonts w:ascii="Arial" w:cs="Arial" w:eastAsia="Arial" w:hAnsi="Arial"/>
          <w:sz w:val="11"/>
          <w:szCs w:val="11"/>
          <w:b w:val="1"/>
          <w:bCs w:val="1"/>
          <w:color w:val="auto"/>
        </w:rPr>
        <w:t>2021</w:t>
      </w:r>
      <w:r>
        <w:rPr>
          <w:sz w:val="20"/>
          <w:szCs w:val="20"/>
          <w:color w:val="auto"/>
        </w:rPr>
        <w:tab/>
      </w:r>
      <w:r>
        <w:rPr>
          <w:rFonts w:ascii="Arial" w:cs="Arial" w:eastAsia="Arial" w:hAnsi="Arial"/>
          <w:sz w:val="11"/>
          <w:szCs w:val="11"/>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61530" cy="1282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Payroll and related benefits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Deferred and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61530" cy="128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Accrued professional fees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61530" cy="1282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3"/>
          <w:szCs w:val="13"/>
          <w:color w:val="auto"/>
        </w:rPr>
        <w:t>Total accrued expenses and other current liabilities</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Other liabilities consist of the following (in thousands):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6,616</w:t>
            </w:r>
          </w:p>
        </w:tc>
        <w:tc>
          <w:tcPr>
            <w:tcW w:w="80" w:type="dxa"/>
            <w:vAlign w:val="bottom"/>
          </w:tcPr>
          <w:p>
            <w:pPr>
              <w:spacing w:after="0"/>
              <w:rPr>
                <w:sz w:val="14"/>
                <w:szCs w:val="14"/>
                <w:color w:val="auto"/>
              </w:rPr>
            </w:pPr>
          </w:p>
        </w:tc>
        <w:tc>
          <w:tcPr>
            <w:tcW w:w="580" w:type="dxa"/>
            <w:vAlign w:val="bottom"/>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5,303</w:t>
            </w:r>
          </w:p>
        </w:tc>
      </w:tr>
      <w:tr>
        <w:trPr>
          <w:trHeight w:val="202"/>
        </w:trPr>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1,668</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1,074</w:t>
            </w:r>
          </w:p>
        </w:tc>
      </w:tr>
      <w:tr>
        <w:trPr>
          <w:trHeight w:val="202"/>
        </w:trPr>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1,292</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678</w:t>
            </w:r>
          </w:p>
        </w:tc>
      </w:tr>
      <w:tr>
        <w:trPr>
          <w:trHeight w:val="203"/>
        </w:trPr>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997</w:t>
            </w: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w:t>
            </w:r>
          </w:p>
        </w:tc>
      </w:tr>
      <w:tr>
        <w:trPr>
          <w:trHeight w:val="160"/>
        </w:trPr>
        <w:tc>
          <w:tcPr>
            <w:tcW w:w="56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10,573</w:t>
            </w: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7,249</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194056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34" w:lineRule="exact"/>
        <w:rPr>
          <w:sz w:val="20"/>
          <w:szCs w:val="20"/>
          <w:color w:val="auto"/>
        </w:rPr>
      </w:pPr>
    </w:p>
    <w:p>
      <w:pPr>
        <w:ind w:left="620"/>
        <w:spacing w:after="0"/>
        <w:tabs>
          <w:tab w:leader="none" w:pos="2180" w:val="left"/>
        </w:tabs>
        <w:rPr>
          <w:sz w:val="20"/>
          <w:szCs w:val="20"/>
          <w:color w:val="auto"/>
        </w:rPr>
      </w:pPr>
      <w:r>
        <w:rPr>
          <w:rFonts w:ascii="Arial" w:cs="Arial" w:eastAsia="Arial" w:hAnsi="Arial"/>
          <w:sz w:val="11"/>
          <w:szCs w:val="11"/>
          <w:b w:val="1"/>
          <w:bCs w:val="1"/>
          <w:color w:val="auto"/>
        </w:rPr>
        <w:t>2021</w:t>
      </w:r>
      <w:r>
        <w:rPr>
          <w:sz w:val="20"/>
          <w:szCs w:val="20"/>
          <w:color w:val="auto"/>
        </w:rPr>
        <w:tab/>
      </w:r>
      <w:r>
        <w:rPr>
          <w:rFonts w:ascii="Arial" w:cs="Arial" w:eastAsia="Arial" w:hAnsi="Arial"/>
          <w:sz w:val="11"/>
          <w:szCs w:val="11"/>
          <w:b w:val="1"/>
          <w:bCs w:val="1"/>
          <w:color w:val="auto"/>
        </w:rPr>
        <w:t>2020</w:t>
      </w:r>
    </w:p>
    <w:p>
      <w:pPr>
        <w:spacing w:after="0" w:line="24" w:lineRule="exact"/>
        <w:rPr>
          <w:sz w:val="20"/>
          <w:szCs w:val="20"/>
          <w:color w:val="auto"/>
        </w:rPr>
      </w:pPr>
    </w:p>
    <w:p>
      <w:pPr>
        <w:sectPr>
          <w:pgSz w:w="11900" w:h="16838" w:orient="portrait"/>
          <w:cols w:equalWidth="0" w:num="2">
            <w:col w:w="7500" w:space="720"/>
            <w:col w:w="306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Contingent consideration</w:t>
            </w:r>
          </w:p>
        </w:tc>
        <w:tc>
          <w:tcPr>
            <w:tcW w:w="600" w:type="dxa"/>
            <w:vAlign w:val="bottom"/>
            <w:tcBorders>
              <w:top w:val="single" w:sz="8" w:color="auto"/>
            </w:tcBorders>
            <w:shd w:val="clear" w:color="auto" w:fill="CCEEFF"/>
          </w:tcPr>
          <w:p>
            <w:pPr>
              <w:jc w:val="right"/>
              <w:ind w:right="433"/>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1,269</w:t>
            </w: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2,268</w:t>
            </w:r>
          </w:p>
        </w:tc>
      </w:tr>
      <w:tr>
        <w:trPr>
          <w:trHeight w:val="200"/>
        </w:trPr>
        <w:tc>
          <w:tcPr>
            <w:tcW w:w="8220" w:type="dxa"/>
            <w:vAlign w:val="bottom"/>
          </w:tcPr>
          <w:p>
            <w:pPr>
              <w:ind w:left="20"/>
              <w:spacing w:after="0"/>
              <w:rPr>
                <w:sz w:val="20"/>
                <w:szCs w:val="20"/>
                <w:color w:val="auto"/>
              </w:rPr>
            </w:pPr>
            <w:r>
              <w:rPr>
                <w:rFonts w:ascii="Arial" w:cs="Arial" w:eastAsia="Arial" w:hAnsi="Arial"/>
                <w:sz w:val="13"/>
                <w:szCs w:val="13"/>
                <w:color w:val="auto"/>
              </w:rPr>
              <w:t>Pension accrual</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718</w:t>
            </w: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6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8220" w:type="dxa"/>
            <w:vAlign w:val="bottom"/>
          </w:tcPr>
          <w:p>
            <w:pPr>
              <w:ind w:left="100"/>
              <w:spacing w:after="0"/>
              <w:rPr>
                <w:sz w:val="20"/>
                <w:szCs w:val="20"/>
                <w:color w:val="auto"/>
              </w:rPr>
            </w:pPr>
            <w:r>
              <w:rPr>
                <w:rFonts w:ascii="Arial" w:cs="Arial" w:eastAsia="Arial" w:hAnsi="Arial"/>
                <w:sz w:val="13"/>
                <w:szCs w:val="13"/>
                <w:color w:val="auto"/>
              </w:rPr>
              <w:t>Total other liabilities</w:t>
            </w:r>
          </w:p>
        </w:tc>
        <w:tc>
          <w:tcPr>
            <w:tcW w:w="60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2,157</w:t>
            </w: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2,986</w:t>
            </w:r>
          </w:p>
        </w:tc>
      </w:tr>
      <w:tr>
        <w:trPr>
          <w:trHeight w:val="20"/>
        </w:trPr>
        <w:tc>
          <w:tcPr>
            <w:tcW w:w="8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ACQUISITION</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On November 30, 2020, the Company, through Arteris IP SAS, its wholly owned subsidiary, completed the acquisition of Magillem Design Services SA (Magillem), by acquiring certain assets and assumed liabilities of Magillem in an all-cash transaction to expand the Company’s IP deployment technology. Magillem is a leading provider of complex design flow and content management software solutions. In accordance with the terms of the asset purchase agreement, the consideration transferred for the acquisition is as follows (in thousands).</w:t>
      </w:r>
    </w:p>
    <w:p>
      <w:pPr>
        <w:sectPr>
          <w:pgSz w:w="11900" w:h="16838" w:orient="portrait"/>
          <w:cols w:equalWidth="0" w:num="1">
            <w:col w:w="11280"/>
          </w:cols>
          <w:pgMar w:left="300" w:top="125" w:right="31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Cash consideration paid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61530" cy="1143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Deferred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61530" cy="1079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Estimated contingent consideration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2"/>
        <w:spacing w:after="0"/>
        <w:rPr>
          <w:sz w:val="20"/>
          <w:szCs w:val="20"/>
          <w:color w:val="auto"/>
        </w:rPr>
      </w:pPr>
      <w:r>
        <w:rPr>
          <w:rFonts w:ascii="Arial" w:cs="Arial" w:eastAsia="Arial" w:hAnsi="Arial"/>
          <w:sz w:val="11"/>
          <w:szCs w:val="11"/>
          <w:b w:val="1"/>
          <w:bCs w:val="1"/>
          <w:color w:val="auto"/>
        </w:rPr>
        <w:t>NOVEMBER 30,</w:t>
      </w:r>
    </w:p>
    <w:p>
      <w:pPr>
        <w:jc w:val="center"/>
        <w:ind w:right="12"/>
        <w:spacing w:after="0"/>
        <w:rPr>
          <w:sz w:val="20"/>
          <w:szCs w:val="20"/>
          <w:color w:val="auto"/>
        </w:rPr>
      </w:pPr>
      <w:r>
        <w:rPr>
          <w:rFonts w:ascii="Arial" w:cs="Arial" w:eastAsia="Arial" w:hAnsi="Arial"/>
          <w:sz w:val="11"/>
          <w:szCs w:val="11"/>
          <w:b w:val="1"/>
          <w:bCs w:val="1"/>
          <w:color w:val="auto"/>
        </w:rPr>
        <w:t>2020</w:t>
      </w:r>
    </w:p>
    <w:p>
      <w:pPr>
        <w:spacing w:after="0" w:line="24" w:lineRule="exact"/>
        <w:rPr>
          <w:sz w:val="20"/>
          <w:szCs w:val="20"/>
          <w:color w:val="auto"/>
        </w:rPr>
      </w:pPr>
    </w:p>
    <w:p>
      <w:pPr>
        <w:ind w:left="1068" w:hanging="1068"/>
        <w:spacing w:after="0"/>
        <w:tabs>
          <w:tab w:leader="none" w:pos="1068" w:val="left"/>
        </w:tabs>
        <w:numPr>
          <w:ilvl w:val="0"/>
          <w:numId w:val="40"/>
        </w:numPr>
        <w:rPr>
          <w:rFonts w:ascii="Arial" w:cs="Arial" w:eastAsia="Arial" w:hAnsi="Arial"/>
          <w:sz w:val="13"/>
          <w:szCs w:val="13"/>
          <w:color w:val="auto"/>
        </w:rPr>
      </w:pPr>
      <w:r>
        <w:rPr>
          <w:rFonts w:ascii="Arial" w:cs="Arial" w:eastAsia="Arial" w:hAnsi="Arial"/>
          <w:sz w:val="13"/>
          <w:szCs w:val="13"/>
          <w:color w:val="auto"/>
        </w:rPr>
        <w:t>4,500</w:t>
      </w:r>
    </w:p>
    <w:p>
      <w:pPr>
        <w:spacing w:after="0" w:line="20" w:lineRule="exact"/>
        <w:rPr>
          <w:rFonts w:ascii="Arial" w:cs="Arial" w:eastAsia="Arial" w:hAnsi="Arial"/>
          <w:sz w:val="13"/>
          <w:szCs w:val="13"/>
          <w:color w:val="auto"/>
        </w:rPr>
      </w:pPr>
    </w:p>
    <w:p>
      <w:pPr>
        <w:ind w:left="1188"/>
        <w:spacing w:after="0"/>
        <w:rPr>
          <w:rFonts w:ascii="Arial" w:cs="Arial" w:eastAsia="Arial" w:hAnsi="Arial"/>
          <w:sz w:val="13"/>
          <w:szCs w:val="13"/>
          <w:color w:val="auto"/>
        </w:rPr>
      </w:pPr>
      <w:r>
        <w:rPr>
          <w:rFonts w:ascii="Arial" w:cs="Arial" w:eastAsia="Arial" w:hAnsi="Arial"/>
          <w:sz w:val="13"/>
          <w:szCs w:val="13"/>
          <w:color w:val="auto"/>
        </w:rPr>
        <w:t>500</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2,842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wp:posOffset>
            </wp:positionV>
            <wp:extent cx="94297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11" w:lineRule="exact"/>
        <w:rPr>
          <w:sz w:val="20"/>
          <w:szCs w:val="20"/>
          <w:color w:val="auto"/>
        </w:rPr>
      </w:pPr>
    </w:p>
    <w:p>
      <w:pPr>
        <w:ind w:left="1068" w:hanging="1068"/>
        <w:spacing w:after="0"/>
        <w:tabs>
          <w:tab w:leader="none" w:pos="1068" w:val="left"/>
        </w:tabs>
        <w:numPr>
          <w:ilvl w:val="0"/>
          <w:numId w:val="41"/>
        </w:numPr>
        <w:rPr>
          <w:rFonts w:ascii="Arial" w:cs="Arial" w:eastAsia="Arial" w:hAnsi="Arial"/>
          <w:sz w:val="13"/>
          <w:szCs w:val="13"/>
          <w:color w:val="auto"/>
        </w:rPr>
      </w:pPr>
      <w:r>
        <w:rPr>
          <w:rFonts w:ascii="Arial" w:cs="Arial" w:eastAsia="Arial" w:hAnsi="Arial"/>
          <w:sz w:val="13"/>
          <w:szCs w:val="13"/>
          <w:color w:val="auto"/>
        </w:rPr>
        <w:t>7,842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wp:posOffset>
            </wp:positionV>
            <wp:extent cx="94297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297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94297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92" w:space="720"/>
            <w:col w:w="1468"/>
          </w:cols>
          <w:pgMar w:left="300" w:top="125" w:right="319" w:bottom="1440" w:gutter="0" w:footer="0" w:header="0"/>
          <w:type w:val="continuous"/>
        </w:sectPr>
      </w:pP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deferred consideration represents a consideration holdback, in connection with a separate arrangement between Magillem and a third party, which was settled after the acquisition. The estimated contingent consideration represents the fair value of additional consideration payable to the seller upon (a) the achievement of specified milestones, estimated using the income approach and (b) in relation to potential indemnity claims. The contingent consideration payments are tied to a number of metrics, including claims received by the Company and certain product development, customer and revenue metrics in the next one to three years.</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incurred acquisition-related expenses associated with the Magillem transaction in a total amount of $1.4 million, which were included in general and administrative expenses in the consolidated statements of income (loss). These acquisition-related costs included legal, accounting, and other professional and consulting fees.</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Additionally, in connection with the acquisition of Magillem, the Company issued 0.6 million RSUs and 0.6 million stock options to Magillem employees that transferred to us, all of which vest over four years from the date of acquisition of Magillem. These awards have been accounted for separately from the business combination and are recognized by the Company as compensation cost.</w:t>
      </w:r>
    </w:p>
    <w:p>
      <w:pPr>
        <w:spacing w:after="0" w:line="26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acquisition of Magillem has been accounted for in accordance with the acquisition method of accounting for business combinations with the Company, as the accounting acquirer. Under the acquisition method of accounting, the purchase price is allocated to identifiable assets acquired and liabilities assumed based on their fair values on the acquisition date.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98" w:name="page99"/>
    <w:bookmarkEnd w:id="9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the estimated fair values of the identifiable assets acquired and liabilities assumed as of the acquisition date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2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175"/>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60"/>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w:t>
            </w:r>
          </w:p>
        </w:tc>
        <w:tc>
          <w:tcPr>
            <w:tcW w:w="9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0" w:type="dxa"/>
            <w:vAlign w:val="bottom"/>
          </w:tcPr>
          <w:p>
            <w:pPr>
              <w:spacing w:after="0"/>
              <w:rPr>
                <w:sz w:val="1"/>
                <w:szCs w:val="1"/>
                <w:color w:val="auto"/>
              </w:rPr>
            </w:pPr>
          </w:p>
        </w:tc>
      </w:tr>
      <w:tr>
        <w:trPr>
          <w:trHeight w:val="169"/>
        </w:trPr>
        <w:tc>
          <w:tcPr>
            <w:tcW w:w="8200" w:type="dxa"/>
            <w:vAlign w:val="bottom"/>
          </w:tcPr>
          <w:p>
            <w:pPr>
              <w:ind w:left="20"/>
              <w:spacing w:after="0"/>
              <w:rPr>
                <w:sz w:val="20"/>
                <w:szCs w:val="20"/>
                <w:color w:val="auto"/>
              </w:rPr>
            </w:pPr>
            <w:r>
              <w:rPr>
                <w:rFonts w:ascii="Arial" w:cs="Arial" w:eastAsia="Arial" w:hAnsi="Arial"/>
                <w:sz w:val="13"/>
                <w:szCs w:val="13"/>
                <w:color w:val="auto"/>
              </w:rPr>
              <w:t>Unbilled revenue</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1,424</w:t>
            </w:r>
          </w:p>
        </w:tc>
        <w:tc>
          <w:tcPr>
            <w:tcW w:w="0" w:type="dxa"/>
            <w:vAlign w:val="bottom"/>
          </w:tcPr>
          <w:p>
            <w:pPr>
              <w:spacing w:after="0"/>
              <w:rPr>
                <w:sz w:val="1"/>
                <w:szCs w:val="1"/>
                <w:color w:val="auto"/>
              </w:rPr>
            </w:pP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3,450</w:t>
            </w:r>
          </w:p>
        </w:tc>
        <w:tc>
          <w:tcPr>
            <w:tcW w:w="0" w:type="dxa"/>
            <w:vAlign w:val="bottom"/>
          </w:tcPr>
          <w:p>
            <w:pPr>
              <w:spacing w:after="0"/>
              <w:rPr>
                <w:sz w:val="1"/>
                <w:szCs w:val="1"/>
                <w:color w:val="auto"/>
              </w:rPr>
            </w:pPr>
          </w:p>
        </w:tc>
      </w:tr>
      <w:tr>
        <w:trPr>
          <w:trHeight w:val="169"/>
        </w:trPr>
        <w:tc>
          <w:tcPr>
            <w:tcW w:w="8200" w:type="dxa"/>
            <w:vAlign w:val="bottom"/>
          </w:tcPr>
          <w:p>
            <w:pPr>
              <w:ind w:left="20"/>
              <w:spacing w:after="0"/>
              <w:rPr>
                <w:sz w:val="20"/>
                <w:szCs w:val="20"/>
                <w:color w:val="auto"/>
              </w:rPr>
            </w:pPr>
            <w:r>
              <w:rPr>
                <w:rFonts w:ascii="Arial" w:cs="Arial" w:eastAsia="Arial" w:hAnsi="Arial"/>
                <w:sz w:val="13"/>
                <w:szCs w:val="13"/>
                <w:color w:val="auto"/>
              </w:rPr>
              <w:t>Operating lease right-of-use</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1,222</w:t>
            </w:r>
          </w:p>
        </w:tc>
        <w:tc>
          <w:tcPr>
            <w:tcW w:w="0" w:type="dxa"/>
            <w:vAlign w:val="bottom"/>
          </w:tcPr>
          <w:p>
            <w:pPr>
              <w:spacing w:after="0"/>
              <w:rPr>
                <w:sz w:val="1"/>
                <w:szCs w:val="1"/>
                <w:color w:val="auto"/>
              </w:rPr>
            </w:pP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169"/>
        </w:trPr>
        <w:tc>
          <w:tcPr>
            <w:tcW w:w="8200" w:type="dxa"/>
            <w:vAlign w:val="bottom"/>
          </w:tcPr>
          <w:p>
            <w:pPr>
              <w:ind w:left="20"/>
              <w:spacing w:after="0"/>
              <w:rPr>
                <w:sz w:val="20"/>
                <w:szCs w:val="20"/>
                <w:color w:val="auto"/>
              </w:rPr>
            </w:pPr>
            <w:r>
              <w:rPr>
                <w:rFonts w:ascii="Arial" w:cs="Arial" w:eastAsia="Arial" w:hAnsi="Arial"/>
                <w:sz w:val="13"/>
                <w:szCs w:val="13"/>
                <w:color w:val="auto"/>
              </w:rPr>
              <w:t>Operating lease liability</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(1,222)</w:t>
            </w:r>
          </w:p>
        </w:tc>
        <w:tc>
          <w:tcPr>
            <w:tcW w:w="0" w:type="dxa"/>
            <w:vAlign w:val="bottom"/>
          </w:tcPr>
          <w:p>
            <w:pPr>
              <w:spacing w:after="0"/>
              <w:rPr>
                <w:sz w:val="1"/>
                <w:szCs w:val="1"/>
                <w:color w:val="auto"/>
              </w:rPr>
            </w:pP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(1,244)</w:t>
            </w:r>
          </w:p>
        </w:tc>
        <w:tc>
          <w:tcPr>
            <w:tcW w:w="0" w:type="dxa"/>
            <w:vAlign w:val="bottom"/>
          </w:tcPr>
          <w:p>
            <w:pPr>
              <w:spacing w:after="0"/>
              <w:rPr>
                <w:sz w:val="1"/>
                <w:szCs w:val="1"/>
                <w:color w:val="auto"/>
              </w:rPr>
            </w:pPr>
          </w:p>
        </w:tc>
      </w:tr>
      <w:tr>
        <w:trPr>
          <w:trHeight w:val="159"/>
        </w:trPr>
        <w:tc>
          <w:tcPr>
            <w:tcW w:w="8200" w:type="dxa"/>
            <w:vAlign w:val="bottom"/>
          </w:tcPr>
          <w:p>
            <w:pPr>
              <w:ind w:left="20"/>
              <w:spacing w:after="0"/>
              <w:rPr>
                <w:sz w:val="20"/>
                <w:szCs w:val="20"/>
                <w:color w:val="auto"/>
              </w:rPr>
            </w:pPr>
            <w:r>
              <w:rPr>
                <w:rFonts w:ascii="Arial" w:cs="Arial" w:eastAsia="Arial" w:hAnsi="Arial"/>
                <w:sz w:val="13"/>
                <w:szCs w:val="13"/>
                <w:color w:val="auto"/>
              </w:rPr>
              <w:t>Total identifiable net assets</w:t>
            </w: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5,165</w:t>
            </w:r>
          </w:p>
        </w:tc>
        <w:tc>
          <w:tcPr>
            <w:tcW w:w="0" w:type="dxa"/>
            <w:vAlign w:val="bottom"/>
          </w:tcPr>
          <w:p>
            <w:pPr>
              <w:spacing w:after="0"/>
              <w:rPr>
                <w:sz w:val="1"/>
                <w:szCs w:val="1"/>
                <w:color w:val="auto"/>
              </w:rPr>
            </w:pPr>
          </w:p>
        </w:tc>
      </w:tr>
      <w:tr>
        <w:trPr>
          <w:trHeight w:val="170"/>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2,677</w:t>
            </w:r>
          </w:p>
        </w:tc>
        <w:tc>
          <w:tcPr>
            <w:tcW w:w="0" w:type="dxa"/>
            <w:vAlign w:val="bottom"/>
          </w:tcPr>
          <w:p>
            <w:pPr>
              <w:spacing w:after="0"/>
              <w:rPr>
                <w:sz w:val="1"/>
                <w:szCs w:val="1"/>
                <w:color w:val="auto"/>
              </w:rPr>
            </w:pPr>
          </w:p>
        </w:tc>
      </w:tr>
      <w:tr>
        <w:trPr>
          <w:trHeight w:val="162"/>
        </w:trPr>
        <w:tc>
          <w:tcPr>
            <w:tcW w:w="8200" w:type="dxa"/>
            <w:vAlign w:val="bottom"/>
          </w:tcPr>
          <w:p>
            <w:pPr>
              <w:ind w:left="20"/>
              <w:spacing w:after="0"/>
              <w:rPr>
                <w:sz w:val="20"/>
                <w:szCs w:val="20"/>
                <w:color w:val="auto"/>
              </w:rPr>
            </w:pPr>
            <w:r>
              <w:rPr>
                <w:rFonts w:ascii="Arial" w:cs="Arial" w:eastAsia="Arial" w:hAnsi="Arial"/>
                <w:sz w:val="13"/>
                <w:szCs w:val="13"/>
                <w:color w:val="auto"/>
              </w:rPr>
              <w:t>Total purchase price</w:t>
            </w:r>
          </w:p>
        </w:tc>
        <w:tc>
          <w:tcPr>
            <w:tcW w:w="98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7,842</w:t>
            </w:r>
          </w:p>
        </w:tc>
        <w:tc>
          <w:tcPr>
            <w:tcW w:w="0" w:type="dxa"/>
            <w:vAlign w:val="bottom"/>
          </w:tcPr>
          <w:p>
            <w:pPr>
              <w:spacing w:after="0"/>
              <w:rPr>
                <w:sz w:val="1"/>
                <w:szCs w:val="1"/>
                <w:color w:val="auto"/>
              </w:rPr>
            </w:pPr>
          </w:p>
        </w:tc>
      </w:tr>
      <w:tr>
        <w:trPr>
          <w:trHeight w:val="20"/>
        </w:trPr>
        <w:tc>
          <w:tcPr>
            <w:tcW w:w="9180" w:type="dxa"/>
            <w:vAlign w:val="bottom"/>
            <w:gridSpan w:val="2"/>
            <w:vMerge w:val="restart"/>
          </w:tcPr>
          <w:p>
            <w:pPr>
              <w:spacing w:after="0"/>
              <w:rPr>
                <w:sz w:val="20"/>
                <w:szCs w:val="20"/>
                <w:color w:val="auto"/>
              </w:rPr>
            </w:pPr>
            <w:r>
              <w:rPr>
                <w:rFonts w:ascii="Arial" w:cs="Arial" w:eastAsia="Arial" w:hAnsi="Arial"/>
                <w:sz w:val="13"/>
                <w:szCs w:val="13"/>
                <w:color w:val="auto"/>
              </w:rPr>
              <w:t>The following table summarizes the fair value of the identifiable intangible assets acquired (in thousands) and weighted-average useful life:</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91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75"/>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06"/>
        </w:trPr>
        <w:tc>
          <w:tcPr>
            <w:tcW w:w="8200" w:type="dxa"/>
            <w:vAlign w:val="bottom"/>
          </w:tcPr>
          <w:p>
            <w:pPr>
              <w:spacing w:after="0"/>
              <w:rPr>
                <w:sz w:val="9"/>
                <w:szCs w:val="9"/>
                <w:color w:val="auto"/>
              </w:rPr>
            </w:pPr>
          </w:p>
        </w:tc>
        <w:tc>
          <w:tcPr>
            <w:tcW w:w="980" w:type="dxa"/>
            <w:vAlign w:val="bottom"/>
            <w:vMerge w:val="restart"/>
          </w:tcPr>
          <w:p>
            <w:pPr>
              <w:jc w:val="right"/>
              <w:ind w:right="36"/>
              <w:spacing w:after="0"/>
              <w:rPr>
                <w:sz w:val="20"/>
                <w:szCs w:val="20"/>
                <w:color w:val="auto"/>
              </w:rPr>
            </w:pPr>
            <w:r>
              <w:rPr>
                <w:rFonts w:ascii="Arial" w:cs="Arial" w:eastAsia="Arial" w:hAnsi="Arial"/>
                <w:sz w:val="11"/>
                <w:szCs w:val="11"/>
                <w:b w:val="1"/>
                <w:bCs w:val="1"/>
                <w:color w:val="auto"/>
              </w:rPr>
              <w:t>2020</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jc w:val="center"/>
              <w:ind w:right="175"/>
              <w:spacing w:after="0" w:line="106"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38"/>
        </w:trPr>
        <w:tc>
          <w:tcPr>
            <w:tcW w:w="82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75"/>
              <w:spacing w:after="0"/>
              <w:rPr>
                <w:sz w:val="20"/>
                <w:szCs w:val="20"/>
                <w:color w:val="auto"/>
              </w:rPr>
            </w:pPr>
            <w:r>
              <w:rPr>
                <w:rFonts w:ascii="Arial" w:cs="Arial" w:eastAsia="Arial" w:hAnsi="Arial"/>
                <w:sz w:val="11"/>
                <w:szCs w:val="11"/>
                <w:b w:val="1"/>
                <w:bCs w:val="1"/>
                <w:color w:val="auto"/>
              </w:rPr>
              <w:t>USEFUL LIFE</w:t>
            </w:r>
          </w:p>
        </w:tc>
        <w:tc>
          <w:tcPr>
            <w:tcW w:w="0" w:type="dxa"/>
            <w:vAlign w:val="bottom"/>
          </w:tcPr>
          <w:p>
            <w:pPr>
              <w:spacing w:after="0"/>
              <w:rPr>
                <w:sz w:val="1"/>
                <w:szCs w:val="1"/>
                <w:color w:val="auto"/>
              </w:rPr>
            </w:pPr>
          </w:p>
        </w:tc>
      </w:tr>
      <w:tr>
        <w:trPr>
          <w:trHeight w:val="160"/>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w:t>
            </w:r>
          </w:p>
        </w:tc>
        <w:tc>
          <w:tcPr>
            <w:tcW w:w="98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 years</w:t>
            </w:r>
          </w:p>
        </w:tc>
        <w:tc>
          <w:tcPr>
            <w:tcW w:w="0" w:type="dxa"/>
            <w:vAlign w:val="bottom"/>
          </w:tcPr>
          <w:p>
            <w:pPr>
              <w:spacing w:after="0"/>
              <w:rPr>
                <w:sz w:val="1"/>
                <w:szCs w:val="1"/>
                <w:color w:val="auto"/>
              </w:rPr>
            </w:pPr>
          </w:p>
        </w:tc>
      </w:tr>
      <w:tr>
        <w:trPr>
          <w:trHeight w:val="169"/>
        </w:trPr>
        <w:tc>
          <w:tcPr>
            <w:tcW w:w="820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 years</w:t>
            </w:r>
          </w:p>
        </w:tc>
        <w:tc>
          <w:tcPr>
            <w:tcW w:w="0" w:type="dxa"/>
            <w:vAlign w:val="bottom"/>
          </w:tcPr>
          <w:p>
            <w:pPr>
              <w:spacing w:after="0"/>
              <w:rPr>
                <w:sz w:val="1"/>
                <w:szCs w:val="1"/>
                <w:color w:val="auto"/>
              </w:rPr>
            </w:pPr>
          </w:p>
        </w:tc>
      </w:tr>
      <w:tr>
        <w:trPr>
          <w:trHeight w:val="171"/>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IPR&amp;D</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9"/>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Trade Name</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87"/>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Estimated fair value of intangible assets</w:t>
            </w:r>
          </w:p>
        </w:tc>
        <w:tc>
          <w:tcPr>
            <w:tcW w:w="9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60"/>
        <w:spacing w:after="0" w:line="274" w:lineRule="auto"/>
        <w:rPr>
          <w:sz w:val="20"/>
          <w:szCs w:val="20"/>
          <w:color w:val="auto"/>
        </w:rPr>
      </w:pPr>
      <w:r>
        <w:rPr>
          <w:rFonts w:ascii="Arial" w:cs="Arial" w:eastAsia="Arial" w:hAnsi="Arial"/>
          <w:sz w:val="13"/>
          <w:szCs w:val="13"/>
          <w:color w:val="auto"/>
        </w:rPr>
        <w:t>Goodwill generated from this business combination is attributed to synergies between the Company’s and Magillem’s respective products and services, and it is not tax deductible for income tax purposes.</w:t>
      </w:r>
    </w:p>
    <w:p>
      <w:pPr>
        <w:spacing w:after="0" w:line="295" w:lineRule="exact"/>
        <w:rPr>
          <w:sz w:val="20"/>
          <w:szCs w:val="20"/>
          <w:color w:val="auto"/>
        </w:rPr>
      </w:pPr>
    </w:p>
    <w:p>
      <w:pPr>
        <w:ind w:right="240"/>
        <w:spacing w:after="0" w:line="274" w:lineRule="auto"/>
        <w:rPr>
          <w:sz w:val="20"/>
          <w:szCs w:val="20"/>
          <w:color w:val="auto"/>
        </w:rPr>
      </w:pPr>
      <w:r>
        <w:rPr>
          <w:rFonts w:ascii="Arial" w:cs="Arial" w:eastAsia="Arial" w:hAnsi="Arial"/>
          <w:sz w:val="13"/>
          <w:szCs w:val="13"/>
          <w:color w:val="auto"/>
        </w:rPr>
        <w:t>The following table provides unaudited pro forma condensed consolidated results of operations information for the year ended December 31, 2020 assuming the Magillem acquisition was completed as of January 1, 2020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336"/>
              <w:spacing w:after="0"/>
              <w:rPr>
                <w:sz w:val="20"/>
                <w:szCs w:val="20"/>
                <w:color w:val="auto"/>
              </w:rPr>
            </w:pPr>
            <w:r>
              <w:rPr>
                <w:rFonts w:ascii="Arial" w:cs="Arial" w:eastAsia="Arial" w:hAnsi="Arial"/>
                <w:sz w:val="11"/>
                <w:szCs w:val="11"/>
                <w:b w:val="1"/>
                <w:bCs w:val="1"/>
                <w:color w:val="auto"/>
              </w:rPr>
              <w:t>PRO FORMA</w:t>
            </w:r>
          </w:p>
        </w:tc>
      </w:tr>
      <w:tr>
        <w:trPr>
          <w:trHeight w:val="138"/>
        </w:trPr>
        <w:tc>
          <w:tcPr>
            <w:tcW w:w="98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COMBINED</w:t>
            </w:r>
          </w:p>
        </w:tc>
      </w:tr>
      <w:tr>
        <w:trPr>
          <w:trHeight w:val="160"/>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revenue</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39,726</w:t>
            </w:r>
          </w:p>
        </w:tc>
      </w:tr>
      <w:tr>
        <w:trPr>
          <w:trHeight w:val="169"/>
        </w:trPr>
        <w:tc>
          <w:tcPr>
            <w:tcW w:w="9800" w:type="dxa"/>
            <w:vAlign w:val="bottom"/>
          </w:tcPr>
          <w:p>
            <w:pPr>
              <w:ind w:left="20"/>
              <w:spacing w:after="0"/>
              <w:rPr>
                <w:sz w:val="20"/>
                <w:szCs w:val="20"/>
                <w:color w:val="auto"/>
              </w:rPr>
            </w:pPr>
            <w:r>
              <w:rPr>
                <w:rFonts w:ascii="Arial" w:cs="Arial" w:eastAsia="Arial" w:hAnsi="Arial"/>
                <w:sz w:val="13"/>
                <w:szCs w:val="13"/>
                <w:color w:val="auto"/>
              </w:rPr>
              <w:t>Net loss</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(4,456)</w:t>
            </w:r>
          </w:p>
        </w:tc>
      </w:tr>
      <w:tr>
        <w:trPr>
          <w:trHeight w:val="171"/>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common stockholders</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(4,456)</w:t>
            </w:r>
          </w:p>
        </w:tc>
      </w:tr>
      <w:tr>
        <w:trPr>
          <w:trHeight w:val="167"/>
        </w:trPr>
        <w:tc>
          <w:tcPr>
            <w:tcW w:w="9800" w:type="dxa"/>
            <w:vAlign w:val="bottom"/>
          </w:tcPr>
          <w:p>
            <w:pPr>
              <w:ind w:left="20"/>
              <w:spacing w:after="0"/>
              <w:rPr>
                <w:sz w:val="20"/>
                <w:szCs w:val="20"/>
                <w:color w:val="auto"/>
              </w:rPr>
            </w:pPr>
            <w:r>
              <w:rPr>
                <w:rFonts w:ascii="Arial" w:cs="Arial" w:eastAsia="Arial" w:hAnsi="Arial"/>
                <w:sz w:val="13"/>
                <w:szCs w:val="13"/>
                <w:color w:val="auto"/>
              </w:rPr>
              <w:t>Net loss per share attributable to common stockholders—basic and diluted</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(0.25)</w:t>
            </w:r>
          </w:p>
        </w:tc>
      </w:tr>
    </w:tbl>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unaudited pro forma results above include adjustments related to the purchase price allocation primarily to decrease revenue for amortization of the deferred revenue fair value adjustment, to increase amortization of identifiable intangible assets, to increase the non-recurring transaction costs, and to reflect the related income tax effect of the adjustments. The unaudited pro forma condensed combined financial information has been prepared by management for illustrative purposes only and are not necessarily indicative of the consolidated financial position or results of operations in future periods or the results that would have been realized had the Company and Magillem been combined during the specified period. The unaudited pro forma condensed combined financial information does not reflect any operating efficiencies and/or cost savings that the Company may achieve with respect to the combined companies, or any liabilities that may result from integration activities.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LEASES</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 leases its offices and data center hosting space at various locations under noncancelable operating lease agreements expiring at various dates through 2027. Under the terms of these agreements, the Company also bears the costs for certain insurance, property tax, and maintenance. The terms of certain lease agreements provide for increasing rental payments at fixed intervals.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Total operating lease related costs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220" w:type="dxa"/>
            <w:vAlign w:val="bottom"/>
          </w:tcPr>
          <w:p>
            <w:pPr>
              <w:spacing w:after="0"/>
              <w:rPr>
                <w:sz w:val="12"/>
                <w:szCs w:val="12"/>
                <w:color w:val="auto"/>
              </w:rPr>
            </w:pPr>
          </w:p>
        </w:tc>
        <w:tc>
          <w:tcPr>
            <w:tcW w:w="26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1"/>
                <w:szCs w:val="11"/>
                <w:b w:val="1"/>
                <w:bCs w:val="1"/>
                <w:color w:val="auto"/>
              </w:rPr>
              <w:t>Year Ended December 31,</w:t>
            </w:r>
          </w:p>
        </w:tc>
        <w:tc>
          <w:tcPr>
            <w:tcW w:w="440" w:type="dxa"/>
            <w:vAlign w:val="bottom"/>
            <w:tcBorders>
              <w:bottom w:val="single" w:sz="8" w:color="auto"/>
            </w:tcBorders>
          </w:tcPr>
          <w:p>
            <w:pPr>
              <w:spacing w:after="0"/>
              <w:rPr>
                <w:sz w:val="12"/>
                <w:szCs w:val="12"/>
                <w:color w:val="auto"/>
              </w:rPr>
            </w:pPr>
          </w:p>
        </w:tc>
      </w:tr>
      <w:tr>
        <w:trPr>
          <w:trHeight w:val="150"/>
        </w:trPr>
        <w:tc>
          <w:tcPr>
            <w:tcW w:w="82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1"/>
                <w:szCs w:val="11"/>
                <w:b w:val="1"/>
                <w:bCs w:val="1"/>
                <w:color w:val="auto"/>
              </w:rPr>
              <w:t>2020</w:t>
            </w:r>
          </w:p>
        </w:tc>
        <w:tc>
          <w:tcPr>
            <w:tcW w:w="440" w:type="dxa"/>
            <w:vAlign w:val="bottom"/>
            <w:tcBorders>
              <w:bottom w:val="single" w:sz="8" w:color="auto"/>
            </w:tcBorders>
          </w:tcPr>
          <w:p>
            <w:pPr>
              <w:spacing w:after="0"/>
              <w:rPr>
                <w:sz w:val="13"/>
                <w:szCs w:val="13"/>
                <w:color w:val="auto"/>
              </w:rPr>
            </w:pP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cost</w:t>
            </w: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1,096</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Short-term lease cost</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r>
      <w:tr>
        <w:trPr>
          <w:trHeight w:val="187"/>
        </w:trPr>
        <w:tc>
          <w:tcPr>
            <w:tcW w:w="8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lease cost</w:t>
            </w:r>
          </w:p>
        </w:tc>
        <w:tc>
          <w:tcPr>
            <w:tcW w:w="98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1,230</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weighted-average remaining term of the Company’s operating leases was 3.6 years and 4.4 years as of December 31, 2021 and 2020, respectively, and the weighted-average discount rate used to measure the present value of the operating lease liabilities was 7.5% as of December 31, 2021 and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0" w:type="dxa"/>
            <w:vAlign w:val="bottom"/>
          </w:tcPr>
          <w:p>
            <w:pPr>
              <w:spacing w:after="0"/>
              <w:rPr>
                <w:sz w:val="20"/>
                <w:szCs w:val="20"/>
                <w:color w:val="auto"/>
              </w:rPr>
            </w:pPr>
            <w:r>
              <w:rPr>
                <w:rFonts w:ascii="Arial" w:cs="Arial" w:eastAsia="Arial" w:hAnsi="Arial"/>
                <w:sz w:val="13"/>
                <w:szCs w:val="13"/>
                <w:color w:val="auto"/>
              </w:rPr>
              <w:t>Maturities of operating lease liabilities as of December 31, 2021 were as follows (in thousands):</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20"/>
        </w:trPr>
        <w:tc>
          <w:tcPr>
            <w:tcW w:w="9800" w:type="dxa"/>
            <w:vAlign w:val="bottom"/>
          </w:tcPr>
          <w:p>
            <w:pPr>
              <w:ind w:left="20"/>
              <w:spacing w:after="0"/>
              <w:rPr>
                <w:sz w:val="20"/>
                <w:szCs w:val="20"/>
                <w:color w:val="auto"/>
              </w:rPr>
            </w:pPr>
            <w:r>
              <w:rPr>
                <w:rFonts w:ascii="Arial" w:cs="Arial" w:eastAsia="Arial" w:hAnsi="Arial"/>
                <w:sz w:val="13"/>
                <w:szCs w:val="13"/>
                <w:b w:val="1"/>
                <w:bCs w:val="1"/>
                <w:color w:val="auto"/>
              </w:rPr>
              <w:t>Fiscal year ending December 31,</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58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1,113</w:t>
            </w:r>
          </w:p>
        </w:tc>
      </w:tr>
      <w:tr>
        <w:trPr>
          <w:trHeight w:val="169"/>
        </w:trPr>
        <w:tc>
          <w:tcPr>
            <w:tcW w:w="9800" w:type="dxa"/>
            <w:vAlign w:val="bottom"/>
          </w:tcPr>
          <w:p>
            <w:pPr>
              <w:ind w:left="20"/>
              <w:spacing w:after="0"/>
              <w:rPr>
                <w:sz w:val="20"/>
                <w:szCs w:val="20"/>
                <w:color w:val="auto"/>
              </w:rPr>
            </w:pPr>
            <w:r>
              <w:rPr>
                <w:rFonts w:ascii="Arial" w:cs="Arial" w:eastAsia="Arial" w:hAnsi="Arial"/>
                <w:sz w:val="13"/>
                <w:szCs w:val="13"/>
                <w:color w:val="auto"/>
              </w:rPr>
              <w:t>2023</w:t>
            </w: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953</w:t>
            </w:r>
          </w:p>
        </w:tc>
      </w:tr>
      <w:tr>
        <w:trPr>
          <w:trHeight w:val="171"/>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w:t>
            </w:r>
          </w:p>
        </w:tc>
      </w:tr>
      <w:tr>
        <w:trPr>
          <w:trHeight w:val="169"/>
        </w:trPr>
        <w:tc>
          <w:tcPr>
            <w:tcW w:w="9800" w:type="dxa"/>
            <w:vAlign w:val="bottom"/>
          </w:tcPr>
          <w:p>
            <w:pPr>
              <w:ind w:left="20"/>
              <w:spacing w:after="0"/>
              <w:rPr>
                <w:sz w:val="20"/>
                <w:szCs w:val="20"/>
                <w:color w:val="auto"/>
              </w:rPr>
            </w:pPr>
            <w:r>
              <w:rPr>
                <w:rFonts w:ascii="Arial" w:cs="Arial" w:eastAsia="Arial" w:hAnsi="Arial"/>
                <w:sz w:val="13"/>
                <w:szCs w:val="13"/>
                <w:color w:val="auto"/>
              </w:rPr>
              <w:t>2025</w:t>
            </w: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278</w:t>
            </w:r>
          </w:p>
        </w:tc>
      </w:tr>
      <w:tr>
        <w:trPr>
          <w:trHeight w:val="171"/>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 and thereafter</w:t>
            </w:r>
          </w:p>
        </w:tc>
        <w:tc>
          <w:tcPr>
            <w:tcW w:w="5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w:t>
            </w:r>
          </w:p>
        </w:tc>
      </w:tr>
      <w:tr>
        <w:trPr>
          <w:trHeight w:val="159"/>
        </w:trPr>
        <w:tc>
          <w:tcPr>
            <w:tcW w:w="9800" w:type="dxa"/>
            <w:vAlign w:val="bottom"/>
          </w:tcPr>
          <w:p>
            <w:pPr>
              <w:ind w:left="20"/>
              <w:spacing w:after="0"/>
              <w:rPr>
                <w:sz w:val="20"/>
                <w:szCs w:val="20"/>
                <w:color w:val="auto"/>
              </w:rPr>
            </w:pPr>
            <w:r>
              <w:rPr>
                <w:rFonts w:ascii="Arial" w:cs="Arial" w:eastAsia="Arial" w:hAnsi="Arial"/>
                <w:sz w:val="13"/>
                <w:szCs w:val="13"/>
                <w:color w:val="auto"/>
              </w:rPr>
              <w:t>Total undiscounted cash flows</w:t>
            </w:r>
          </w:p>
        </w:tc>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3,217</w:t>
            </w:r>
          </w:p>
        </w:tc>
      </w:tr>
      <w:tr>
        <w:trPr>
          <w:trHeight w:val="170"/>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Imputed interest</w:t>
            </w:r>
          </w:p>
        </w:tc>
        <w:tc>
          <w:tcPr>
            <w:tcW w:w="5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w:t>
            </w:r>
          </w:p>
        </w:tc>
      </w:tr>
      <w:tr>
        <w:trPr>
          <w:trHeight w:val="162"/>
        </w:trPr>
        <w:tc>
          <w:tcPr>
            <w:tcW w:w="9800" w:type="dxa"/>
            <w:vAlign w:val="bottom"/>
          </w:tcPr>
          <w:p>
            <w:pPr>
              <w:ind w:left="180"/>
              <w:spacing w:after="0"/>
              <w:rPr>
                <w:sz w:val="20"/>
                <w:szCs w:val="20"/>
                <w:color w:val="auto"/>
              </w:rPr>
            </w:pPr>
            <w:r>
              <w:rPr>
                <w:rFonts w:ascii="Arial" w:cs="Arial" w:eastAsia="Arial" w:hAnsi="Arial"/>
                <w:sz w:val="13"/>
                <w:szCs w:val="13"/>
                <w:color w:val="auto"/>
              </w:rPr>
              <w:t>Present value of lease liabilities</w:t>
            </w:r>
          </w:p>
        </w:tc>
        <w:tc>
          <w:tcPr>
            <w:tcW w:w="58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2,812</w:t>
            </w:r>
          </w:p>
        </w:tc>
      </w:tr>
      <w:tr>
        <w:trPr>
          <w:trHeight w:val="20"/>
        </w:trPr>
        <w:tc>
          <w:tcPr>
            <w:tcW w:w="98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3"/>
        </w:trPr>
        <w:tc>
          <w:tcPr>
            <w:tcW w:w="98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9800" w:type="dxa"/>
            <w:vAlign w:val="bottom"/>
          </w:tcPr>
          <w:p>
            <w:pPr>
              <w:ind w:left="20"/>
              <w:spacing w:after="0"/>
              <w:rPr>
                <w:sz w:val="20"/>
                <w:szCs w:val="20"/>
                <w:color w:val="auto"/>
              </w:rPr>
            </w:pPr>
            <w:r>
              <w:rPr>
                <w:rFonts w:ascii="Arial" w:cs="Arial" w:eastAsia="Arial" w:hAnsi="Arial"/>
                <w:sz w:val="13"/>
                <w:szCs w:val="13"/>
                <w:color w:val="auto"/>
              </w:rPr>
              <w:t>Lease liabilities, current</w:t>
            </w:r>
          </w:p>
        </w:tc>
        <w:tc>
          <w:tcPr>
            <w:tcW w:w="580" w:type="dxa"/>
            <w:vAlign w:val="bottom"/>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961</w:t>
            </w:r>
          </w:p>
        </w:tc>
      </w:tr>
      <w:tr>
        <w:trPr>
          <w:trHeight w:val="170"/>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 noncurrent</w:t>
            </w:r>
          </w:p>
        </w:tc>
        <w:tc>
          <w:tcPr>
            <w:tcW w:w="5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1,851</w:t>
            </w:r>
          </w:p>
        </w:tc>
      </w:tr>
      <w:tr>
        <w:trPr>
          <w:trHeight w:val="162"/>
        </w:trPr>
        <w:tc>
          <w:tcPr>
            <w:tcW w:w="9800" w:type="dxa"/>
            <w:vAlign w:val="bottom"/>
          </w:tcPr>
          <w:p>
            <w:pPr>
              <w:ind w:left="100"/>
              <w:spacing w:after="0"/>
              <w:rPr>
                <w:sz w:val="20"/>
                <w:szCs w:val="20"/>
                <w:color w:val="auto"/>
              </w:rPr>
            </w:pPr>
            <w:r>
              <w:rPr>
                <w:rFonts w:ascii="Arial" w:cs="Arial" w:eastAsia="Arial" w:hAnsi="Arial"/>
                <w:sz w:val="13"/>
                <w:szCs w:val="13"/>
                <w:color w:val="auto"/>
              </w:rPr>
              <w:t>Total lease liabilities</w:t>
            </w:r>
          </w:p>
        </w:tc>
        <w:tc>
          <w:tcPr>
            <w:tcW w:w="58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2,812</w:t>
            </w:r>
          </w:p>
        </w:tc>
      </w:tr>
      <w:tr>
        <w:trPr>
          <w:trHeight w:val="20"/>
        </w:trPr>
        <w:tc>
          <w:tcPr>
            <w:tcW w:w="9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BORROWINGS</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color w:val="auto"/>
        </w:rPr>
        <w:t>Term loans</w:t>
      </w:r>
      <w:r>
        <w:rPr>
          <w:rFonts w:ascii="Arial" w:cs="Arial" w:eastAsia="Arial" w:hAnsi="Arial"/>
          <w:sz w:val="13"/>
          <w:szCs w:val="13"/>
          <w:color w:val="auto"/>
        </w:rPr>
        <w:t>—In November 2018, the Company entered into a business financing agreement (2018 Term Loan) of $1.5 million with Western Alliance Bank which matured in November 2021,</w:t>
      </w:r>
      <w:r>
        <w:rPr>
          <w:rFonts w:ascii="Arial" w:cs="Arial" w:eastAsia="Arial" w:hAnsi="Arial"/>
          <w:sz w:val="13"/>
          <w:szCs w:val="13"/>
          <w:b w:val="1"/>
          <w:bCs w:val="1"/>
          <w:color w:val="auto"/>
        </w:rPr>
        <w:t xml:space="preserve"> </w:t>
      </w:r>
      <w:r>
        <w:rPr>
          <w:rFonts w:ascii="Arial" w:cs="Arial" w:eastAsia="Arial" w:hAnsi="Arial"/>
          <w:sz w:val="13"/>
          <w:szCs w:val="13"/>
          <w:color w:val="auto"/>
        </w:rPr>
        <w:t>and was payable on a monthly basis of less than $0.1 million with the beginning six months being interest only payments. The interest rate on the 2018 Term Loan was prime plus 2%. Debt issuance costs were immaterial. The 2018 Term Loan was fully repaid in November 2021 and was not renewed. As of December 31, 2020, the Company had $0.6 million outstanding balance, net of debt issuance costs, and was classified as current liabilities.</w:t>
      </w:r>
    </w:p>
    <w:p>
      <w:pPr>
        <w:spacing w:after="0" w:line="91" w:lineRule="exact"/>
        <w:rPr>
          <w:sz w:val="20"/>
          <w:szCs w:val="20"/>
          <w:color w:val="auto"/>
        </w:rPr>
      </w:pPr>
    </w:p>
    <w:p>
      <w:pPr>
        <w:jc w:val="both"/>
        <w:spacing w:after="0" w:line="278" w:lineRule="auto"/>
        <w:rPr>
          <w:sz w:val="20"/>
          <w:szCs w:val="20"/>
          <w:color w:val="auto"/>
        </w:rPr>
      </w:pPr>
      <w:r>
        <w:rPr>
          <w:rFonts w:ascii="Arial" w:cs="Arial" w:eastAsia="Arial" w:hAnsi="Arial"/>
          <w:sz w:val="13"/>
          <w:szCs w:val="13"/>
          <w:b w:val="1"/>
          <w:bCs w:val="1"/>
          <w:color w:val="auto"/>
        </w:rPr>
        <w:t>Revolving line of credit</w:t>
      </w:r>
      <w:r>
        <w:rPr>
          <w:rFonts w:ascii="Arial" w:cs="Arial" w:eastAsia="Arial" w:hAnsi="Arial"/>
          <w:sz w:val="13"/>
          <w:szCs w:val="13"/>
          <w:color w:val="auto"/>
        </w:rPr>
        <w:t>—The Company had a revolving line of credit, under the business financing agreement dated August 2015, with a lender for $1.5 million (2015 Revolver) that</w:t>
      </w:r>
      <w:r>
        <w:rPr>
          <w:rFonts w:ascii="Arial" w:cs="Arial" w:eastAsia="Arial" w:hAnsi="Arial"/>
          <w:sz w:val="13"/>
          <w:szCs w:val="13"/>
          <w:b w:val="1"/>
          <w:bCs w:val="1"/>
          <w:color w:val="auto"/>
        </w:rPr>
        <w:t xml:space="preserve"> </w:t>
      </w:r>
      <w:r>
        <w:rPr>
          <w:rFonts w:ascii="Arial" w:cs="Arial" w:eastAsia="Arial" w:hAnsi="Arial"/>
          <w:sz w:val="13"/>
          <w:szCs w:val="13"/>
          <w:color w:val="auto"/>
        </w:rPr>
        <w:t>matured in August 2018 and renewed in November 2018 for another three years that matured in November 2021 for $2.0 million (2018 Revolver). The interest rate for the 2018 Revolver was prime plus 1%. The 2018 Revolver was not renewed in November 2021 and was not used for the year ending December 31, 2021 and 2020.</w:t>
      </w:r>
    </w:p>
    <w:p>
      <w:pPr>
        <w:spacing w:after="0" w:line="85" w:lineRule="exact"/>
        <w:rPr>
          <w:sz w:val="20"/>
          <w:szCs w:val="20"/>
          <w:color w:val="auto"/>
        </w:rPr>
      </w:pPr>
    </w:p>
    <w:p>
      <w:pPr>
        <w:jc w:val="both"/>
        <w:spacing w:after="0" w:line="278" w:lineRule="auto"/>
        <w:rPr>
          <w:sz w:val="20"/>
          <w:szCs w:val="20"/>
          <w:color w:val="auto"/>
        </w:rPr>
      </w:pPr>
      <w:r>
        <w:rPr>
          <w:rFonts w:ascii="Arial" w:cs="Arial" w:eastAsia="Arial" w:hAnsi="Arial"/>
          <w:sz w:val="13"/>
          <w:szCs w:val="13"/>
          <w:b w:val="1"/>
          <w:bCs w:val="1"/>
          <w:color w:val="auto"/>
        </w:rPr>
        <w:t>Vendor financing arrangements</w:t>
      </w:r>
      <w:r>
        <w:rPr>
          <w:rFonts w:ascii="Arial" w:cs="Arial" w:eastAsia="Arial" w:hAnsi="Arial"/>
          <w:sz w:val="13"/>
          <w:szCs w:val="13"/>
          <w:color w:val="auto"/>
        </w:rPr>
        <w:t>—The Company has various vendor financing arrangements with extended payment terms on the purchase of software licenses and equipment. In order to</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 the present value of the commitments, the Company used an imputed interest rate of 7.5%, which is reflective of its collateralized borrowing rate with similar terms to that of the software licenses and equipment transactions.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Vendor financing arrangements were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98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color w:val="auto"/>
              </w:rPr>
              <w:t>Amount</w:t>
            </w:r>
          </w:p>
        </w:tc>
        <w:tc>
          <w:tcPr>
            <w:tcW w:w="0" w:type="dxa"/>
            <w:vAlign w:val="bottom"/>
          </w:tcPr>
          <w:p>
            <w:pPr>
              <w:spacing w:after="0"/>
              <w:rPr>
                <w:sz w:val="1"/>
                <w:szCs w:val="1"/>
                <w:color w:val="auto"/>
              </w:rPr>
            </w:pPr>
          </w:p>
        </w:tc>
      </w:tr>
      <w:tr>
        <w:trPr>
          <w:trHeight w:val="160"/>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w:t>
            </w:r>
          </w:p>
        </w:tc>
        <w:tc>
          <w:tcPr>
            <w:tcW w:w="0" w:type="dxa"/>
            <w:vAlign w:val="bottom"/>
          </w:tcPr>
          <w:p>
            <w:pPr>
              <w:spacing w:after="0"/>
              <w:rPr>
                <w:sz w:val="1"/>
                <w:szCs w:val="1"/>
                <w:color w:val="auto"/>
              </w:rPr>
            </w:pPr>
          </w:p>
        </w:tc>
      </w:tr>
      <w:tr>
        <w:trPr>
          <w:trHeight w:val="16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2023</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162"/>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undiscounted cash flows</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w:t>
            </w:r>
          </w:p>
        </w:tc>
        <w:tc>
          <w:tcPr>
            <w:tcW w:w="0" w:type="dxa"/>
            <w:vAlign w:val="bottom"/>
          </w:tcPr>
          <w:p>
            <w:pPr>
              <w:spacing w:after="0"/>
              <w:rPr>
                <w:sz w:val="1"/>
                <w:szCs w:val="1"/>
                <w:color w:val="auto"/>
              </w:rPr>
            </w:pPr>
          </w:p>
        </w:tc>
      </w:tr>
      <w:tr>
        <w:trPr>
          <w:trHeight w:val="16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Imputed interest</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8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Present value of vendor financing arrangements</w:t>
            </w: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1,099</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Vendor financing arrangements, current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800" w:type="dxa"/>
            <w:vAlign w:val="bottom"/>
            <w:vMerge w:val="continue"/>
          </w:tcPr>
          <w:p>
            <w:pPr>
              <w:spacing w:after="0"/>
              <w:rPr>
                <w:sz w:val="11"/>
                <w:szCs w:val="11"/>
                <w:color w:val="auto"/>
              </w:rPr>
            </w:pPr>
          </w:p>
        </w:tc>
        <w:tc>
          <w:tcPr>
            <w:tcW w:w="320" w:type="dxa"/>
            <w:vAlign w:val="bottom"/>
          </w:tcPr>
          <w:p>
            <w:pPr>
              <w:jc w:val="right"/>
              <w:ind w:right="173"/>
              <w:spacing w:after="0" w:line="131" w:lineRule="exact"/>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833</w:t>
            </w:r>
          </w:p>
        </w:tc>
        <w:tc>
          <w:tcPr>
            <w:tcW w:w="0" w:type="dxa"/>
            <w:vAlign w:val="bottom"/>
          </w:tcPr>
          <w:p>
            <w:pPr>
              <w:spacing w:after="0"/>
              <w:rPr>
                <w:sz w:val="1"/>
                <w:szCs w:val="1"/>
                <w:color w:val="auto"/>
              </w:rPr>
            </w:pPr>
          </w:p>
        </w:tc>
      </w:tr>
      <w:tr>
        <w:trPr>
          <w:trHeight w:val="170"/>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Vendor financing arrangements, noncurrent</w:t>
            </w: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60"/>
        </w:trPr>
        <w:tc>
          <w:tcPr>
            <w:tcW w:w="9800" w:type="dxa"/>
            <w:vAlign w:val="bottom"/>
          </w:tcPr>
          <w:p>
            <w:pPr>
              <w:spacing w:after="0"/>
              <w:rPr>
                <w:sz w:val="13"/>
                <w:szCs w:val="13"/>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1,099</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Interest expense from Term Loan and Vendor financing arrangements was $0.1 million and $0.1 million for the years ended December 31, 2021 and 2020, respectively.</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color w:val="auto"/>
        </w:rPr>
        <w:t>Borrowing Arrangement</w:t>
      </w:r>
      <w:r>
        <w:rPr>
          <w:rFonts w:ascii="Arial" w:cs="Arial" w:eastAsia="Arial" w:hAnsi="Arial"/>
          <w:sz w:val="13"/>
          <w:szCs w:val="13"/>
          <w:color w:val="auto"/>
        </w:rPr>
        <w:t>—In April 2020 and under the CARES Act, the Company entered into a loan agreement known as the Paycheck Protection Program (PPP) with a lender for $1.6</w:t>
      </w:r>
      <w:r>
        <w:rPr>
          <w:rFonts w:ascii="Arial" w:cs="Arial" w:eastAsia="Arial" w:hAnsi="Arial"/>
          <w:sz w:val="13"/>
          <w:szCs w:val="13"/>
          <w:b w:val="1"/>
          <w:bCs w:val="1"/>
          <w:color w:val="auto"/>
        </w:rPr>
        <w:t xml:space="preserve"> </w:t>
      </w:r>
      <w:r>
        <w:rPr>
          <w:rFonts w:ascii="Arial" w:cs="Arial" w:eastAsia="Arial" w:hAnsi="Arial"/>
          <w:sz w:val="13"/>
          <w:szCs w:val="13"/>
          <w:color w:val="auto"/>
        </w:rPr>
        <w:t>million (the PPP Loan) with 1% interest due per annum and repayable in two years. The Company applied for forgiveness of amounts due under the Loan, with the amount of potential loan forgiveness to be calculated in accordance with the requirements of the PPP based on payroll costs, any mortgage interest payments, any covered rent payments and any covered utilities payments during the 8-week period after the origination date of the PPP Loan. The Company used proceeds of the PPP Loan to fund payroll and other qualifying expenses. On December 8, 2020, the full amount of the PPP Loan, including principal and accrued interest, was forgiven.</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3"/>
          <w:szCs w:val="13"/>
          <w:b w:val="1"/>
          <w:bCs w:val="1"/>
          <w:color w:val="auto"/>
        </w:rPr>
        <w:t>Indemnifications</w:t>
      </w:r>
      <w:r>
        <w:rPr>
          <w:rFonts w:ascii="Arial" w:cs="Arial" w:eastAsia="Arial" w:hAnsi="Arial"/>
          <w:sz w:val="13"/>
          <w:szCs w:val="13"/>
          <w:color w:val="auto"/>
        </w:rPr>
        <w:t>—The Company often enters into limited indemnification provisions in license agreements in the ordinary course of the Company’s licensing business. Pursuant to these</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 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spacing w:after="0" w:line="11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has incurred no actual payment obligations from these above-noted indemnification provisions and director and officer indemnity agreements during 2021 and 2020, and the consolidated financial statements do not include liabilities for any potential indemnity-related obligations as of December 31, 2021 and 2020.</w:t>
      </w:r>
    </w:p>
    <w:p>
      <w:pPr>
        <w:spacing w:after="0" w:line="88"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color w:val="auto"/>
        </w:rPr>
        <w:t>Legal</w:t>
      </w:r>
      <w:r>
        <w:rPr>
          <w:rFonts w:ascii="Arial" w:cs="Arial" w:eastAsia="Arial" w:hAnsi="Arial"/>
          <w:sz w:val="13"/>
          <w:szCs w:val="13"/>
          <w:color w:val="auto"/>
        </w:rPr>
        <w:t>—In the normal course of business, the Company may receive inquiries or become involved in legal disputes regarding various litigation matters. Although claims are inherently</w:t>
      </w:r>
      <w:r>
        <w:rPr>
          <w:rFonts w:ascii="Arial" w:cs="Arial" w:eastAsia="Arial" w:hAnsi="Arial"/>
          <w:sz w:val="13"/>
          <w:szCs w:val="13"/>
          <w:b w:val="1"/>
          <w:bCs w:val="1"/>
          <w:color w:val="auto"/>
        </w:rPr>
        <w:t xml:space="preserve"> </w:t>
      </w:r>
      <w:r>
        <w:rPr>
          <w:rFonts w:ascii="Arial" w:cs="Arial" w:eastAsia="Arial" w:hAnsi="Arial"/>
          <w:sz w:val="13"/>
          <w:szCs w:val="13"/>
          <w:color w:val="auto"/>
        </w:rPr>
        <w:t>unpredictable, the Company currently is not aware of any such matters that may have a material adverse effect on the Company’s financial position,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no other material contractual noncancelable commitments as of December 31, 2021 and December 31, 2020.</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REDEEMABLE CONVERTIBLE PREFERRED STOCK, PREFERRED STOCK AND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Redeemable Convertible Preferred Stock</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Immediately prior to the closing of the IPO, all shares of the Company’s redeemable convertible preferred stock outstanding, totaling 4,471,316, were automatically converted into an equal number of shares of common stock and their carrying value of $5.7 million was reclassified into stockholders’ equity. As of December 31, 2021 and 2020, there were zero and 4,471,316 shares of redeemable convertible preferred stock issued and outstanding,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Preferred Stock</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 connection with the IPO, the Company amended and restated its certificate of incorporation to authorize 10,000,000 shares of preferred stock with a par value of $0.001, which shares of preferred stock are currently undesignated.</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Common Stock</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Holders of common stock are entitled to one vote per share and to receive dividends and, upon liquidation or dissolution, are entitled to receive all assets available for distribution to common stockholders. The common stock has no preemptive or other subscription rights and there are no redemption or sinking fund provisions with respect to such shares. Common stock is subordinate to the preferred stock and redeemable convertible preferred stock with respect to dividend rights and rights upon liquidation, winding-up, and dissolution of the Company. In connection with the IPO, the Company amended and restated its certificate of incorporation to authorize 300,000,000 shares of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December 31, 2021, 1,250,000 shares of the Company’s common stock were sold to third-party investors for an aggregate amount of $5.4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Repurchases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There were no repurchased shares for the years ended December 31,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2013 Stock Plan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Board adopted and the Company’s stockholders approved the 2013 Equity Incentive Plan (the 2013 Plan) during the year ended December 31, 2013.</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2016 Stock Plan</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On October 10, 2016, the Company amended and restated the 2013 Equity Incentive Plan and changed the name of the plan to Arteris, Inc. 2016 Incentive Plan (the 2016 Plan). Adoption of the 2016 Plan provides for participation by foreign nationals or those employed outside of the United States.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2016 Plan provides for the granting of the following types of stock awards: incentive stock options, non-statutory stock options, stock appreciation rights, restricted stock awards, restricted stock unit awards and other stock awards. The number of shares authorized for award is 20,803,838. The Company has granted awards of common stock in the form of 14,142,208 shares as of December 31, 2021 with none remaining available for future grant. Following the Company’s IPO in October 2021, all future grants will be made under the 2021 Plan (as defined below).</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2021 Stock Plan</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 adopted the 2021 Incentive Award Plan (the 2021 Plan) effective October 26, 2021. The 2021 Plan provides for a variety of stock-based compensation awards, including stock options, stock appreciation rights, or SARs, restricted stock awards, restricted stock unit awards, performance bonus awards, performance stock unit awards, dividend equivalents, or other stock or cash based awards. The Company has granted 228,185 shares subject to awards as of December 31, 2021 with 3,493,240 remaining available for future grant.</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Following the effectiveness of the 2021 Plan, the Company will not make any further grants under the 2016 Plan. However, the 2016 Plan will continue to govern the terms and conditions of the outstanding awards granted under this plan. Shares of common stock subject to awards granted under the 2016 Plan that are forfeited or lapse unexercised and which following the effective date of the 2021 Plan are not issued under the 2016 Plan will be available for issuance under the 2021 Plan.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2021 Employee stock purchase plan</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 adopted the 2021 Employee Stock Purchase Plan (the 2021 ESPP) effective on October 26, 2021. The 2021 ESPP will enable eligible employees of the Company to purchase shares of common stock at a discount to fair market value. The Company has initially reserved for issuance 607,000 shares of common stock pursuant to the 2021 ESPP. As of December 31, 2021, there had been no offering period under the ESPP.</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Shares Available for Future Grant</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Shares available for future grant under the Company’s 2016 and 2021 Plan consist of the following:</w:t>
      </w:r>
    </w:p>
    <w:p>
      <w:pPr>
        <w:spacing w:after="0" w:line="163" w:lineRule="exact"/>
        <w:rPr>
          <w:sz w:val="20"/>
          <w:szCs w:val="20"/>
          <w:color w:val="auto"/>
        </w:rPr>
      </w:pPr>
    </w:p>
    <w:p>
      <w:pPr>
        <w:ind w:left="924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13970</wp:posOffset>
            </wp:positionV>
            <wp:extent cx="194056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5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60"/>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available for future grant</w:t>
            </w: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3,493,240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650,170</w:t>
            </w:r>
          </w:p>
        </w:tc>
        <w:tc>
          <w:tcPr>
            <w:tcW w:w="0" w:type="dxa"/>
            <w:vAlign w:val="bottom"/>
          </w:tcPr>
          <w:p>
            <w:pPr>
              <w:spacing w:after="0"/>
              <w:rPr>
                <w:sz w:val="1"/>
                <w:szCs w:val="1"/>
                <w:color w:val="auto"/>
              </w:rPr>
            </w:pPr>
          </w:p>
        </w:tc>
      </w:tr>
      <w:tr>
        <w:trPr>
          <w:trHeight w:val="358"/>
        </w:trPr>
        <w:tc>
          <w:tcPr>
            <w:tcW w:w="4540" w:type="dxa"/>
            <w:vAlign w:val="bottom"/>
          </w:tcPr>
          <w:p>
            <w:pPr>
              <w:spacing w:after="0"/>
              <w:rPr>
                <w:sz w:val="20"/>
                <w:szCs w:val="20"/>
                <w:color w:val="auto"/>
              </w:rPr>
            </w:pPr>
            <w:r>
              <w:rPr>
                <w:rFonts w:ascii="Arial" w:cs="Arial" w:eastAsia="Arial" w:hAnsi="Arial"/>
                <w:sz w:val="13"/>
                <w:szCs w:val="13"/>
                <w:color w:val="auto"/>
              </w:rPr>
              <w:t>The Company issues new shares upon a share option exercise or release.</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40" w:type="dxa"/>
            <w:vAlign w:val="bottom"/>
          </w:tcPr>
          <w:p>
            <w:pPr>
              <w:spacing w:after="0"/>
              <w:rPr>
                <w:sz w:val="20"/>
                <w:szCs w:val="20"/>
                <w:color w:val="auto"/>
              </w:rPr>
            </w:pPr>
            <w:r>
              <w:rPr>
                <w:rFonts w:ascii="Arial" w:cs="Arial" w:eastAsia="Arial" w:hAnsi="Arial"/>
                <w:sz w:val="13"/>
                <w:szCs w:val="13"/>
                <w:b w:val="1"/>
                <w:bCs w:val="1"/>
                <w:i w:val="1"/>
                <w:iCs w:val="1"/>
                <w:color w:val="auto"/>
              </w:rPr>
              <w:t>Stock Options</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140" w:type="dxa"/>
            <w:vAlign w:val="bottom"/>
            <w:gridSpan w:val="2"/>
          </w:tcPr>
          <w:p>
            <w:pPr>
              <w:spacing w:after="0"/>
              <w:rPr>
                <w:sz w:val="20"/>
                <w:szCs w:val="20"/>
                <w:color w:val="auto"/>
              </w:rPr>
            </w:pPr>
            <w:r>
              <w:rPr>
                <w:rFonts w:ascii="Arial" w:cs="Arial" w:eastAsia="Arial" w:hAnsi="Arial"/>
                <w:sz w:val="13"/>
                <w:szCs w:val="13"/>
                <w:color w:val="auto"/>
              </w:rPr>
              <w:t>The following table summarizes the stock option activities under the Company’s 2013 and 2016 Plans:</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54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1220"/>
              <w:spacing w:after="0"/>
              <w:rPr>
                <w:sz w:val="20"/>
                <w:szCs w:val="20"/>
                <w:color w:val="auto"/>
              </w:rPr>
            </w:pPr>
            <w:r>
              <w:rPr>
                <w:rFonts w:ascii="Arial" w:cs="Arial" w:eastAsia="Arial" w:hAnsi="Arial"/>
                <w:sz w:val="11"/>
                <w:szCs w:val="11"/>
                <w:b w:val="1"/>
                <w:bCs w:val="1"/>
                <w:color w:val="auto"/>
              </w:rPr>
              <w:t>Options Outstanding</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5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restart"/>
          </w:tcPr>
          <w:p>
            <w:pPr>
              <w:jc w:val="center"/>
              <w:ind w:left="443"/>
              <w:spacing w:after="0"/>
              <w:rPr>
                <w:sz w:val="20"/>
                <w:szCs w:val="20"/>
                <w:color w:val="auto"/>
              </w:rPr>
            </w:pPr>
            <w:r>
              <w:rPr>
                <w:rFonts w:ascii="Arial" w:cs="Arial" w:eastAsia="Arial" w:hAnsi="Arial"/>
                <w:sz w:val="11"/>
                <w:szCs w:val="11"/>
                <w:b w:val="1"/>
                <w:bCs w:val="1"/>
                <w:color w:val="auto"/>
              </w:rPr>
              <w:t>Weighted-</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gridSpan w:val="2"/>
          </w:tcPr>
          <w:p>
            <w:pPr>
              <w:jc w:val="center"/>
              <w:ind w:right="420"/>
              <w:spacing w:after="0" w:line="107" w:lineRule="exact"/>
              <w:rPr>
                <w:sz w:val="20"/>
                <w:szCs w:val="20"/>
                <w:color w:val="auto"/>
              </w:rPr>
            </w:pPr>
            <w:r>
              <w:rPr>
                <w:rFonts w:ascii="Arial" w:cs="Arial" w:eastAsia="Arial" w:hAnsi="Arial"/>
                <w:sz w:val="11"/>
                <w:szCs w:val="11"/>
                <w:b w:val="1"/>
                <w:bCs w:val="1"/>
                <w:color w:val="auto"/>
              </w:rPr>
              <w:t>Weighted-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vMerge w:val="restart"/>
          </w:tcPr>
          <w:p>
            <w:pPr>
              <w:jc w:val="center"/>
              <w:ind w:right="58"/>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06"/>
        </w:trPr>
        <w:tc>
          <w:tcPr>
            <w:tcW w:w="45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gridSpan w:val="2"/>
          </w:tcPr>
          <w:p>
            <w:pPr>
              <w:jc w:val="center"/>
              <w:ind w:right="400"/>
              <w:spacing w:after="0" w:line="106" w:lineRule="exact"/>
              <w:rPr>
                <w:sz w:val="20"/>
                <w:szCs w:val="20"/>
                <w:color w:val="auto"/>
              </w:rPr>
            </w:pPr>
            <w:r>
              <w:rPr>
                <w:rFonts w:ascii="Arial" w:cs="Arial" w:eastAsia="Arial" w:hAnsi="Arial"/>
                <w:sz w:val="11"/>
                <w:szCs w:val="11"/>
                <w:b w:val="1"/>
                <w:bCs w:val="1"/>
                <w:color w:val="auto"/>
              </w:rPr>
              <w:t>Average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5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jc w:val="center"/>
              <w:ind w:left="443"/>
              <w:spacing w:after="0" w:line="106" w:lineRule="exact"/>
              <w:rPr>
                <w:sz w:val="20"/>
                <w:szCs w:val="20"/>
                <w:color w:val="auto"/>
              </w:rPr>
            </w:pPr>
            <w:r>
              <w:rPr>
                <w:rFonts w:ascii="Arial" w:cs="Arial" w:eastAsia="Arial" w:hAnsi="Arial"/>
                <w:sz w:val="11"/>
                <w:szCs w:val="11"/>
                <w:b w:val="1"/>
                <w:bCs w:val="1"/>
                <w:color w:val="auto"/>
              </w:rPr>
              <w:t>Average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gridSpan w:val="2"/>
          </w:tcPr>
          <w:p>
            <w:pPr>
              <w:jc w:val="center"/>
              <w:ind w:right="420"/>
              <w:spacing w:after="0" w:line="106" w:lineRule="exact"/>
              <w:rPr>
                <w:sz w:val="20"/>
                <w:szCs w:val="20"/>
                <w:color w:val="auto"/>
              </w:rPr>
            </w:pPr>
            <w:r>
              <w:rPr>
                <w:rFonts w:ascii="Arial" w:cs="Arial" w:eastAsia="Arial" w:hAnsi="Arial"/>
                <w:sz w:val="11"/>
                <w:szCs w:val="11"/>
                <w:b w:val="1"/>
                <w:bCs w:val="1"/>
                <w:color w:val="auto"/>
              </w:rPr>
              <w:t>Remaining</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jc w:val="center"/>
              <w:ind w:right="58"/>
              <w:spacing w:after="0" w:line="106" w:lineRule="exact"/>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06"/>
        </w:trPr>
        <w:tc>
          <w:tcPr>
            <w:tcW w:w="4540" w:type="dxa"/>
            <w:vAlign w:val="bottom"/>
          </w:tcPr>
          <w:p>
            <w:pPr>
              <w:spacing w:after="0"/>
              <w:rPr>
                <w:sz w:val="9"/>
                <w:szCs w:val="9"/>
                <w:color w:val="auto"/>
              </w:rPr>
            </w:pPr>
          </w:p>
        </w:tc>
        <w:tc>
          <w:tcPr>
            <w:tcW w:w="1600" w:type="dxa"/>
            <w:vAlign w:val="bottom"/>
            <w:vMerge w:val="restart"/>
          </w:tcPr>
          <w:p>
            <w:pPr>
              <w:jc w:val="right"/>
              <w:ind w:right="254"/>
              <w:spacing w:after="0"/>
              <w:rPr>
                <w:sz w:val="20"/>
                <w:szCs w:val="20"/>
                <w:color w:val="auto"/>
              </w:rPr>
            </w:pPr>
            <w:r>
              <w:rPr>
                <w:rFonts w:ascii="Arial" w:cs="Arial" w:eastAsia="Arial" w:hAnsi="Arial"/>
                <w:sz w:val="11"/>
                <w:szCs w:val="11"/>
                <w:b w:val="1"/>
                <w:bCs w:val="1"/>
                <w:color w:val="auto"/>
              </w:rPr>
              <w:t>Number of Shares</w:t>
            </w:r>
          </w:p>
        </w:tc>
        <w:tc>
          <w:tcPr>
            <w:tcW w:w="80" w:type="dxa"/>
            <w:vAlign w:val="bottom"/>
          </w:tcPr>
          <w:p>
            <w:pPr>
              <w:spacing w:after="0"/>
              <w:rPr>
                <w:sz w:val="9"/>
                <w:szCs w:val="9"/>
                <w:color w:val="auto"/>
              </w:rPr>
            </w:pPr>
          </w:p>
        </w:tc>
        <w:tc>
          <w:tcPr>
            <w:tcW w:w="1100" w:type="dxa"/>
            <w:vAlign w:val="bottom"/>
          </w:tcPr>
          <w:p>
            <w:pPr>
              <w:jc w:val="center"/>
              <w:ind w:left="443"/>
              <w:spacing w:after="0" w:line="106" w:lineRule="exact"/>
              <w:rPr>
                <w:sz w:val="20"/>
                <w:szCs w:val="20"/>
                <w:color w:val="auto"/>
              </w:rPr>
            </w:pPr>
            <w:r>
              <w:rPr>
                <w:rFonts w:ascii="Arial" w:cs="Arial" w:eastAsia="Arial" w:hAnsi="Arial"/>
                <w:sz w:val="11"/>
                <w:szCs w:val="11"/>
                <w:b w:val="1"/>
                <w:bCs w:val="1"/>
                <w:color w:val="auto"/>
              </w:rPr>
              <w:t>Exercise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gridSpan w:val="2"/>
          </w:tcPr>
          <w:p>
            <w:pPr>
              <w:jc w:val="center"/>
              <w:ind w:right="420"/>
              <w:spacing w:after="0" w:line="106" w:lineRule="exact"/>
              <w:rPr>
                <w:sz w:val="20"/>
                <w:szCs w:val="20"/>
                <w:color w:val="auto"/>
              </w:rPr>
            </w:pPr>
            <w:r>
              <w:rPr>
                <w:rFonts w:ascii="Arial" w:cs="Arial" w:eastAsia="Arial" w:hAnsi="Arial"/>
                <w:sz w:val="11"/>
                <w:szCs w:val="11"/>
                <w:b w:val="1"/>
                <w:bCs w:val="1"/>
                <w:color w:val="auto"/>
              </w:rPr>
              <w:t>Contractual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jc w:val="center"/>
              <w:ind w:right="58"/>
              <w:spacing w:after="0" w:line="106" w:lineRule="exact"/>
              <w:rPr>
                <w:sz w:val="20"/>
                <w:szCs w:val="20"/>
                <w:color w:val="auto"/>
              </w:rPr>
            </w:pPr>
            <w:r>
              <w:rPr>
                <w:rFonts w:ascii="Arial" w:cs="Arial" w:eastAsia="Arial" w:hAnsi="Arial"/>
                <w:sz w:val="11"/>
                <w:szCs w:val="11"/>
                <w:b w:val="1"/>
                <w:bCs w:val="1"/>
                <w:color w:val="auto"/>
              </w:rPr>
              <w:t>Values</w:t>
            </w:r>
          </w:p>
        </w:tc>
        <w:tc>
          <w:tcPr>
            <w:tcW w:w="0" w:type="dxa"/>
            <w:vAlign w:val="bottom"/>
          </w:tcPr>
          <w:p>
            <w:pPr>
              <w:spacing w:after="0"/>
              <w:rPr>
                <w:sz w:val="1"/>
                <w:szCs w:val="1"/>
                <w:color w:val="auto"/>
              </w:rPr>
            </w:pPr>
          </w:p>
        </w:tc>
      </w:tr>
      <w:tr>
        <w:trPr>
          <w:trHeight w:val="138"/>
        </w:trPr>
        <w:tc>
          <w:tcPr>
            <w:tcW w:w="4540" w:type="dxa"/>
            <w:vAlign w:val="bottom"/>
            <w:tcBorders>
              <w:bottom w:val="single" w:sz="8" w:color="CCEEFF"/>
            </w:tcBorders>
          </w:tcPr>
          <w:p>
            <w:pPr>
              <w:spacing w:after="0"/>
              <w:rPr>
                <w:sz w:val="11"/>
                <w:szCs w:val="11"/>
                <w:color w:val="auto"/>
              </w:rPr>
            </w:pPr>
          </w:p>
        </w:tc>
        <w:tc>
          <w:tcPr>
            <w:tcW w:w="16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center"/>
              <w:ind w:left="443"/>
              <w:spacing w:after="0"/>
              <w:rPr>
                <w:sz w:val="20"/>
                <w:szCs w:val="20"/>
                <w:color w:val="auto"/>
              </w:rPr>
            </w:pPr>
            <w:r>
              <w:rPr>
                <w:rFonts w:ascii="Arial" w:cs="Arial" w:eastAsia="Arial" w:hAnsi="Arial"/>
                <w:sz w:val="11"/>
                <w:szCs w:val="11"/>
                <w:b w:val="1"/>
                <w:bCs w:val="1"/>
                <w:color w:val="auto"/>
              </w:rPr>
              <w:t>Price</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center"/>
              <w:ind w:right="239"/>
              <w:spacing w:after="0"/>
              <w:rPr>
                <w:sz w:val="20"/>
                <w:szCs w:val="20"/>
                <w:color w:val="auto"/>
              </w:rPr>
            </w:pPr>
            <w:r>
              <w:rPr>
                <w:rFonts w:ascii="Arial" w:cs="Arial" w:eastAsia="Arial" w:hAnsi="Arial"/>
                <w:sz w:val="11"/>
                <w:szCs w:val="11"/>
                <w:b w:val="1"/>
                <w:bCs w:val="1"/>
                <w:color w:val="auto"/>
              </w:rPr>
              <w:t>Term (Years)</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($‘000s)</w:t>
            </w:r>
          </w:p>
        </w:tc>
        <w:tc>
          <w:tcPr>
            <w:tcW w:w="0" w:type="dxa"/>
            <w:vAlign w:val="bottom"/>
          </w:tcPr>
          <w:p>
            <w:pPr>
              <w:spacing w:after="0"/>
              <w:rPr>
                <w:sz w:val="1"/>
                <w:szCs w:val="1"/>
                <w:color w:val="auto"/>
              </w:rPr>
            </w:pPr>
          </w:p>
        </w:tc>
      </w:tr>
      <w:tr>
        <w:trPr>
          <w:trHeight w:val="160"/>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Balances—December 31, 2020</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7,073,584</w:t>
            </w:r>
          </w:p>
        </w:tc>
        <w:tc>
          <w:tcPr>
            <w:tcW w:w="1180" w:type="dxa"/>
            <w:vAlign w:val="bottom"/>
            <w:gridSpan w:val="2"/>
            <w:shd w:val="clear" w:color="auto" w:fill="CCEEFF"/>
          </w:tcPr>
          <w:p>
            <w:pPr>
              <w:jc w:val="right"/>
              <w:ind w:right="943"/>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10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13,348</w:t>
            </w:r>
          </w:p>
        </w:tc>
        <w:tc>
          <w:tcPr>
            <w:tcW w:w="0" w:type="dxa"/>
            <w:vAlign w:val="bottom"/>
          </w:tcPr>
          <w:p>
            <w:pPr>
              <w:spacing w:after="0"/>
              <w:rPr>
                <w:sz w:val="1"/>
                <w:szCs w:val="1"/>
                <w:color w:val="auto"/>
              </w:rPr>
            </w:pPr>
          </w:p>
        </w:tc>
      </w:tr>
      <w:tr>
        <w:trPr>
          <w:trHeight w:val="169"/>
        </w:trPr>
        <w:tc>
          <w:tcPr>
            <w:tcW w:w="4540" w:type="dxa"/>
            <w:vAlign w:val="bottom"/>
          </w:tcPr>
          <w:p>
            <w:pPr>
              <w:ind w:left="180"/>
              <w:spacing w:after="0"/>
              <w:rPr>
                <w:sz w:val="20"/>
                <w:szCs w:val="20"/>
                <w:color w:val="auto"/>
              </w:rPr>
            </w:pPr>
            <w:r>
              <w:rPr>
                <w:rFonts w:ascii="Arial" w:cs="Arial" w:eastAsia="Arial" w:hAnsi="Arial"/>
                <w:sz w:val="13"/>
                <w:szCs w:val="13"/>
                <w:color w:val="auto"/>
              </w:rPr>
              <w:t>Granted</w:t>
            </w:r>
          </w:p>
        </w:tc>
        <w:tc>
          <w:tcPr>
            <w:tcW w:w="1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3"/>
                <w:szCs w:val="13"/>
                <w:color w:val="auto"/>
              </w:rPr>
              <w:t>—</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Exercised</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(1,362,327)</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Canceled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(304,087)</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0.84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Balance—December 31, 2021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5,407,170</w:t>
            </w:r>
          </w:p>
        </w:tc>
        <w:tc>
          <w:tcPr>
            <w:tcW w:w="1180" w:type="dxa"/>
            <w:vAlign w:val="bottom"/>
            <w:tcBorders>
              <w:bottom w:val="single" w:sz="8" w:color="CCEEFF"/>
            </w:tcBorders>
            <w:gridSpan w:val="2"/>
            <w:shd w:val="clear" w:color="auto" w:fill="CCEEFF"/>
          </w:tcPr>
          <w:p>
            <w:pPr>
              <w:jc w:val="right"/>
              <w:ind w:right="943"/>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0.96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108,964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540" w:type="dxa"/>
            <w:vAlign w:val="bottom"/>
          </w:tcPr>
          <w:p>
            <w:pPr>
              <w:ind w:left="20"/>
              <w:spacing w:after="0" w:line="133" w:lineRule="exact"/>
              <w:rPr>
                <w:sz w:val="20"/>
                <w:szCs w:val="20"/>
                <w:color w:val="auto"/>
              </w:rPr>
            </w:pPr>
            <w:r>
              <w:rPr>
                <w:rFonts w:ascii="Arial" w:cs="Arial" w:eastAsia="Arial" w:hAnsi="Arial"/>
                <w:sz w:val="13"/>
                <w:szCs w:val="13"/>
                <w:color w:val="auto"/>
              </w:rPr>
              <w:t>Options vested and exercisable—December 31, 2021</w:t>
            </w:r>
          </w:p>
        </w:tc>
        <w:tc>
          <w:tcPr>
            <w:tcW w:w="16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3,209,726</w:t>
            </w:r>
          </w:p>
        </w:tc>
        <w:tc>
          <w:tcPr>
            <w:tcW w:w="1180" w:type="dxa"/>
            <w:vAlign w:val="bottom"/>
            <w:gridSpan w:val="2"/>
          </w:tcPr>
          <w:p>
            <w:pPr>
              <w:jc w:val="right"/>
              <w:ind w:right="943"/>
              <w:spacing w:after="0" w:line="133"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3" w:lineRule="exact"/>
              <w:rPr>
                <w:sz w:val="20"/>
                <w:szCs w:val="20"/>
                <w:color w:val="auto"/>
              </w:rPr>
            </w:pPr>
            <w:r>
              <w:rPr>
                <w:rFonts w:ascii="Arial" w:cs="Arial" w:eastAsia="Arial" w:hAnsi="Arial"/>
                <w:sz w:val="13"/>
                <w:szCs w:val="13"/>
                <w:color w:val="auto"/>
              </w:rPr>
              <w:t>0.62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Arial" w:cs="Arial" w:eastAsia="Arial" w:hAnsi="Arial"/>
                <w:sz w:val="13"/>
                <w:szCs w:val="13"/>
                <w:color w:val="auto"/>
              </w:rPr>
              <w:t>6.36</w:t>
            </w:r>
          </w:p>
        </w:tc>
        <w:tc>
          <w:tcPr>
            <w:tcW w:w="100" w:type="dxa"/>
            <w:vAlign w:val="bottom"/>
          </w:tcPr>
          <w:p>
            <w:pPr>
              <w:spacing w:after="0"/>
              <w:rPr>
                <w:sz w:val="11"/>
                <w:szCs w:val="11"/>
                <w:color w:val="auto"/>
              </w:rPr>
            </w:pPr>
          </w:p>
        </w:tc>
        <w:tc>
          <w:tcPr>
            <w:tcW w:w="10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line="133" w:lineRule="exact"/>
              <w:rPr>
                <w:sz w:val="20"/>
                <w:szCs w:val="20"/>
                <w:color w:val="auto"/>
              </w:rPr>
            </w:pPr>
            <w:r>
              <w:rPr>
                <w:rFonts w:ascii="Arial" w:cs="Arial" w:eastAsia="Arial" w:hAnsi="Arial"/>
                <w:sz w:val="13"/>
                <w:szCs w:val="13"/>
                <w:color w:val="auto"/>
              </w:rPr>
              <w:t>65,752</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Options vested and exercisable—December 31, 2020</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3,157,172</w:t>
            </w:r>
          </w:p>
        </w:tc>
        <w:tc>
          <w:tcPr>
            <w:tcW w:w="1180" w:type="dxa"/>
            <w:vAlign w:val="bottom"/>
            <w:tcBorders>
              <w:bottom w:val="single" w:sz="8" w:color="CCEEFF"/>
            </w:tcBorders>
            <w:gridSpan w:val="2"/>
            <w:shd w:val="clear" w:color="auto" w:fill="CCEEFF"/>
          </w:tcPr>
          <w:p>
            <w:pPr>
              <w:jc w:val="right"/>
              <w:ind w:right="943"/>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0.40</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7,398</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aggregate intrinsic value of the options exercised for the years ended December 31, 2021 and 2020 was $9.0 million and $0.4 million, respectively. The total grant-date fair value of awards vested was $0.5 million and $0.3 million for the years ended December 31, 2021 and 2020,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The amount of cash received by the Company for the exercise of stock options was $0.6 million and $0.2 million for the years ended December 31, 2021 and 2020, respectively.</w:t>
      </w:r>
    </w:p>
    <w:p>
      <w:pPr>
        <w:spacing w:after="0" w:line="13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As of December 31, 2021, there was $0.9 million of unamortized stock-based compensation cost related to unvested stock options, which is expected to be recognized over a weighted-average period of 2.6 years.</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Stock options granted generally have a maximum term of ten years from the grant date and generally vest over a period of four years with 25% vesting after one year and then monthly thereafter for three years.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each stock option granted is estimated using the Black-Scholes option-pricing model. The Company determines valuation assumptions for Black-Scholes as follows:</w:t>
      </w:r>
    </w:p>
    <w:p>
      <w:pPr>
        <w:spacing w:after="0" w:line="121" w:lineRule="exact"/>
        <w:rPr>
          <w:sz w:val="20"/>
          <w:szCs w:val="20"/>
          <w:color w:val="auto"/>
        </w:rPr>
      </w:pPr>
    </w:p>
    <w:p>
      <w:pPr>
        <w:ind w:left="520" w:right="100"/>
        <w:spacing w:after="0" w:line="300" w:lineRule="auto"/>
        <w:rPr>
          <w:sz w:val="20"/>
          <w:szCs w:val="20"/>
          <w:color w:val="auto"/>
        </w:rPr>
      </w:pPr>
      <w:r>
        <w:rPr>
          <w:rFonts w:ascii="Arial" w:cs="Arial" w:eastAsia="Arial" w:hAnsi="Arial"/>
          <w:sz w:val="13"/>
          <w:szCs w:val="13"/>
          <w:b w:val="1"/>
          <w:bCs w:val="1"/>
          <w:i w:val="1"/>
          <w:iCs w:val="1"/>
          <w:color w:val="auto"/>
        </w:rPr>
        <w:t>Risk-Free Interest Rate</w:t>
      </w:r>
      <w:r>
        <w:rPr>
          <w:rFonts w:ascii="Arial" w:cs="Arial" w:eastAsia="Arial" w:hAnsi="Arial"/>
          <w:sz w:val="13"/>
          <w:szCs w:val="13"/>
          <w:color w:val="auto"/>
        </w:rPr>
        <w:t>—The Company bases the risk-free interest rate used in the Black-Scholes option-pricing model on the implied yield available on US Treasury zero coupon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issues with an equivalent expected term of the options for each option group.</w:t>
      </w:r>
    </w:p>
    <w:p>
      <w:pPr>
        <w:spacing w:after="0" w:line="72" w:lineRule="exact"/>
        <w:rPr>
          <w:sz w:val="20"/>
          <w:szCs w:val="20"/>
          <w:color w:val="auto"/>
        </w:rPr>
      </w:pPr>
    </w:p>
    <w:p>
      <w:pPr>
        <w:ind w:left="520"/>
        <w:spacing w:after="0" w:line="300" w:lineRule="auto"/>
        <w:rPr>
          <w:sz w:val="20"/>
          <w:szCs w:val="20"/>
          <w:color w:val="auto"/>
        </w:rPr>
      </w:pPr>
      <w:r>
        <w:rPr>
          <w:rFonts w:ascii="Arial" w:cs="Arial" w:eastAsia="Arial" w:hAnsi="Arial"/>
          <w:sz w:val="13"/>
          <w:szCs w:val="13"/>
          <w:b w:val="1"/>
          <w:bCs w:val="1"/>
          <w:i w:val="1"/>
          <w:iCs w:val="1"/>
          <w:color w:val="auto"/>
        </w:rPr>
        <w:t>Expected Term</w:t>
      </w:r>
      <w:r>
        <w:rPr>
          <w:rFonts w:ascii="Arial" w:cs="Arial" w:eastAsia="Arial" w:hAnsi="Arial"/>
          <w:sz w:val="13"/>
          <w:szCs w:val="13"/>
          <w:color w:val="auto"/>
        </w:rPr>
        <w:t>—The expected term represents the period that the Company’s stock-based awards are expected to be outstanding. The expected term assumption is based on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simplified method. The Company expects to continue using the simplified method until sufficient information about the Company’s historical behavior is available.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ind w:left="520"/>
        <w:spacing w:after="0" w:line="300" w:lineRule="auto"/>
        <w:rPr>
          <w:sz w:val="20"/>
          <w:szCs w:val="20"/>
          <w:color w:val="auto"/>
        </w:rPr>
      </w:pPr>
      <w:r>
        <w:rPr>
          <w:rFonts w:ascii="Arial" w:cs="Arial" w:eastAsia="Arial" w:hAnsi="Arial"/>
          <w:sz w:val="13"/>
          <w:szCs w:val="13"/>
          <w:b w:val="1"/>
          <w:bCs w:val="1"/>
          <w:i w:val="1"/>
          <w:iCs w:val="1"/>
          <w:color w:val="auto"/>
        </w:rPr>
        <w:t>Volatility</w:t>
      </w:r>
      <w:r>
        <w:rPr>
          <w:rFonts w:ascii="Arial" w:cs="Arial" w:eastAsia="Arial" w:hAnsi="Arial"/>
          <w:sz w:val="13"/>
          <w:szCs w:val="13"/>
          <w:color w:val="auto"/>
        </w:rPr>
        <w:t>—The Company determines the price volatility factor based on the historical volatilities of the Company’s peer group as the Company does not have sufficient trading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history for its common stock.</w:t>
      </w:r>
    </w:p>
    <w:p>
      <w:pPr>
        <w:spacing w:after="0" w:line="72" w:lineRule="exact"/>
        <w:rPr>
          <w:sz w:val="20"/>
          <w:szCs w:val="20"/>
          <w:color w:val="auto"/>
        </w:rPr>
      </w:pPr>
    </w:p>
    <w:p>
      <w:pPr>
        <w:ind w:left="520"/>
        <w:spacing w:after="0" w:line="300" w:lineRule="auto"/>
        <w:rPr>
          <w:sz w:val="20"/>
          <w:szCs w:val="20"/>
          <w:color w:val="auto"/>
        </w:rPr>
      </w:pPr>
      <w:r>
        <w:rPr>
          <w:rFonts w:ascii="Arial" w:cs="Arial" w:eastAsia="Arial" w:hAnsi="Arial"/>
          <w:sz w:val="13"/>
          <w:szCs w:val="13"/>
          <w:b w:val="1"/>
          <w:bCs w:val="1"/>
          <w:i w:val="1"/>
          <w:iCs w:val="1"/>
          <w:color w:val="auto"/>
        </w:rPr>
        <w:t>Dividend Yield</w:t>
      </w:r>
      <w:r>
        <w:rPr>
          <w:rFonts w:ascii="Arial" w:cs="Arial" w:eastAsia="Arial" w:hAnsi="Arial"/>
          <w:sz w:val="13"/>
          <w:szCs w:val="13"/>
          <w:color w:val="auto"/>
        </w:rPr>
        <w:t>—The Company has never declared or paid any cash dividend and does not currently plan to pay a cash dividend in the foreseeable future. Consequently,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Company used an expected dividend yield of zero.</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stock option valuation assumptions:</w:t>
      </w:r>
    </w:p>
    <w:p>
      <w:pPr>
        <w:spacing w:after="0" w:line="157" w:lineRule="exact"/>
        <w:rPr>
          <w:sz w:val="20"/>
          <w:szCs w:val="20"/>
          <w:color w:val="auto"/>
        </w:rPr>
      </w:pPr>
    </w:p>
    <w:p>
      <w:pPr>
        <w:jc w:val="center"/>
        <w:ind w:left="9340"/>
        <w:spacing w:after="0"/>
        <w:rPr>
          <w:sz w:val="20"/>
          <w:szCs w:val="20"/>
          <w:color w:val="auto"/>
        </w:rPr>
      </w:pPr>
      <w:r>
        <w:rPr>
          <w:rFonts w:ascii="Arial" w:cs="Arial" w:eastAsia="Arial" w:hAnsi="Arial"/>
          <w:sz w:val="11"/>
          <w:szCs w:val="11"/>
          <w:b w:val="1"/>
          <w:bCs w:val="1"/>
          <w:color w:val="auto"/>
        </w:rPr>
        <w:t>Year Ended</w:t>
      </w:r>
    </w:p>
    <w:p>
      <w:pPr>
        <w:jc w:val="center"/>
        <w:ind w:left="9340"/>
        <w:spacing w:after="0"/>
        <w:rPr>
          <w:sz w:val="20"/>
          <w:szCs w:val="20"/>
          <w:color w:val="auto"/>
        </w:rPr>
      </w:pPr>
      <w:r>
        <w:rPr>
          <w:rFonts w:ascii="Arial" w:cs="Arial" w:eastAsia="Arial" w:hAnsi="Arial"/>
          <w:sz w:val="11"/>
          <w:szCs w:val="11"/>
          <w:b w:val="1"/>
          <w:bCs w:val="1"/>
          <w:color w:val="auto"/>
        </w:rPr>
        <w:t>December 31,</w:t>
      </w:r>
    </w:p>
    <w:p>
      <w:pPr>
        <w:spacing w:after="0" w:line="10" w:lineRule="exact"/>
        <w:rPr>
          <w:sz w:val="20"/>
          <w:szCs w:val="20"/>
          <w:color w:val="auto"/>
        </w:rPr>
      </w:pPr>
    </w:p>
    <w:p>
      <w:pPr>
        <w:ind w:left="10200"/>
        <w:spacing w:after="0"/>
        <w:rPr>
          <w:sz w:val="20"/>
          <w:szCs w:val="20"/>
          <w:color w:val="auto"/>
        </w:rPr>
      </w:pPr>
      <w:r>
        <w:rPr>
          <w:rFonts w:ascii="Arial" w:cs="Arial" w:eastAsia="Arial" w:hAnsi="Arial"/>
          <w:sz w:val="11"/>
          <w:szCs w:val="11"/>
          <w:b w:val="1"/>
          <w:bCs w:val="1"/>
          <w:color w:val="auto"/>
        </w:rPr>
        <w:t>2020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Fair value of common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$0.60</w:t>
            </w:r>
          </w:p>
        </w:tc>
        <w:tc>
          <w:tcPr>
            <w:tcW w:w="1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$2.74</w:t>
            </w:r>
          </w:p>
        </w:tc>
      </w:tr>
      <w:tr>
        <w:trPr>
          <w:trHeight w:val="169"/>
        </w:trPr>
        <w:tc>
          <w:tcPr>
            <w:tcW w:w="9360" w:type="dxa"/>
            <w:vAlign w:val="bottom"/>
          </w:tcPr>
          <w:p>
            <w:pPr>
              <w:ind w:left="20"/>
              <w:spacing w:after="0"/>
              <w:rPr>
                <w:sz w:val="20"/>
                <w:szCs w:val="20"/>
                <w:color w:val="auto"/>
              </w:rPr>
            </w:pPr>
            <w:r>
              <w:rPr>
                <w:rFonts w:ascii="Arial" w:cs="Arial" w:eastAsia="Arial" w:hAnsi="Arial"/>
                <w:sz w:val="13"/>
                <w:szCs w:val="13"/>
                <w:color w:val="auto"/>
              </w:rPr>
              <w:t>Expected volatility</w:t>
            </w:r>
          </w:p>
        </w:tc>
        <w:tc>
          <w:tcPr>
            <w:tcW w:w="920" w:type="dxa"/>
            <w:vAlign w:val="bottom"/>
          </w:tcPr>
          <w:p>
            <w:pPr>
              <w:jc w:val="right"/>
              <w:spacing w:after="0"/>
              <w:rPr>
                <w:sz w:val="20"/>
                <w:szCs w:val="20"/>
                <w:color w:val="auto"/>
              </w:rPr>
            </w:pPr>
            <w:r>
              <w:rPr>
                <w:rFonts w:ascii="Arial" w:cs="Arial" w:eastAsia="Arial" w:hAnsi="Arial"/>
                <w:sz w:val="13"/>
                <w:szCs w:val="13"/>
                <w:color w:val="auto"/>
              </w:rPr>
              <w:t>33.9%</w:t>
            </w:r>
          </w:p>
        </w:tc>
        <w:tc>
          <w:tcPr>
            <w:tcW w:w="1000" w:type="dxa"/>
            <w:vAlign w:val="bottom"/>
          </w:tcPr>
          <w:p>
            <w:pPr>
              <w:ind w:left="20"/>
              <w:spacing w:after="0"/>
              <w:rPr>
                <w:sz w:val="20"/>
                <w:szCs w:val="20"/>
                <w:color w:val="auto"/>
              </w:rPr>
            </w:pPr>
            <w:r>
              <w:rPr>
                <w:rFonts w:ascii="Arial" w:cs="Arial" w:eastAsia="Arial" w:hAnsi="Arial"/>
                <w:sz w:val="13"/>
                <w:szCs w:val="13"/>
                <w:color w:val="auto"/>
              </w:rPr>
              <w:t>- 39.9%</w:t>
            </w:r>
          </w:p>
        </w:tc>
      </w:tr>
      <w:tr>
        <w:trPr>
          <w:trHeight w:val="171"/>
        </w:trPr>
        <w:tc>
          <w:tcPr>
            <w:tcW w:w="9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term (in years)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- 6.1</w:t>
            </w:r>
          </w:p>
        </w:tc>
      </w:tr>
      <w:tr>
        <w:trPr>
          <w:trHeight w:val="167"/>
        </w:trPr>
        <w:tc>
          <w:tcPr>
            <w:tcW w:w="9360" w:type="dxa"/>
            <w:vAlign w:val="bottom"/>
          </w:tcPr>
          <w:p>
            <w:pPr>
              <w:ind w:left="20"/>
              <w:spacing w:after="0"/>
              <w:rPr>
                <w:sz w:val="20"/>
                <w:szCs w:val="20"/>
                <w:color w:val="auto"/>
              </w:rPr>
            </w:pPr>
            <w:r>
              <w:rPr>
                <w:rFonts w:ascii="Arial" w:cs="Arial" w:eastAsia="Arial" w:hAnsi="Arial"/>
                <w:sz w:val="13"/>
                <w:szCs w:val="13"/>
                <w:color w:val="auto"/>
              </w:rPr>
              <w:t>Risk-free interest rate</w:t>
            </w:r>
          </w:p>
        </w:tc>
        <w:tc>
          <w:tcPr>
            <w:tcW w:w="920" w:type="dxa"/>
            <w:vAlign w:val="bottom"/>
          </w:tcPr>
          <w:p>
            <w:pPr>
              <w:jc w:val="right"/>
              <w:spacing w:after="0"/>
              <w:rPr>
                <w:sz w:val="20"/>
                <w:szCs w:val="20"/>
                <w:color w:val="auto"/>
              </w:rPr>
            </w:pPr>
            <w:r>
              <w:rPr>
                <w:rFonts w:ascii="Arial" w:cs="Arial" w:eastAsia="Arial" w:hAnsi="Arial"/>
                <w:sz w:val="13"/>
                <w:szCs w:val="13"/>
                <w:color w:val="auto"/>
              </w:rPr>
              <w:t>0.3%</w:t>
            </w:r>
          </w:p>
        </w:tc>
        <w:tc>
          <w:tcPr>
            <w:tcW w:w="1000" w:type="dxa"/>
            <w:vAlign w:val="bottom"/>
          </w:tcPr>
          <w:p>
            <w:pPr>
              <w:ind w:left="20"/>
              <w:spacing w:after="0"/>
              <w:rPr>
                <w:sz w:val="20"/>
                <w:szCs w:val="20"/>
                <w:color w:val="auto"/>
              </w:rPr>
            </w:pPr>
            <w:r>
              <w:rPr>
                <w:rFonts w:ascii="Arial" w:cs="Arial" w:eastAsia="Arial" w:hAnsi="Arial"/>
                <w:sz w:val="13"/>
                <w:szCs w:val="13"/>
                <w:color w:val="auto"/>
              </w:rPr>
              <w:t>- 1.5%</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4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r>
      <w:tr>
        <w:trPr>
          <w:trHeight w:val="358"/>
        </w:trPr>
        <w:tc>
          <w:tcPr>
            <w:tcW w:w="7160" w:type="dxa"/>
            <w:vAlign w:val="bottom"/>
            <w:gridSpan w:val="2"/>
          </w:tcPr>
          <w:p>
            <w:pPr>
              <w:spacing w:after="0"/>
              <w:rPr>
                <w:sz w:val="20"/>
                <w:szCs w:val="20"/>
                <w:color w:val="auto"/>
              </w:rPr>
            </w:pPr>
            <w:r>
              <w:rPr>
                <w:rFonts w:ascii="Arial" w:cs="Arial" w:eastAsia="Arial" w:hAnsi="Arial"/>
                <w:sz w:val="13"/>
                <w:szCs w:val="13"/>
                <w:color w:val="auto"/>
              </w:rPr>
              <w:t>The Company had no stock option grants during the year ended December 31, 2021.</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71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Restricted Stock Units and Awards</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7160" w:type="dxa"/>
            <w:vAlign w:val="bottom"/>
            <w:gridSpan w:val="2"/>
          </w:tcPr>
          <w:p>
            <w:pPr>
              <w:spacing w:after="0"/>
              <w:rPr>
                <w:sz w:val="20"/>
                <w:szCs w:val="20"/>
                <w:color w:val="auto"/>
              </w:rPr>
            </w:pPr>
            <w:r>
              <w:rPr>
                <w:rFonts w:ascii="Arial" w:cs="Arial" w:eastAsia="Arial" w:hAnsi="Arial"/>
                <w:sz w:val="13"/>
                <w:szCs w:val="13"/>
                <w:color w:val="auto"/>
              </w:rPr>
              <w:t>The following table summarizes the restricted stock units activities under the Company’s 2013, 2016 and 2021 Plans:</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7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3"/>
          </w:tcPr>
          <w:p>
            <w:pPr>
              <w:jc w:val="right"/>
              <w:ind w:right="1598"/>
              <w:spacing w:after="0"/>
              <w:rPr>
                <w:sz w:val="20"/>
                <w:szCs w:val="20"/>
                <w:color w:val="auto"/>
              </w:rPr>
            </w:pPr>
            <w:r>
              <w:rPr>
                <w:rFonts w:ascii="Arial" w:cs="Arial" w:eastAsia="Arial" w:hAnsi="Arial"/>
                <w:sz w:val="11"/>
                <w:szCs w:val="11"/>
                <w:b w:val="1"/>
                <w:bCs w:val="1"/>
                <w:color w:val="auto"/>
              </w:rPr>
              <w:t>Restricted Stock Units</w:t>
            </w:r>
          </w:p>
        </w:tc>
        <w:tc>
          <w:tcPr>
            <w:tcW w:w="20" w:type="dxa"/>
            <w:vAlign w:val="bottom"/>
          </w:tcPr>
          <w:p>
            <w:pPr>
              <w:spacing w:after="0"/>
              <w:rPr>
                <w:sz w:val="24"/>
                <w:szCs w:val="24"/>
                <w:color w:val="auto"/>
              </w:rPr>
            </w:pPr>
          </w:p>
        </w:tc>
      </w:tr>
      <w:tr>
        <w:trPr>
          <w:trHeight w:val="139"/>
        </w:trPr>
        <w:tc>
          <w:tcPr>
            <w:tcW w:w="67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Number of Shares</w:t>
            </w:r>
          </w:p>
        </w:tc>
        <w:tc>
          <w:tcPr>
            <w:tcW w:w="80" w:type="dxa"/>
            <w:vAlign w:val="bottom"/>
            <w:tcBorders>
              <w:bottom w:val="single" w:sz="8" w:color="CCEEFF"/>
            </w:tcBorders>
          </w:tcPr>
          <w:p>
            <w:pPr>
              <w:spacing w:after="0"/>
              <w:rPr>
                <w:sz w:val="12"/>
                <w:szCs w:val="12"/>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Weighted-Average Grant Date Fair Value</w:t>
            </w:r>
          </w:p>
        </w:tc>
        <w:tc>
          <w:tcPr>
            <w:tcW w:w="20" w:type="dxa"/>
            <w:vAlign w:val="bottom"/>
          </w:tcPr>
          <w:p>
            <w:pPr>
              <w:spacing w:after="0"/>
              <w:rPr>
                <w:sz w:val="12"/>
                <w:szCs w:val="12"/>
                <w:color w:val="auto"/>
              </w:rPr>
            </w:pPr>
          </w:p>
        </w:tc>
      </w:tr>
      <w:tr>
        <w:trPr>
          <w:trHeight w:val="16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Unvested—December 31, 2020</w:t>
            </w: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843,095</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20" w:type="dxa"/>
            <w:vAlign w:val="bottom"/>
          </w:tcPr>
          <w:p>
            <w:pPr>
              <w:spacing w:after="0"/>
              <w:rPr>
                <w:sz w:val="13"/>
                <w:szCs w:val="13"/>
                <w:color w:val="auto"/>
              </w:rPr>
            </w:pPr>
          </w:p>
        </w:tc>
      </w:tr>
      <w:tr>
        <w:trPr>
          <w:trHeight w:val="169"/>
        </w:trPr>
        <w:tc>
          <w:tcPr>
            <w:tcW w:w="7160" w:type="dxa"/>
            <w:vAlign w:val="bottom"/>
            <w:gridSpan w:val="2"/>
          </w:tcPr>
          <w:p>
            <w:pPr>
              <w:ind w:left="280"/>
              <w:spacing w:after="0"/>
              <w:rPr>
                <w:sz w:val="20"/>
                <w:szCs w:val="20"/>
                <w:color w:val="auto"/>
              </w:rPr>
            </w:pPr>
            <w:r>
              <w:rPr>
                <w:rFonts w:ascii="Arial" w:cs="Arial" w:eastAsia="Arial" w:hAnsi="Arial"/>
                <w:sz w:val="13"/>
                <w:szCs w:val="13"/>
                <w:color w:val="auto"/>
              </w:rPr>
              <w:t>Granted</w:t>
            </w:r>
          </w:p>
        </w:tc>
        <w:tc>
          <w:tcPr>
            <w:tcW w:w="1800" w:type="dxa"/>
            <w:vAlign w:val="bottom"/>
          </w:tcPr>
          <w:p>
            <w:pPr>
              <w:jc w:val="right"/>
              <w:spacing w:after="0"/>
              <w:rPr>
                <w:sz w:val="20"/>
                <w:szCs w:val="20"/>
                <w:color w:val="auto"/>
              </w:rPr>
            </w:pPr>
            <w:r>
              <w:rPr>
                <w:rFonts w:ascii="Arial" w:cs="Arial" w:eastAsia="Arial" w:hAnsi="Arial"/>
                <w:sz w:val="13"/>
                <w:szCs w:val="13"/>
                <w:color w:val="auto"/>
              </w:rPr>
              <w:t>3,607,652</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6.09</w:t>
            </w:r>
          </w:p>
        </w:tc>
        <w:tc>
          <w:tcPr>
            <w:tcW w:w="20" w:type="dxa"/>
            <w:vAlign w:val="bottom"/>
          </w:tcPr>
          <w:p>
            <w:pPr>
              <w:spacing w:after="0"/>
              <w:rPr>
                <w:sz w:val="14"/>
                <w:szCs w:val="14"/>
                <w:color w:val="auto"/>
              </w:rPr>
            </w:pPr>
          </w:p>
        </w:tc>
      </w:tr>
      <w:tr>
        <w:trPr>
          <w:trHeight w:val="171"/>
        </w:trPr>
        <w:tc>
          <w:tcPr>
            <w:tcW w:w="71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(210,050)</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20" w:type="dxa"/>
            <w:vAlign w:val="bottom"/>
          </w:tcPr>
          <w:p>
            <w:pPr>
              <w:spacing w:after="0"/>
              <w:rPr>
                <w:sz w:val="14"/>
                <w:szCs w:val="14"/>
                <w:color w:val="auto"/>
              </w:rPr>
            </w:pPr>
          </w:p>
        </w:tc>
      </w:tr>
      <w:tr>
        <w:trPr>
          <w:trHeight w:val="169"/>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Canceled</w:t>
            </w:r>
          </w:p>
        </w:tc>
        <w:tc>
          <w:tcPr>
            <w:tcW w:w="4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(315,600)</w:t>
            </w:r>
          </w:p>
        </w:tc>
        <w:tc>
          <w:tcPr>
            <w:tcW w:w="2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4.72</w:t>
            </w:r>
          </w:p>
        </w:tc>
        <w:tc>
          <w:tcPr>
            <w:tcW w:w="20" w:type="dxa"/>
            <w:vAlign w:val="bottom"/>
          </w:tcPr>
          <w:p>
            <w:pPr>
              <w:spacing w:after="0"/>
              <w:rPr>
                <w:sz w:val="14"/>
                <w:szCs w:val="14"/>
                <w:color w:val="auto"/>
              </w:rPr>
            </w:pPr>
          </w:p>
        </w:tc>
      </w:tr>
      <w:tr>
        <w:trPr>
          <w:trHeight w:val="182"/>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Unvested—December 31, 2021</w:t>
            </w: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3,925,097</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20" w:type="dxa"/>
            <w:vAlign w:val="bottom"/>
          </w:tcPr>
          <w:p>
            <w:pPr>
              <w:spacing w:after="0"/>
              <w:rPr>
                <w:sz w:val="15"/>
                <w:szCs w:val="15"/>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The total grant-date fair value of restricted stock units vested was $0.4 million and less than $0.1 million during the years ended December 31, 2021 and 2020.</w:t>
      </w:r>
    </w:p>
    <w:p>
      <w:pPr>
        <w:spacing w:after="0" w:line="137" w:lineRule="exact"/>
        <w:rPr>
          <w:sz w:val="20"/>
          <w:szCs w:val="20"/>
          <w:color w:val="auto"/>
        </w:rPr>
      </w:pPr>
    </w:p>
    <w:p>
      <w:pPr>
        <w:ind w:right="440"/>
        <w:spacing w:after="0" w:line="274" w:lineRule="auto"/>
        <w:rPr>
          <w:sz w:val="20"/>
          <w:szCs w:val="20"/>
          <w:color w:val="auto"/>
        </w:rPr>
      </w:pPr>
      <w:r>
        <w:rPr>
          <w:rFonts w:ascii="Arial" w:cs="Arial" w:eastAsia="Arial" w:hAnsi="Arial"/>
          <w:sz w:val="13"/>
          <w:szCs w:val="13"/>
          <w:color w:val="auto"/>
        </w:rPr>
        <w:t>As of December 31, 2021, there was $17.1 million of unamortized stock-based compensation cost related to unvested restricted stock units, which is expected to be recognized over a weighted-average period of 2.9 years.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For RSUs granted under the 2016 Stock Plan, it contains both a service-based vesting condition and a performance-based vesting condition. The service-based vesting condition for these awards is generally satisfied by rendering continuous service for approximately four years, during which time the grants will vest periodically. The performance-based vesting condition of certain awards is satisfied in connection with the Company becoming a publicly listed company or a change in control.</w:t>
      </w:r>
    </w:p>
    <w:p>
      <w:pPr>
        <w:spacing w:after="0" w:line="11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For RSUs granted under the 2021 Stock Plan, it contains the service-based vesting condition for these awards and is generally satisfied by rendering continuous service for typically satisfied over four years with a cliff vesting period of one year and continued vesting quarterly thereafter.</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Stock-based compensation expense is recorded on a departmental basis, based on the classification of the award holder. The following table presents the amount of stock-based compensation, inclusive of the cumulative stock-based compensation expense recognize upon the effectiveness of the Company’s IPO, related to stock-based awards to employees and non-employees on the Company’s consolidated statements of income (loss) (in thousands):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220" w:type="dxa"/>
            <w:vAlign w:val="bottom"/>
          </w:tcPr>
          <w:p>
            <w:pPr>
              <w:spacing w:after="0"/>
              <w:rPr>
                <w:sz w:val="12"/>
                <w:szCs w:val="12"/>
                <w:color w:val="auto"/>
              </w:rPr>
            </w:pPr>
          </w:p>
        </w:tc>
        <w:tc>
          <w:tcPr>
            <w:tcW w:w="26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1"/>
                <w:szCs w:val="11"/>
                <w:b w:val="1"/>
                <w:bCs w:val="1"/>
                <w:color w:val="auto"/>
              </w:rPr>
              <w:t>Year Ended December 31,</w:t>
            </w:r>
          </w:p>
        </w:tc>
        <w:tc>
          <w:tcPr>
            <w:tcW w:w="440" w:type="dxa"/>
            <w:vAlign w:val="bottom"/>
            <w:tcBorders>
              <w:bottom w:val="single" w:sz="8" w:color="auto"/>
            </w:tcBorders>
          </w:tcPr>
          <w:p>
            <w:pPr>
              <w:spacing w:after="0"/>
              <w:rPr>
                <w:sz w:val="12"/>
                <w:szCs w:val="12"/>
                <w:color w:val="auto"/>
              </w:rPr>
            </w:pPr>
          </w:p>
        </w:tc>
      </w:tr>
      <w:tr>
        <w:trPr>
          <w:trHeight w:val="139"/>
        </w:trPr>
        <w:tc>
          <w:tcPr>
            <w:tcW w:w="82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1"/>
                <w:szCs w:val="11"/>
                <w:b w:val="1"/>
                <w:bCs w:val="1"/>
                <w:color w:val="auto"/>
              </w:rPr>
              <w:t>2020</w:t>
            </w:r>
          </w:p>
        </w:tc>
        <w:tc>
          <w:tcPr>
            <w:tcW w:w="440" w:type="dxa"/>
            <w:vAlign w:val="bottom"/>
            <w:tcBorders>
              <w:bottom w:val="single" w:sz="8" w:color="auto"/>
            </w:tcBorders>
          </w:tcPr>
          <w:p>
            <w:pPr>
              <w:spacing w:after="0"/>
              <w:rPr>
                <w:sz w:val="12"/>
                <w:szCs w:val="12"/>
                <w:color w:val="auto"/>
              </w:rPr>
            </w:pP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3,495</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797</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1,218</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r>
      <w:tr>
        <w:trPr>
          <w:trHeight w:val="162"/>
        </w:trPr>
        <w:tc>
          <w:tcPr>
            <w:tcW w:w="8220" w:type="dxa"/>
            <w:vAlign w:val="bottom"/>
          </w:tcPr>
          <w:p>
            <w:pPr>
              <w:ind w:left="100"/>
              <w:spacing w:after="0"/>
              <w:rPr>
                <w:sz w:val="20"/>
                <w:szCs w:val="20"/>
                <w:color w:val="auto"/>
              </w:rPr>
            </w:pPr>
            <w:r>
              <w:rPr>
                <w:rFonts w:ascii="Arial" w:cs="Arial" w:eastAsia="Arial" w:hAnsi="Arial"/>
                <w:sz w:val="13"/>
                <w:szCs w:val="13"/>
                <w:color w:val="auto"/>
              </w:rPr>
              <w:t>Total stock-based compensation</w:t>
            </w:r>
          </w:p>
        </w:tc>
        <w:tc>
          <w:tcPr>
            <w:tcW w:w="980" w:type="dxa"/>
            <w:vAlign w:val="bottom"/>
            <w:tcBorders>
              <w:bottom w:val="single" w:sz="8" w:color="auto"/>
            </w:tcBorders>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5,510</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896"/>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INCOME TAXES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For financial reporting purposes, loss before provision for income taxes, includes the following components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8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5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1"/>
                <w:szCs w:val="11"/>
                <w:b w:val="1"/>
                <w:bCs w:val="1"/>
                <w:color w:val="auto"/>
              </w:rPr>
              <w:t>Year Ended December 31,</w:t>
            </w: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80" w:type="dxa"/>
            <w:vAlign w:val="bottom"/>
            <w:tcBorders>
              <w:bottom w:val="single" w:sz="8" w:color="CCEEFF"/>
            </w:tcBorders>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Domestic</w:t>
            </w:r>
          </w:p>
        </w:tc>
        <w:tc>
          <w:tcPr>
            <w:tcW w:w="4260" w:type="dxa"/>
            <w:vAlign w:val="bottom"/>
            <w:gridSpan w:val="2"/>
            <w:shd w:val="clear" w:color="auto" w:fill="CCEEFF"/>
          </w:tcPr>
          <w:p>
            <w:pPr>
              <w:jc w:val="right"/>
              <w:ind w:right="763"/>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(11,253)</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w:t>
            </w:r>
          </w:p>
        </w:tc>
        <w:tc>
          <w:tcPr>
            <w:tcW w:w="0" w:type="dxa"/>
            <w:vAlign w:val="bottom"/>
          </w:tcPr>
          <w:p>
            <w:pPr>
              <w:spacing w:after="0"/>
              <w:rPr>
                <w:sz w:val="1"/>
                <w:szCs w:val="1"/>
                <w:color w:val="auto"/>
              </w:rPr>
            </w:pPr>
          </w:p>
        </w:tc>
      </w:tr>
      <w:tr>
        <w:trPr>
          <w:trHeight w:val="16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w:t>
            </w:r>
          </w:p>
        </w:tc>
        <w:tc>
          <w:tcPr>
            <w:tcW w:w="33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(11,091)</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w:t>
            </w:r>
          </w:p>
        </w:tc>
        <w:tc>
          <w:tcPr>
            <w:tcW w:w="0" w:type="dxa"/>
            <w:vAlign w:val="bottom"/>
          </w:tcPr>
          <w:p>
            <w:pPr>
              <w:spacing w:after="0"/>
              <w:rPr>
                <w:sz w:val="1"/>
                <w:szCs w:val="1"/>
                <w:color w:val="auto"/>
              </w:rPr>
            </w:pPr>
          </w:p>
        </w:tc>
      </w:tr>
      <w:tr>
        <w:trPr>
          <w:trHeight w:val="182"/>
        </w:trPr>
        <w:tc>
          <w:tcPr>
            <w:tcW w:w="4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Loss before provision for income taxes</w:t>
            </w:r>
          </w:p>
        </w:tc>
        <w:tc>
          <w:tcPr>
            <w:tcW w:w="4260" w:type="dxa"/>
            <w:vAlign w:val="bottom"/>
            <w:gridSpan w:val="2"/>
            <w:shd w:val="clear" w:color="auto" w:fill="CCEEFF"/>
          </w:tcPr>
          <w:p>
            <w:pPr>
              <w:jc w:val="right"/>
              <w:ind w:right="763"/>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(22,344)</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i w:val="1"/>
                <w:iCs w:val="1"/>
                <w:color w:val="auto"/>
              </w:rPr>
              <w:t>Provision for Income Taxes</w:t>
            </w:r>
          </w:p>
        </w:tc>
        <w:tc>
          <w:tcPr>
            <w:tcW w:w="3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880" w:type="dxa"/>
            <w:vAlign w:val="bottom"/>
            <w:vMerge w:val="continue"/>
          </w:tcPr>
          <w:p>
            <w:pPr>
              <w:spacing w:after="0"/>
              <w:rPr>
                <w:sz w:val="24"/>
                <w:szCs w:val="24"/>
                <w:color w:val="auto"/>
              </w:rPr>
            </w:pPr>
          </w:p>
        </w:tc>
        <w:tc>
          <w:tcPr>
            <w:tcW w:w="3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880" w:type="dxa"/>
            <w:vAlign w:val="bottom"/>
          </w:tcPr>
          <w:p>
            <w:pPr>
              <w:spacing w:after="0"/>
              <w:rPr>
                <w:sz w:val="20"/>
                <w:szCs w:val="20"/>
                <w:color w:val="auto"/>
              </w:rPr>
            </w:pPr>
            <w:r>
              <w:rPr>
                <w:rFonts w:ascii="Arial" w:cs="Arial" w:eastAsia="Arial" w:hAnsi="Arial"/>
                <w:sz w:val="13"/>
                <w:szCs w:val="13"/>
                <w:color w:val="auto"/>
              </w:rPr>
              <w:t>The provision for income taxes consists of the following (in thousands):</w:t>
            </w:r>
          </w:p>
        </w:tc>
        <w:tc>
          <w:tcPr>
            <w:tcW w:w="3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5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1"/>
                <w:szCs w:val="11"/>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880" w:type="dxa"/>
            <w:vAlign w:val="bottom"/>
          </w:tcPr>
          <w:p>
            <w:pPr>
              <w:spacing w:after="0"/>
              <w:rPr>
                <w:sz w:val="12"/>
                <w:szCs w:val="12"/>
                <w:color w:val="auto"/>
              </w:rPr>
            </w:pPr>
          </w:p>
        </w:tc>
        <w:tc>
          <w:tcPr>
            <w:tcW w:w="426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36"/>
              <w:spacing w:after="0"/>
              <w:rPr>
                <w:sz w:val="20"/>
                <w:szCs w:val="20"/>
                <w:color w:val="auto"/>
              </w:rPr>
            </w:pPr>
            <w:r>
              <w:rPr>
                <w:rFonts w:ascii="Arial" w:cs="Arial" w:eastAsia="Arial" w:hAnsi="Arial"/>
                <w:sz w:val="11"/>
                <w:szCs w:val="11"/>
                <w:b w:val="1"/>
                <w:bCs w:val="1"/>
                <w:color w:val="auto"/>
              </w:rPr>
              <w:t>2020</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Current:</w:t>
            </w:r>
          </w:p>
        </w:tc>
        <w:tc>
          <w:tcPr>
            <w:tcW w:w="33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Federal</w:t>
            </w:r>
          </w:p>
        </w:tc>
        <w:tc>
          <w:tcPr>
            <w:tcW w:w="4260" w:type="dxa"/>
            <w:vAlign w:val="bottom"/>
            <w:gridSpan w:val="2"/>
          </w:tcPr>
          <w:p>
            <w:pPr>
              <w:jc w:val="right"/>
              <w:ind w:right="763"/>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960" w:type="dxa"/>
            <w:vAlign w:val="bottom"/>
          </w:tcPr>
          <w:p>
            <w:pPr>
              <w:jc w:val="right"/>
              <w:ind w:right="81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w:t>
            </w:r>
          </w:p>
        </w:tc>
        <w:tc>
          <w:tcPr>
            <w:tcW w:w="3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w:t>
            </w:r>
          </w:p>
        </w:tc>
        <w:tc>
          <w:tcPr>
            <w:tcW w:w="33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904</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1,008</w:t>
            </w: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current</w:t>
            </w:r>
          </w:p>
        </w:tc>
        <w:tc>
          <w:tcPr>
            <w:tcW w:w="4260" w:type="dxa"/>
            <w:vAlign w:val="bottom"/>
            <w:gridSpan w:val="2"/>
            <w:shd w:val="clear" w:color="auto" w:fill="CCEEFF"/>
          </w:tcPr>
          <w:p>
            <w:pPr>
              <w:jc w:val="right"/>
              <w:ind w:right="763"/>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w:t>
            </w: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Deferred:</w:t>
            </w:r>
          </w:p>
        </w:tc>
        <w:tc>
          <w:tcPr>
            <w:tcW w:w="3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w:t>
            </w:r>
          </w:p>
        </w:tc>
        <w:tc>
          <w:tcPr>
            <w:tcW w:w="3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State</w:t>
            </w:r>
          </w:p>
        </w:tc>
        <w:tc>
          <w:tcPr>
            <w:tcW w:w="3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w:t>
            </w:r>
          </w:p>
        </w:tc>
        <w:tc>
          <w:tcPr>
            <w:tcW w:w="334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8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Total Deferred tax</w:t>
            </w:r>
          </w:p>
        </w:tc>
        <w:tc>
          <w:tcPr>
            <w:tcW w:w="33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Provision for income taxes</w:t>
            </w:r>
          </w:p>
        </w:tc>
        <w:tc>
          <w:tcPr>
            <w:tcW w:w="4260" w:type="dxa"/>
            <w:vAlign w:val="bottom"/>
            <w:gridSpan w:val="2"/>
            <w:shd w:val="clear" w:color="auto" w:fill="CCEEFF"/>
          </w:tcPr>
          <w:p>
            <w:pPr>
              <w:jc w:val="right"/>
              <w:ind w:right="763"/>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395"/>
              <w:spacing w:after="0"/>
              <w:rPr>
                <w:sz w:val="20"/>
                <w:szCs w:val="20"/>
                <w:color w:val="auto"/>
              </w:rPr>
            </w:pPr>
            <w:r>
              <w:rPr>
                <w:rFonts w:ascii="Arial" w:cs="Arial" w:eastAsia="Arial" w:hAnsi="Arial"/>
                <w:sz w:val="13"/>
                <w:szCs w:val="13"/>
                <w:color w:val="auto"/>
              </w:rPr>
              <w:t>105</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9"/>
        </w:trPr>
        <w:tc>
          <w:tcPr>
            <w:tcW w:w="48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880" w:type="dxa"/>
            <w:vAlign w:val="bottom"/>
            <w:tcBorders>
              <w:bottom w:val="single" w:sz="8" w:color="9A9A9A"/>
            </w:tcBorders>
          </w:tcPr>
          <w:p>
            <w:pPr>
              <w:spacing w:after="0"/>
              <w:rPr>
                <w:sz w:val="6"/>
                <w:szCs w:val="6"/>
                <w:color w:val="auto"/>
              </w:rPr>
            </w:pPr>
          </w:p>
        </w:tc>
        <w:tc>
          <w:tcPr>
            <w:tcW w:w="33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Income tax (provision) benefit related to continuing operations differ from the amounts computed by applying the statutory income tax rate of 21% to pretax loss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50"/>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Federal (provision) benefit</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40" w:type="dxa"/>
            <w:vAlign w:val="bottom"/>
          </w:tcPr>
          <w:p>
            <w:pPr>
              <w:ind w:left="20"/>
              <w:spacing w:after="0"/>
              <w:rPr>
                <w:sz w:val="20"/>
                <w:szCs w:val="20"/>
                <w:color w:val="auto"/>
              </w:rPr>
            </w:pPr>
            <w:r>
              <w:rPr>
                <w:rFonts w:ascii="Arial" w:cs="Arial" w:eastAsia="Arial" w:hAnsi="Arial"/>
                <w:sz w:val="13"/>
                <w:szCs w:val="13"/>
                <w:color w:val="auto"/>
              </w:rPr>
              <w:t>At Statutory Rate</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21.0 %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21.0 %</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 Taxes</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69"/>
        </w:trPr>
        <w:tc>
          <w:tcPr>
            <w:tcW w:w="8040" w:type="dxa"/>
            <w:vAlign w:val="bottom"/>
          </w:tcPr>
          <w:p>
            <w:pPr>
              <w:ind w:left="20"/>
              <w:spacing w:after="0"/>
              <w:rPr>
                <w:sz w:val="20"/>
                <w:szCs w:val="20"/>
                <w:color w:val="auto"/>
              </w:rPr>
            </w:pPr>
            <w:r>
              <w:rPr>
                <w:rFonts w:ascii="Arial" w:cs="Arial" w:eastAsia="Arial" w:hAnsi="Arial"/>
                <w:sz w:val="13"/>
                <w:szCs w:val="13"/>
                <w:color w:val="auto"/>
              </w:rPr>
              <w:t>Valuation Allowance</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(86.7)%</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Tax Differential</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6.8 %</w:t>
            </w:r>
          </w:p>
        </w:tc>
        <w:tc>
          <w:tcPr>
            <w:tcW w:w="0" w:type="dxa"/>
            <w:vAlign w:val="bottom"/>
          </w:tcPr>
          <w:p>
            <w:pPr>
              <w:spacing w:after="0"/>
              <w:rPr>
                <w:sz w:val="1"/>
                <w:szCs w:val="1"/>
                <w:color w:val="auto"/>
              </w:rPr>
            </w:pPr>
          </w:p>
        </w:tc>
      </w:tr>
      <w:tr>
        <w:trPr>
          <w:trHeight w:val="169"/>
        </w:trPr>
        <w:tc>
          <w:tcPr>
            <w:tcW w:w="8040" w:type="dxa"/>
            <w:vAlign w:val="bottom"/>
          </w:tcPr>
          <w:p>
            <w:pPr>
              <w:ind w:left="20"/>
              <w:spacing w:after="0"/>
              <w:rPr>
                <w:sz w:val="20"/>
                <w:szCs w:val="20"/>
                <w:color w:val="auto"/>
              </w:rPr>
            </w:pPr>
            <w:r>
              <w:rPr>
                <w:rFonts w:ascii="Arial" w:cs="Arial" w:eastAsia="Arial" w:hAnsi="Arial"/>
                <w:sz w:val="13"/>
                <w:szCs w:val="13"/>
                <w:color w:val="auto"/>
              </w:rPr>
              <w:t>Tax Credits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72.7 %</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Based Compensation</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169"/>
        </w:trPr>
        <w:tc>
          <w:tcPr>
            <w:tcW w:w="8040" w:type="dxa"/>
            <w:vAlign w:val="bottom"/>
          </w:tcPr>
          <w:p>
            <w:pPr>
              <w:ind w:left="20"/>
              <w:spacing w:after="0"/>
              <w:rPr>
                <w:sz w:val="20"/>
                <w:szCs w:val="20"/>
                <w:color w:val="auto"/>
              </w:rPr>
            </w:pPr>
            <w:r>
              <w:rPr>
                <w:rFonts w:ascii="Arial" w:cs="Arial" w:eastAsia="Arial" w:hAnsi="Arial"/>
                <w:sz w:val="13"/>
                <w:szCs w:val="13"/>
                <w:color w:val="auto"/>
              </w:rPr>
              <w:t>M&amp;A Transaction Costs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0.0 %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Earnings and Adjustments</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69"/>
        </w:trPr>
        <w:tc>
          <w:tcPr>
            <w:tcW w:w="8040" w:type="dxa"/>
            <w:vAlign w:val="bottom"/>
          </w:tcPr>
          <w:p>
            <w:pPr>
              <w:ind w:left="20"/>
              <w:spacing w:after="0"/>
              <w:rPr>
                <w:sz w:val="20"/>
                <w:szCs w:val="20"/>
                <w:color w:val="auto"/>
              </w:rPr>
            </w:pPr>
            <w:r>
              <w:rPr>
                <w:rFonts w:ascii="Arial" w:cs="Arial" w:eastAsia="Arial" w:hAnsi="Arial"/>
                <w:sz w:val="13"/>
                <w:szCs w:val="13"/>
                <w:color w:val="auto"/>
              </w:rPr>
              <w:t>Foreign Withholding Tax</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CARES Act</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15.0 %</w:t>
            </w:r>
          </w:p>
        </w:tc>
        <w:tc>
          <w:tcPr>
            <w:tcW w:w="0" w:type="dxa"/>
            <w:vAlign w:val="bottom"/>
          </w:tcPr>
          <w:p>
            <w:pPr>
              <w:spacing w:after="0"/>
              <w:rPr>
                <w:sz w:val="1"/>
                <w:szCs w:val="1"/>
                <w:color w:val="auto"/>
              </w:rPr>
            </w:pPr>
          </w:p>
        </w:tc>
      </w:tr>
      <w:tr>
        <w:trPr>
          <w:trHeight w:val="16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0.8 %</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0.4 %</w:t>
            </w:r>
          </w:p>
        </w:tc>
        <w:tc>
          <w:tcPr>
            <w:tcW w:w="0" w:type="dxa"/>
            <w:vAlign w:val="bottom"/>
          </w:tcPr>
          <w:p>
            <w:pPr>
              <w:spacing w:after="0"/>
              <w:rPr>
                <w:sz w:val="1"/>
                <w:szCs w:val="1"/>
                <w:color w:val="auto"/>
              </w:rPr>
            </w:pPr>
          </w:p>
        </w:tc>
      </w:tr>
      <w:tr>
        <w:trPr>
          <w:trHeight w:val="187"/>
        </w:trPr>
        <w:tc>
          <w:tcPr>
            <w:tcW w:w="8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i w:val="1"/>
                <w:iCs w:val="1"/>
                <w:color w:val="auto"/>
              </w:rPr>
              <w:t>Deferred Tax Assets and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8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040" w:type="dxa"/>
            <w:vAlign w:val="bottom"/>
          </w:tcPr>
          <w:p>
            <w:pPr>
              <w:spacing w:after="0"/>
              <w:rPr>
                <w:sz w:val="20"/>
                <w:szCs w:val="20"/>
                <w:color w:val="auto"/>
              </w:rPr>
            </w:pPr>
            <w:r>
              <w:rPr>
                <w:rFonts w:ascii="Arial" w:cs="Arial" w:eastAsia="Arial" w:hAnsi="Arial"/>
                <w:sz w:val="13"/>
                <w:szCs w:val="13"/>
                <w:color w:val="auto"/>
              </w:rPr>
              <w:t>Significant components of the Company’s deferred tax assets and liabilities are as follows (in thousands):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774"/>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39"/>
        </w:trPr>
        <w:tc>
          <w:tcPr>
            <w:tcW w:w="80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50"/>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 Assets:</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40" w:type="dxa"/>
            <w:vAlign w:val="bottom"/>
          </w:tcPr>
          <w:p>
            <w:pPr>
              <w:ind w:left="20"/>
              <w:spacing w:after="0"/>
              <w:rPr>
                <w:sz w:val="20"/>
                <w:szCs w:val="20"/>
                <w:color w:val="auto"/>
              </w:rPr>
            </w:pPr>
            <w:r>
              <w:rPr>
                <w:rFonts w:ascii="Arial" w:cs="Arial" w:eastAsia="Arial" w:hAnsi="Arial"/>
                <w:sz w:val="13"/>
                <w:szCs w:val="13"/>
                <w:color w:val="auto"/>
              </w:rPr>
              <w:t>Federal &amp; State NOL carryforward</w:t>
            </w:r>
          </w:p>
        </w:tc>
        <w:tc>
          <w:tcPr>
            <w:tcW w:w="46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853</w:t>
            </w:r>
          </w:p>
        </w:tc>
        <w:tc>
          <w:tcPr>
            <w:tcW w:w="660" w:type="dxa"/>
            <w:vAlign w:val="bottom"/>
            <w:gridSpan w:val="3"/>
          </w:tcPr>
          <w:p>
            <w:pPr>
              <w:jc w:val="right"/>
              <w:ind w:right="41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831</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&amp; Other credits</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5,598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5,042</w:t>
            </w:r>
          </w:p>
        </w:tc>
        <w:tc>
          <w:tcPr>
            <w:tcW w:w="0" w:type="dxa"/>
            <w:vAlign w:val="bottom"/>
          </w:tcPr>
          <w:p>
            <w:pPr>
              <w:spacing w:after="0"/>
              <w:rPr>
                <w:sz w:val="1"/>
                <w:szCs w:val="1"/>
                <w:color w:val="auto"/>
              </w:rPr>
            </w:pPr>
          </w:p>
        </w:tc>
      </w:tr>
      <w:tr>
        <w:trPr>
          <w:trHeight w:val="169"/>
        </w:trPr>
        <w:tc>
          <w:tcPr>
            <w:tcW w:w="8040" w:type="dxa"/>
            <w:vAlign w:val="bottom"/>
          </w:tcPr>
          <w:p>
            <w:pPr>
              <w:ind w:left="2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8,380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3,140</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Reserves and accruals</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169"/>
        </w:trPr>
        <w:tc>
          <w:tcPr>
            <w:tcW w:w="80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953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intangibles</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6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Lease liabilities</w:t>
            </w: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279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62"/>
        </w:trPr>
        <w:tc>
          <w:tcPr>
            <w:tcW w:w="8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Gross Deferred tax asset</w:t>
            </w:r>
          </w:p>
        </w:tc>
        <w:tc>
          <w:tcPr>
            <w:tcW w:w="46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17,390</w:t>
            </w:r>
          </w:p>
        </w:tc>
        <w:tc>
          <w:tcPr>
            <w:tcW w:w="660" w:type="dxa"/>
            <w:vAlign w:val="bottom"/>
            <w:gridSpan w:val="3"/>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10,086</w:t>
            </w:r>
          </w:p>
        </w:tc>
        <w:tc>
          <w:tcPr>
            <w:tcW w:w="0" w:type="dxa"/>
            <w:vAlign w:val="bottom"/>
          </w:tcPr>
          <w:p>
            <w:pPr>
              <w:spacing w:after="0"/>
              <w:rPr>
                <w:sz w:val="1"/>
                <w:szCs w:val="1"/>
                <w:color w:val="auto"/>
              </w:rPr>
            </w:pPr>
          </w:p>
        </w:tc>
      </w:tr>
      <w:tr>
        <w:trPr>
          <w:trHeight w:val="16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Valuation allowance</w:t>
            </w: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(16,390)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(9,019)</w:t>
            </w:r>
          </w:p>
        </w:tc>
        <w:tc>
          <w:tcPr>
            <w:tcW w:w="0" w:type="dxa"/>
            <w:vAlign w:val="bottom"/>
          </w:tcPr>
          <w:p>
            <w:pPr>
              <w:spacing w:after="0"/>
              <w:rPr>
                <w:sz w:val="1"/>
                <w:szCs w:val="1"/>
                <w:color w:val="auto"/>
              </w:rPr>
            </w:pPr>
          </w:p>
        </w:tc>
      </w:tr>
      <w:tr>
        <w:trPr>
          <w:trHeight w:val="162"/>
        </w:trPr>
        <w:tc>
          <w:tcPr>
            <w:tcW w:w="8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Deferred tax assets</w:t>
            </w:r>
          </w:p>
        </w:tc>
        <w:tc>
          <w:tcPr>
            <w:tcW w:w="46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c>
          <w:tcPr>
            <w:tcW w:w="660" w:type="dxa"/>
            <w:vAlign w:val="bottom"/>
            <w:gridSpan w:val="3"/>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0" w:type="dxa"/>
            <w:vAlign w:val="bottom"/>
          </w:tcPr>
          <w:p>
            <w:pPr>
              <w:spacing w:after="0"/>
              <w:rPr>
                <w:sz w:val="1"/>
                <w:szCs w:val="1"/>
                <w:color w:val="auto"/>
              </w:rPr>
            </w:pPr>
          </w:p>
        </w:tc>
      </w:tr>
      <w:tr>
        <w:trPr>
          <w:trHeight w:val="150"/>
        </w:trPr>
        <w:tc>
          <w:tcPr>
            <w:tcW w:w="8040" w:type="dxa"/>
            <w:vAlign w:val="bottom"/>
          </w:tcPr>
          <w:p>
            <w:pPr>
              <w:ind w:left="20"/>
              <w:spacing w:after="0"/>
              <w:rPr>
                <w:sz w:val="20"/>
                <w:szCs w:val="20"/>
                <w:color w:val="auto"/>
              </w:rPr>
            </w:pPr>
            <w:r>
              <w:rPr>
                <w:rFonts w:ascii="Arial" w:cs="Arial" w:eastAsia="Arial" w:hAnsi="Arial"/>
                <w:sz w:val="13"/>
                <w:szCs w:val="13"/>
                <w:b w:val="1"/>
                <w:bCs w:val="1"/>
                <w:color w:val="auto"/>
              </w:rPr>
              <w:t>Deferred Tax Liabilities:</w:t>
            </w:r>
          </w:p>
        </w:tc>
        <w:tc>
          <w:tcPr>
            <w:tcW w:w="1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69"/>
        </w:trPr>
        <w:tc>
          <w:tcPr>
            <w:tcW w:w="8040" w:type="dxa"/>
            <w:vAlign w:val="bottom"/>
          </w:tcPr>
          <w:p>
            <w:pPr>
              <w:ind w:left="20"/>
              <w:spacing w:after="0"/>
              <w:rPr>
                <w:sz w:val="20"/>
                <w:szCs w:val="20"/>
                <w:color w:val="auto"/>
              </w:rPr>
            </w:pPr>
            <w:r>
              <w:rPr>
                <w:rFonts w:ascii="Arial" w:cs="Arial" w:eastAsia="Arial" w:hAnsi="Arial"/>
                <w:sz w:val="13"/>
                <w:szCs w:val="13"/>
                <w:color w:val="auto"/>
              </w:rPr>
              <w:t>Prepaid expenses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(447)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(499)</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assets</w:t>
            </w:r>
          </w:p>
        </w:tc>
        <w:tc>
          <w:tcPr>
            <w:tcW w:w="1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5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Gross Deferred tax liabilities</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(962)</w:t>
            </w:r>
          </w:p>
        </w:tc>
        <w:tc>
          <w:tcPr>
            <w:tcW w:w="0" w:type="dxa"/>
            <w:vAlign w:val="bottom"/>
          </w:tcPr>
          <w:p>
            <w:pPr>
              <w:spacing w:after="0"/>
              <w:rPr>
                <w:sz w:val="1"/>
                <w:szCs w:val="1"/>
                <w:color w:val="auto"/>
              </w:rPr>
            </w:pPr>
          </w:p>
        </w:tc>
      </w:tr>
      <w:tr>
        <w:trPr>
          <w:trHeight w:val="182"/>
        </w:trPr>
        <w:tc>
          <w:tcPr>
            <w:tcW w:w="8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Deferred tax assets</w:t>
            </w:r>
          </w:p>
        </w:tc>
        <w:tc>
          <w:tcPr>
            <w:tcW w:w="46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The provisions of ASC Topic 740, Accounting for Income Taxes (ASC 740), require an assessment of both positive and negative evidence when determining whether it is more likely than not that deferred tax assets are recoverable. For the years ended December 31, 2021 and 2020, based on all available objective evidence, including the existence of cumulative losses, the Company determined that it was not more likely than not that the net deferred tax assets were fully realizable. Accordingly, the Company determined that a full valuation allowance against its U.S. (federal and state), French and China deferred tax assets is appropriate. The Company intends to maintain a full valuation allowance on net deferred tax assets until sufficient positive evidence exists to support reversal of the valuation allowance. During the years ended December 31, 2021 and 2020, the valuation allowance was $16.4 million and $9.0 million,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valuation allowance increased by $7.4 million and $2.0 million during the years ended December 31, 2021 and 2020, respectively, primarily due to changes in the U.S. and foreign deferred revenue and stock compensation deferred tax assets.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Operating Loss and Tax Credit Carryforwards</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As of December 31, 2021, the Company had nil net operating loss carryforward for federal income tax purposes. The Company had a total state net operating loss carryforward of approximately $3.7 million, which will begin to expire in 2030. Utilization of some of the federal and state net operating loss and credit carryforwards are subject to annual limitations due to the “change in ownership” provisions of the Internal Revenue Code of 1986 and similar state provisions. The annual limitations may result in the expiration of net operating losses and credits before utilization.</w:t>
      </w:r>
    </w:p>
    <w:p>
      <w:pPr>
        <w:spacing w:after="0" w:line="271"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has federal research and development tax credits of approximately $3.6 million, which will begin to expire in 2035 and California research and development tax credits of approximately $2.6 million which can be carried forward indefinitely. These tax credits are subject to the same limitations discussed above.</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On December 27, 2020, the U.S. government enacted the Consolidated Appropriations Act, 2021, which enhances and expands certain provisions of the CARES Act. This legislative act did not have a material impact on the Company’s consolidated financial results.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March 11, 2021, the American Rescue Plan Act of 2021 (American Rescue Plan) was signed into law to provide additional relief in connection with the ongoing COVID-19 pandemic. The American Rescue Plan includes, among other things, provisions relating to PPP loan expansion, defined pension contributions, excessive employee remuneration, and the repeal of the election to allocate interest expense on a worldwide basis. Under ASC 740, the effects of new legislation are recognized upon enactment. Accordingly, the American Rescue Plan is effective beginning in the quarter that includes March 11, 2021. These provisions did not have a material impact on the Company’s consolidated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Unrecognized Tax Benefits</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 adopted the provisions of ASC 740, which requires companies to determine whether it is “more likely than not” that a tax position will be sustained upon examination by the appropriate taxing authorities before any tax benefit can be recorded in the financial statements. It also provides guidance on the recognition, measurement, classification and interest and penalties related to uncertain tax positions.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the following activity relating to unrecognized tax benefits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220" w:type="dxa"/>
            <w:vAlign w:val="bottom"/>
          </w:tcPr>
          <w:p>
            <w:pPr>
              <w:spacing w:after="0"/>
              <w:rPr>
                <w:sz w:val="12"/>
                <w:szCs w:val="12"/>
                <w:color w:val="auto"/>
              </w:rPr>
            </w:pPr>
          </w:p>
        </w:tc>
        <w:tc>
          <w:tcPr>
            <w:tcW w:w="25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1"/>
                <w:szCs w:val="11"/>
                <w:b w:val="1"/>
                <w:bCs w:val="1"/>
                <w:color w:val="auto"/>
              </w:rPr>
              <w:t>Year Ended December 31,</w:t>
            </w:r>
          </w:p>
        </w:tc>
        <w:tc>
          <w:tcPr>
            <w:tcW w:w="500" w:type="dxa"/>
            <w:vAlign w:val="bottom"/>
            <w:tcBorders>
              <w:bottom w:val="single" w:sz="8" w:color="auto"/>
            </w:tcBorders>
          </w:tcPr>
          <w:p>
            <w:pPr>
              <w:spacing w:after="0"/>
              <w:rPr>
                <w:sz w:val="12"/>
                <w:szCs w:val="12"/>
                <w:color w:val="auto"/>
              </w:rPr>
            </w:pPr>
          </w:p>
        </w:tc>
      </w:tr>
      <w:tr>
        <w:trPr>
          <w:trHeight w:val="139"/>
        </w:trPr>
        <w:tc>
          <w:tcPr>
            <w:tcW w:w="82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2020</w:t>
            </w:r>
          </w:p>
        </w:tc>
        <w:tc>
          <w:tcPr>
            <w:tcW w:w="500" w:type="dxa"/>
            <w:vAlign w:val="bottom"/>
            <w:tcBorders>
              <w:bottom w:val="single" w:sz="8" w:color="auto"/>
            </w:tcBorders>
          </w:tcPr>
          <w:p>
            <w:pPr>
              <w:spacing w:after="0"/>
              <w:rPr>
                <w:sz w:val="12"/>
                <w:szCs w:val="12"/>
                <w:color w:val="auto"/>
              </w:rPr>
            </w:pP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Gross decreases—Tax Positions in Prior Periods</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increases—Tax Positions in Current Period</w:t>
            </w:r>
          </w:p>
        </w:tc>
        <w:tc>
          <w:tcPr>
            <w:tcW w:w="9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614</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w:t>
            </w:r>
          </w:p>
        </w:tc>
      </w:tr>
      <w:tr>
        <w:trPr>
          <w:trHeight w:val="162"/>
        </w:trPr>
        <w:tc>
          <w:tcPr>
            <w:tcW w:w="8220" w:type="dxa"/>
            <w:vAlign w:val="bottom"/>
          </w:tcPr>
          <w:p>
            <w:pPr>
              <w:ind w:left="20"/>
              <w:spacing w:after="0"/>
              <w:rPr>
                <w:sz w:val="20"/>
                <w:szCs w:val="20"/>
                <w:color w:val="auto"/>
              </w:rPr>
            </w:pPr>
            <w:r>
              <w:rPr>
                <w:rFonts w:ascii="Arial" w:cs="Arial" w:eastAsia="Arial" w:hAnsi="Arial"/>
                <w:sz w:val="13"/>
                <w:szCs w:val="13"/>
                <w:color w:val="auto"/>
              </w:rPr>
              <w:t>Ending balance</w:t>
            </w:r>
          </w:p>
        </w:tc>
        <w:tc>
          <w:tcPr>
            <w:tcW w:w="980" w:type="dxa"/>
            <w:vAlign w:val="bottom"/>
            <w:tcBorders>
              <w:bottom w:val="single" w:sz="8" w:color="auto"/>
            </w:tcBorders>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3,111</w:t>
            </w:r>
          </w:p>
        </w:tc>
        <w:tc>
          <w:tcPr>
            <w:tcW w:w="80" w:type="dxa"/>
            <w:vAlign w:val="bottom"/>
          </w:tcPr>
          <w:p>
            <w:pPr>
              <w:spacing w:after="0"/>
              <w:rPr>
                <w:sz w:val="14"/>
                <w:szCs w:val="14"/>
                <w:color w:val="auto"/>
              </w:rPr>
            </w:pPr>
          </w:p>
        </w:tc>
        <w:tc>
          <w:tcPr>
            <w:tcW w:w="98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2,522</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unrecognized tax benefits, if recognized, would not affect the effective income tax rate due to the valuation allowance that currently offsets deferred tax assets. Interest and penalties were nil. The Company does not expect the unrecognized tax benefits to change significantly over the next twelve months.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 files federal and state income tax returns. For U.S. federal and state income tax purposes, the statute of limitations currently remains open for the years ending December 31, 2018 to present and December 31, 2017 to present, respectively. In addition, all of the net operating losses and research and development credit carryforwards since inception that could be utilized in future years may be subject to examination.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DEFINED CONTRIBUTION PLAN AND BENEFIT PLANS</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Company has a 401(k) plan to provide defined contribution retirement benefits for all employees. Employees may elect to contribute a portion of their pretax compensation to the 401(k) plan, subject to the U.S. Internal Revenue Service annual contribution limit. Employee contributions are fully vested at all times. For the year ended December 31, 2021, the Company contributed $0.4 million to the 401(k) plan. The Company did not provide any matching contributions under its 401(k) plan for the year ended December 31, 2020.</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has two defined benefit pension plans (the “Plans”), and both Plans are outside the United States. One of the defined benefit plans was assumed as a result of the acquisition of Magillem during the year ended December 31, 2020. The Plans cover all employees of the Company’s French subsidiary in accordance with French regulations. The Plans are unfunded and accounted for under the credit method and is subject to an actuarial measurement of what the Company needs at the present time to cover the future pension liabilities, including expected future salary increases.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Components of the net periodic pension costs and changes in benefit obligations under the Plan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tcBorders>
              <w:bottom w:val="single" w:sz="8" w:color="auto"/>
            </w:tcBorders>
            <w:gridSpan w:val="6"/>
          </w:tcPr>
          <w:p>
            <w:pPr>
              <w:jc w:val="right"/>
              <w:ind w:right="257"/>
              <w:spacing w:after="0"/>
              <w:rPr>
                <w:sz w:val="20"/>
                <w:szCs w:val="20"/>
                <w:color w:val="auto"/>
              </w:rPr>
            </w:pPr>
            <w:r>
              <w:rPr>
                <w:rFonts w:ascii="Arial" w:cs="Arial" w:eastAsia="Arial" w:hAnsi="Arial"/>
                <w:sz w:val="11"/>
                <w:szCs w:val="11"/>
                <w:b w:val="1"/>
                <w:bCs w:val="1"/>
                <w:color w:val="auto"/>
              </w:rPr>
              <w:t>Year Ended December 31,</w:t>
            </w: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Service costs</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Interest costs</w:t>
            </w: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7"/>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net periodic pension cost</w:t>
            </w:r>
          </w:p>
        </w:tc>
        <w:tc>
          <w:tcPr>
            <w:tcW w:w="90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109</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8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ind w:right="417"/>
              <w:spacing w:after="0"/>
              <w:rPr>
                <w:sz w:val="20"/>
                <w:szCs w:val="20"/>
                <w:color w:val="auto"/>
              </w:rPr>
            </w:pPr>
            <w:r>
              <w:rPr>
                <w:rFonts w:ascii="Arial" w:cs="Arial" w:eastAsia="Arial" w:hAnsi="Arial"/>
                <w:sz w:val="11"/>
                <w:szCs w:val="11"/>
                <w:b w:val="1"/>
                <w:bCs w:val="1"/>
                <w:color w:val="auto"/>
              </w:rPr>
              <w:t>As of December 31,</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0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Benefit obligation, beginning of year</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69"/>
        </w:trPr>
        <w:tc>
          <w:tcPr>
            <w:tcW w:w="8220" w:type="dxa"/>
            <w:vAlign w:val="bottom"/>
            <w:gridSpan w:val="2"/>
          </w:tcPr>
          <w:p>
            <w:pPr>
              <w:ind w:left="20"/>
              <w:spacing w:after="0"/>
              <w:rPr>
                <w:sz w:val="20"/>
                <w:szCs w:val="20"/>
                <w:color w:val="auto"/>
              </w:rPr>
            </w:pPr>
            <w:r>
              <w:rPr>
                <w:rFonts w:ascii="Arial" w:cs="Arial" w:eastAsia="Arial" w:hAnsi="Arial"/>
                <w:sz w:val="13"/>
                <w:szCs w:val="13"/>
                <w:color w:val="auto"/>
              </w:rPr>
              <w:t>Assumption of pension liability due to acquisition</w:t>
            </w:r>
          </w:p>
        </w:tc>
        <w:tc>
          <w:tcPr>
            <w:tcW w:w="900" w:type="dxa"/>
            <w:vAlign w:val="bottom"/>
          </w:tcPr>
          <w:p>
            <w:pPr>
              <w:spacing w:after="0"/>
              <w:rPr>
                <w:sz w:val="14"/>
                <w:szCs w:val="14"/>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17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Service costs</w:t>
            </w:r>
          </w:p>
        </w:tc>
        <w:tc>
          <w:tcPr>
            <w:tcW w:w="9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9"/>
        </w:trPr>
        <w:tc>
          <w:tcPr>
            <w:tcW w:w="8220" w:type="dxa"/>
            <w:vAlign w:val="bottom"/>
            <w:gridSpan w:val="2"/>
          </w:tcPr>
          <w:p>
            <w:pPr>
              <w:ind w:left="20"/>
              <w:spacing w:after="0"/>
              <w:rPr>
                <w:sz w:val="20"/>
                <w:szCs w:val="20"/>
                <w:color w:val="auto"/>
              </w:rPr>
            </w:pPr>
            <w:r>
              <w:rPr>
                <w:rFonts w:ascii="Arial" w:cs="Arial" w:eastAsia="Arial" w:hAnsi="Arial"/>
                <w:sz w:val="13"/>
                <w:szCs w:val="13"/>
                <w:color w:val="auto"/>
              </w:rPr>
              <w:t>Interest costs</w:t>
            </w:r>
          </w:p>
        </w:tc>
        <w:tc>
          <w:tcPr>
            <w:tcW w:w="9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actuarial loss</w:t>
            </w:r>
          </w:p>
        </w:tc>
        <w:tc>
          <w:tcPr>
            <w:tcW w:w="9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Foreign exchange (gain) loss</w:t>
            </w: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87"/>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Benefit obligation, end of year, included as part of other liabilities</w:t>
            </w:r>
          </w:p>
        </w:tc>
        <w:tc>
          <w:tcPr>
            <w:tcW w:w="90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820</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Weighted-average assumptions used to determine benefit obligations were as follows: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82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ind w:right="517"/>
              <w:spacing w:after="0"/>
              <w:rPr>
                <w:sz w:val="20"/>
                <w:szCs w:val="20"/>
                <w:color w:val="auto"/>
              </w:rPr>
            </w:pPr>
            <w:r>
              <w:rPr>
                <w:rFonts w:ascii="Arial" w:cs="Arial" w:eastAsia="Arial" w:hAnsi="Arial"/>
                <w:sz w:val="11"/>
                <w:szCs w:val="11"/>
                <w:b w:val="1"/>
                <w:bCs w:val="1"/>
                <w:color w:val="auto"/>
              </w:rPr>
              <w:t>As of December 31,</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0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0.98 %</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0.45 %</w:t>
            </w:r>
          </w:p>
        </w:tc>
        <w:tc>
          <w:tcPr>
            <w:tcW w:w="0" w:type="dxa"/>
            <w:vAlign w:val="bottom"/>
          </w:tcPr>
          <w:p>
            <w:pPr>
              <w:spacing w:after="0"/>
              <w:rPr>
                <w:sz w:val="1"/>
                <w:szCs w:val="1"/>
                <w:color w:val="auto"/>
              </w:rPr>
            </w:pPr>
          </w:p>
        </w:tc>
      </w:tr>
      <w:tr>
        <w:trPr>
          <w:trHeight w:val="167"/>
        </w:trPr>
        <w:tc>
          <w:tcPr>
            <w:tcW w:w="8220" w:type="dxa"/>
            <w:vAlign w:val="bottom"/>
            <w:gridSpan w:val="2"/>
          </w:tcPr>
          <w:p>
            <w:pPr>
              <w:ind w:left="20"/>
              <w:spacing w:after="0"/>
              <w:rPr>
                <w:sz w:val="20"/>
                <w:szCs w:val="20"/>
                <w:color w:val="auto"/>
              </w:rPr>
            </w:pPr>
            <w:r>
              <w:rPr>
                <w:rFonts w:ascii="Arial" w:cs="Arial" w:eastAsia="Arial" w:hAnsi="Arial"/>
                <w:sz w:val="13"/>
                <w:szCs w:val="13"/>
                <w:color w:val="auto"/>
              </w:rPr>
              <w:t>Rate of compensation increase</w:t>
            </w: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3.00 %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3.00 %</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RELATED PARTY TRANSACTIONS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defines related parties as directors, executive officers, nominees for director, stockholders that have significant influence over the Company, or are a greater than 10% beneficial owner of the Company’s capital and their affiliates or immediate family members.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In November 2020, the Company entered into a lease agreement with Isabelle Geday, a member of the Board of Directors. The lease payments were $0.2 million and less than $0.1 million for the years ended December 31, 2021 and 2020, respectively. In addition, the Company signed a consulting agreement with Ms. Geday on December 1, 2021, which was subsequently assigned to Magillem Design Services S.A., effective January 10, 2022. Prior to signing the consulting agreement, Ms. Geday was paid as an executive employee of the Company from December 1, 2020 through November 30, 2021. As a consultant, Ms. Geday will provide services for an initial three-year term and is eligible to receive $26,445 per month for the first 12 months of the consulting term and $19,445 per month for the remaining 24 months of the consulting term. For the year ended December 31, 2021, the Company paid Ms. Geday less than $0.1 million for consulting services. Lastly, the 455,000 stock options and 62,200 RSUs granted in connection with Ms. Geday’s prior employment and 6,250 RSUs granted as a member of the Board of Directors of the Company continue to vest.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SEGMENT AND GEOGRAPHIC INFORMATION</w:t>
      </w:r>
    </w:p>
    <w:p>
      <w:pPr>
        <w:spacing w:after="0" w:line="150" w:lineRule="exact"/>
        <w:rPr>
          <w:sz w:val="20"/>
          <w:szCs w:val="20"/>
          <w:color w:val="auto"/>
        </w:rPr>
      </w:pPr>
    </w:p>
    <w:p>
      <w:pPr>
        <w:jc w:val="both"/>
        <w:spacing w:after="0" w:line="265" w:lineRule="auto"/>
        <w:rPr>
          <w:rFonts w:ascii="Arial" w:cs="Arial" w:eastAsia="Arial" w:hAnsi="Arial"/>
          <w:sz w:val="13"/>
          <w:szCs w:val="13"/>
          <w:color w:val="auto"/>
        </w:rPr>
      </w:pPr>
      <w:r>
        <w:rPr>
          <w:rFonts w:ascii="Arial" w:cs="Arial" w:eastAsia="Arial" w:hAnsi="Arial"/>
          <w:sz w:val="13"/>
          <w:szCs w:val="13"/>
          <w:color w:val="auto"/>
        </w:rPr>
        <w:t xml:space="preserve">The Company’s CODM, reviews operating results on an aggregate basis and manages the Company’s operations as a whole for the purpose of evaluating financial performance and allocating resources. The Company thus operates in one reportable segment which, as more fully described in </w:t>
      </w:r>
      <w:hyperlink w:anchor="page84">
        <w:r>
          <w:rPr>
            <w:rFonts w:ascii="Arial" w:cs="Arial" w:eastAsia="Arial" w:hAnsi="Arial"/>
            <w:sz w:val="13"/>
            <w:szCs w:val="13"/>
            <w:u w:val="single" w:color="auto"/>
            <w:color w:val="0000FF"/>
          </w:rPr>
          <w:t>Note 2</w:t>
        </w:r>
      </w:hyperlink>
      <w:r>
        <w:rPr>
          <w:rFonts w:ascii="Arial" w:cs="Arial" w:eastAsia="Arial" w:hAnsi="Arial"/>
          <w:sz w:val="13"/>
          <w:szCs w:val="13"/>
          <w:color w:val="auto"/>
          <w:highlight w:val="white"/>
        </w:rPr>
        <w:t>,</w:t>
      </w:r>
      <w:r>
        <w:rPr>
          <w:rFonts w:ascii="Arial" w:cs="Arial" w:eastAsia="Arial" w:hAnsi="Arial"/>
          <w:sz w:val="13"/>
          <w:szCs w:val="13"/>
          <w:color w:val="auto"/>
        </w:rPr>
        <w:t xml:space="preserve"> </w:t>
      </w:r>
      <w:r>
        <w:rPr>
          <w:rFonts w:ascii="Arial" w:cs="Arial" w:eastAsia="Arial" w:hAnsi="Arial"/>
          <w:sz w:val="13"/>
          <w:szCs w:val="13"/>
          <w:color w:val="auto"/>
          <w:highlight w:val="white"/>
        </w:rPr>
        <w:t>provides NoC interconnect semiconductor IP and IP deployment</w:t>
      </w:r>
      <w:r>
        <w:rPr>
          <w:rFonts w:ascii="Arial" w:cs="Arial" w:eastAsia="Arial" w:hAnsi="Arial"/>
          <w:sz w:val="13"/>
          <w:szCs w:val="13"/>
          <w:color w:val="auto"/>
        </w:rPr>
        <w:t xml:space="preserve"> technology for a wide range of applications.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3"/>
          <w:szCs w:val="13"/>
          <w:color w:val="auto"/>
        </w:rPr>
      </w:pPr>
      <w:r>
        <w:rPr>
          <w:rFonts w:ascii="Arial" w:cs="Arial" w:eastAsia="Arial" w:hAnsi="Arial"/>
          <w:sz w:val="13"/>
          <w:szCs w:val="13"/>
          <w:color w:val="auto"/>
        </w:rPr>
        <w:t xml:space="preserve">Refer to </w:t>
      </w:r>
      <w:hyperlink w:anchor="page84">
        <w:r>
          <w:rPr>
            <w:rFonts w:ascii="Arial" w:cs="Arial" w:eastAsia="Arial" w:hAnsi="Arial"/>
            <w:sz w:val="13"/>
            <w:szCs w:val="13"/>
            <w:u w:val="single" w:color="auto"/>
            <w:color w:val="0000FF"/>
          </w:rPr>
          <w:t>Note 2</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highlight w:val="white"/>
        </w:rPr>
        <w:t>for</w:t>
      </w:r>
      <w:r>
        <w:rPr>
          <w:rFonts w:ascii="Arial" w:cs="Arial" w:eastAsia="Arial" w:hAnsi="Arial"/>
          <w:sz w:val="13"/>
          <w:szCs w:val="13"/>
          <w:color w:val="auto"/>
        </w:rPr>
        <w:t xml:space="preserve"> </w:t>
      </w:r>
      <w:r>
        <w:rPr>
          <w:rFonts w:ascii="Arial" w:cs="Arial" w:eastAsia="Arial" w:hAnsi="Arial"/>
          <w:sz w:val="13"/>
          <w:szCs w:val="13"/>
          <w:color w:val="auto"/>
          <w:highlight w:val="white"/>
        </w:rPr>
        <w:t>information about customers which account for more than 10% of total revenue. Refer to</w:t>
      </w:r>
      <w:r>
        <w:rPr>
          <w:rFonts w:ascii="Arial" w:cs="Arial" w:eastAsia="Arial" w:hAnsi="Arial"/>
          <w:sz w:val="13"/>
          <w:szCs w:val="13"/>
          <w:color w:val="auto"/>
        </w:rPr>
        <w:t xml:space="preserve"> </w:t>
      </w:r>
      <w:hyperlink w:anchor="page93">
        <w:r>
          <w:rPr>
            <w:rFonts w:ascii="Arial" w:cs="Arial" w:eastAsia="Arial" w:hAnsi="Arial"/>
            <w:sz w:val="13"/>
            <w:szCs w:val="13"/>
            <w:u w:val="single" w:color="auto"/>
            <w:color w:val="0000FF"/>
            <w:highlight w:val="white"/>
          </w:rPr>
          <w:t>Note 3</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for a summary of revenue by major product and service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4328160</wp:posOffset>
            </wp:positionH>
            <wp:positionV relativeFrom="paragraph">
              <wp:posOffset>-91440</wp:posOffset>
            </wp:positionV>
            <wp:extent cx="2378075" cy="946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78075" cy="9461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revenues by geographic area based on customer location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CCEEFF"/>
            </w:tcBorders>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1178"/>
              <w:spacing w:after="0"/>
              <w:rPr>
                <w:sz w:val="20"/>
                <w:szCs w:val="20"/>
                <w:color w:val="auto"/>
              </w:rPr>
            </w:pPr>
            <w:r>
              <w:rPr>
                <w:rFonts w:ascii="Arial" w:cs="Arial" w:eastAsia="Arial" w:hAnsi="Arial"/>
                <w:sz w:val="11"/>
                <w:szCs w:val="11"/>
                <w:b w:val="1"/>
                <w:bCs w:val="1"/>
                <w:color w:val="auto"/>
                <w:w w:val="97"/>
              </w:rPr>
              <w:t>2021</w:t>
            </w:r>
          </w:p>
        </w:tc>
        <w:tc>
          <w:tcPr>
            <w:tcW w:w="3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1173"/>
              <w:spacing w:after="0"/>
              <w:rPr>
                <w:sz w:val="20"/>
                <w:szCs w:val="20"/>
                <w:color w:val="auto"/>
              </w:rPr>
            </w:pPr>
            <w:r>
              <w:rPr>
                <w:rFonts w:ascii="Arial" w:cs="Arial" w:eastAsia="Arial" w:hAnsi="Arial"/>
                <w:sz w:val="11"/>
                <w:szCs w:val="11"/>
                <w:b w:val="1"/>
                <w:bCs w:val="1"/>
                <w:color w:val="auto"/>
                <w:w w:val="97"/>
              </w:rPr>
              <w:t>2020</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Americas</w:t>
            </w:r>
          </w:p>
        </w:tc>
        <w:tc>
          <w:tcPr>
            <w:tcW w:w="44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16,433</w:t>
            </w:r>
          </w:p>
        </w:tc>
        <w:tc>
          <w:tcPr>
            <w:tcW w:w="1820" w:type="dxa"/>
            <w:vAlign w:val="bottom"/>
            <w:gridSpan w:val="4"/>
            <w:shd w:val="clear" w:color="auto" w:fill="CCEEFF"/>
          </w:tcPr>
          <w:p>
            <w:pPr>
              <w:jc w:val="right"/>
              <w:ind w:right="156"/>
              <w:spacing w:after="0" w:line="160" w:lineRule="exact"/>
              <w:rPr>
                <w:sz w:val="20"/>
                <w:szCs w:val="20"/>
                <w:color w:val="auto"/>
              </w:rPr>
            </w:pPr>
            <w:r>
              <w:rPr>
                <w:rFonts w:ascii="Arial" w:cs="Arial" w:eastAsia="Arial" w:hAnsi="Arial"/>
                <w:sz w:val="13"/>
                <w:szCs w:val="13"/>
                <w:color w:val="auto"/>
              </w:rPr>
              <w:t xml:space="preserve">43.4 % </w:t>
            </w:r>
            <w:r>
              <w:rPr>
                <w:rFonts w:ascii="Arial" w:cs="Arial" w:eastAsia="Arial" w:hAnsi="Arial"/>
                <w:sz w:val="17"/>
                <w:szCs w:val="17"/>
                <w:color w:val="auto"/>
                <w:vertAlign w:val="superscript"/>
              </w:rPr>
              <w:t>(1)</w:t>
            </w:r>
          </w:p>
        </w:tc>
        <w:tc>
          <w:tcPr>
            <w:tcW w:w="740" w:type="dxa"/>
            <w:vAlign w:val="bottom"/>
            <w:shd w:val="clear" w:color="auto" w:fill="CCEEFF"/>
          </w:tcPr>
          <w:p>
            <w:pPr>
              <w:jc w:val="right"/>
              <w:ind w:right="593"/>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10,459</w:t>
            </w:r>
          </w:p>
        </w:tc>
        <w:tc>
          <w:tcPr>
            <w:tcW w:w="1820" w:type="dxa"/>
            <w:vAlign w:val="bottom"/>
            <w:gridSpan w:val="4"/>
            <w:shd w:val="clear" w:color="auto" w:fill="CCEEFF"/>
          </w:tcPr>
          <w:p>
            <w:pPr>
              <w:jc w:val="right"/>
              <w:ind w:right="156"/>
              <w:spacing w:after="0" w:line="160" w:lineRule="exact"/>
              <w:rPr>
                <w:sz w:val="20"/>
                <w:szCs w:val="20"/>
                <w:color w:val="auto"/>
              </w:rPr>
            </w:pPr>
            <w:r>
              <w:rPr>
                <w:rFonts w:ascii="Arial" w:cs="Arial" w:eastAsia="Arial" w:hAnsi="Arial"/>
                <w:sz w:val="13"/>
                <w:szCs w:val="13"/>
                <w:color w:val="auto"/>
              </w:rPr>
              <w:t xml:space="preserve">32.9 % </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85"/>
        </w:trPr>
        <w:tc>
          <w:tcPr>
            <w:tcW w:w="5200" w:type="dxa"/>
            <w:vAlign w:val="bottom"/>
            <w:gridSpan w:val="2"/>
          </w:tcPr>
          <w:p>
            <w:pPr>
              <w:ind w:left="20"/>
              <w:spacing w:after="0" w:line="85" w:lineRule="exact"/>
              <w:rPr>
                <w:sz w:val="20"/>
                <w:szCs w:val="20"/>
                <w:color w:val="auto"/>
              </w:rPr>
            </w:pPr>
            <w:r>
              <w:rPr>
                <w:rFonts w:ascii="Arial" w:cs="Arial" w:eastAsia="Arial" w:hAnsi="Arial"/>
                <w:sz w:val="9"/>
                <w:szCs w:val="9"/>
                <w:color w:val="auto"/>
              </w:rPr>
              <w:t>Asia Pacific</w:t>
            </w:r>
          </w:p>
        </w:tc>
        <w:tc>
          <w:tcPr>
            <w:tcW w:w="440" w:type="dxa"/>
            <w:vAlign w:val="bottom"/>
          </w:tcPr>
          <w:p>
            <w:pPr>
              <w:spacing w:after="0"/>
              <w:rPr>
                <w:sz w:val="7"/>
                <w:szCs w:val="7"/>
                <w:color w:val="auto"/>
              </w:rPr>
            </w:pPr>
          </w:p>
        </w:tc>
        <w:tc>
          <w:tcPr>
            <w:tcW w:w="780" w:type="dxa"/>
            <w:vAlign w:val="bottom"/>
          </w:tcPr>
          <w:p>
            <w:pPr>
              <w:jc w:val="right"/>
              <w:spacing w:after="0" w:line="85" w:lineRule="exact"/>
              <w:rPr>
                <w:sz w:val="20"/>
                <w:szCs w:val="20"/>
                <w:color w:val="auto"/>
              </w:rPr>
            </w:pPr>
            <w:r>
              <w:rPr>
                <w:rFonts w:ascii="Arial" w:cs="Arial" w:eastAsia="Arial" w:hAnsi="Arial"/>
                <w:sz w:val="9"/>
                <w:szCs w:val="9"/>
                <w:color w:val="auto"/>
              </w:rPr>
              <w:t>16,748</w:t>
            </w:r>
          </w:p>
        </w:tc>
        <w:tc>
          <w:tcPr>
            <w:tcW w:w="1500" w:type="dxa"/>
            <w:vAlign w:val="bottom"/>
            <w:gridSpan w:val="3"/>
          </w:tcPr>
          <w:p>
            <w:pPr>
              <w:jc w:val="right"/>
              <w:ind w:right="118"/>
              <w:spacing w:after="0" w:line="85" w:lineRule="exact"/>
              <w:rPr>
                <w:sz w:val="20"/>
                <w:szCs w:val="20"/>
                <w:color w:val="auto"/>
              </w:rPr>
            </w:pPr>
            <w:r>
              <w:rPr>
                <w:rFonts w:ascii="Arial" w:cs="Arial" w:eastAsia="Arial" w:hAnsi="Arial"/>
                <w:sz w:val="9"/>
                <w:szCs w:val="9"/>
                <w:color w:val="auto"/>
              </w:rPr>
              <w:t>44.2</w:t>
            </w:r>
          </w:p>
        </w:tc>
        <w:tc>
          <w:tcPr>
            <w:tcW w:w="320" w:type="dxa"/>
            <w:vAlign w:val="bottom"/>
            <w:vMerge w:val="restart"/>
          </w:tcPr>
          <w:p>
            <w:pPr>
              <w:jc w:val="right"/>
              <w:ind w:right="156"/>
              <w:spacing w:after="0"/>
              <w:rPr>
                <w:sz w:val="20"/>
                <w:szCs w:val="20"/>
                <w:color w:val="auto"/>
              </w:rPr>
            </w:pPr>
            <w:r>
              <w:rPr>
                <w:rFonts w:ascii="Arial" w:cs="Arial" w:eastAsia="Arial" w:hAnsi="Arial"/>
                <w:sz w:val="9"/>
                <w:szCs w:val="9"/>
                <w:color w:val="auto"/>
                <w:w w:val="90"/>
              </w:rPr>
              <w:t>(2)</w:t>
            </w:r>
          </w:p>
        </w:tc>
        <w:tc>
          <w:tcPr>
            <w:tcW w:w="740" w:type="dxa"/>
            <w:vAlign w:val="bottom"/>
          </w:tcPr>
          <w:p>
            <w:pPr>
              <w:spacing w:after="0"/>
              <w:rPr>
                <w:sz w:val="7"/>
                <w:szCs w:val="7"/>
                <w:color w:val="auto"/>
              </w:rPr>
            </w:pPr>
          </w:p>
        </w:tc>
        <w:tc>
          <w:tcPr>
            <w:tcW w:w="480" w:type="dxa"/>
            <w:vAlign w:val="bottom"/>
          </w:tcPr>
          <w:p>
            <w:pPr>
              <w:jc w:val="right"/>
              <w:spacing w:after="0" w:line="85" w:lineRule="exact"/>
              <w:rPr>
                <w:sz w:val="20"/>
                <w:szCs w:val="20"/>
                <w:color w:val="auto"/>
              </w:rPr>
            </w:pPr>
            <w:r>
              <w:rPr>
                <w:rFonts w:ascii="Arial" w:cs="Arial" w:eastAsia="Arial" w:hAnsi="Arial"/>
                <w:sz w:val="9"/>
                <w:szCs w:val="9"/>
                <w:color w:val="auto"/>
              </w:rPr>
              <w:t>18,896</w:t>
            </w:r>
          </w:p>
        </w:tc>
        <w:tc>
          <w:tcPr>
            <w:tcW w:w="1500" w:type="dxa"/>
            <w:vAlign w:val="bottom"/>
            <w:gridSpan w:val="3"/>
          </w:tcPr>
          <w:p>
            <w:pPr>
              <w:jc w:val="right"/>
              <w:ind w:right="113"/>
              <w:spacing w:after="0" w:line="85" w:lineRule="exact"/>
              <w:rPr>
                <w:sz w:val="20"/>
                <w:szCs w:val="20"/>
                <w:color w:val="auto"/>
              </w:rPr>
            </w:pPr>
            <w:r>
              <w:rPr>
                <w:rFonts w:ascii="Arial" w:cs="Arial" w:eastAsia="Arial" w:hAnsi="Arial"/>
                <w:sz w:val="9"/>
                <w:szCs w:val="9"/>
                <w:color w:val="auto"/>
              </w:rPr>
              <w:t>59.4</w:t>
            </w:r>
          </w:p>
        </w:tc>
        <w:tc>
          <w:tcPr>
            <w:tcW w:w="320" w:type="dxa"/>
            <w:vAlign w:val="bottom"/>
            <w:vMerge w:val="restart"/>
          </w:tcPr>
          <w:p>
            <w:pPr>
              <w:jc w:val="right"/>
              <w:ind w:right="156"/>
              <w:spacing w:after="0"/>
              <w:rPr>
                <w:sz w:val="20"/>
                <w:szCs w:val="20"/>
                <w:color w:val="auto"/>
              </w:rPr>
            </w:pPr>
            <w:r>
              <w:rPr>
                <w:rFonts w:ascii="Arial" w:cs="Arial" w:eastAsia="Arial" w:hAnsi="Arial"/>
                <w:sz w:val="9"/>
                <w:szCs w:val="9"/>
                <w:color w:val="auto"/>
                <w:w w:val="90"/>
              </w:rPr>
              <w:t>(2)</w:t>
            </w:r>
          </w:p>
        </w:tc>
        <w:tc>
          <w:tcPr>
            <w:tcW w:w="0" w:type="dxa"/>
            <w:vAlign w:val="bottom"/>
          </w:tcPr>
          <w:p>
            <w:pPr>
              <w:spacing w:after="0"/>
              <w:rPr>
                <w:sz w:val="1"/>
                <w:szCs w:val="1"/>
                <w:color w:val="auto"/>
              </w:rPr>
            </w:pPr>
          </w:p>
        </w:tc>
      </w:tr>
      <w:tr>
        <w:trPr>
          <w:trHeight w:val="26"/>
        </w:trPr>
        <w:tc>
          <w:tcPr>
            <w:tcW w:w="2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
        </w:trPr>
        <w:tc>
          <w:tcPr>
            <w:tcW w:w="520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Europe, Middle East</w:t>
            </w:r>
          </w:p>
        </w:tc>
        <w:tc>
          <w:tcPr>
            <w:tcW w:w="4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4,683</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color w:val="auto"/>
              </w:rPr>
              <w:t>12.4</w:t>
            </w:r>
          </w:p>
        </w:tc>
        <w:tc>
          <w:tcPr>
            <w:tcW w:w="32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2,457</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7.7</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44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37,864</w:t>
            </w:r>
          </w:p>
        </w:tc>
        <w:tc>
          <w:tcPr>
            <w:tcW w:w="1500" w:type="dxa"/>
            <w:vAlign w:val="bottom"/>
            <w:gridSpan w:val="3"/>
          </w:tcPr>
          <w:p>
            <w:pPr>
              <w:jc w:val="right"/>
              <w:spacing w:after="0"/>
              <w:rPr>
                <w:sz w:val="20"/>
                <w:szCs w:val="20"/>
                <w:color w:val="auto"/>
              </w:rPr>
            </w:pPr>
            <w:r>
              <w:rPr>
                <w:rFonts w:ascii="Arial" w:cs="Arial" w:eastAsia="Arial" w:hAnsi="Arial"/>
                <w:sz w:val="13"/>
                <w:szCs w:val="13"/>
                <w:color w:val="auto"/>
              </w:rPr>
              <w:t>100.0 %</w:t>
            </w:r>
          </w:p>
        </w:tc>
        <w:tc>
          <w:tcPr>
            <w:tcW w:w="320" w:type="dxa"/>
            <w:vAlign w:val="bottom"/>
          </w:tcPr>
          <w:p>
            <w:pPr>
              <w:spacing w:after="0"/>
              <w:rPr>
                <w:sz w:val="13"/>
                <w:szCs w:val="13"/>
                <w:color w:val="auto"/>
              </w:rPr>
            </w:pPr>
          </w:p>
        </w:tc>
        <w:tc>
          <w:tcPr>
            <w:tcW w:w="740" w:type="dxa"/>
            <w:vAlign w:val="bottom"/>
          </w:tcPr>
          <w:p>
            <w:pPr>
              <w:jc w:val="right"/>
              <w:ind w:right="593"/>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31,812</w:t>
            </w:r>
          </w:p>
        </w:tc>
        <w:tc>
          <w:tcPr>
            <w:tcW w:w="1500" w:type="dxa"/>
            <w:vAlign w:val="bottom"/>
            <w:gridSpan w:val="3"/>
          </w:tcPr>
          <w:p>
            <w:pPr>
              <w:jc w:val="right"/>
              <w:spacing w:after="0"/>
              <w:rPr>
                <w:sz w:val="20"/>
                <w:szCs w:val="20"/>
                <w:color w:val="auto"/>
              </w:rPr>
            </w:pPr>
            <w:r>
              <w:rPr>
                <w:rFonts w:ascii="Arial" w:cs="Arial" w:eastAsia="Arial" w:hAnsi="Arial"/>
                <w:sz w:val="13"/>
                <w:szCs w:val="13"/>
                <w:color w:val="auto"/>
              </w:rPr>
              <w:t>100.0 %</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w:t>
            </w:r>
          </w:p>
        </w:tc>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44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16,311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43.1 %</w:t>
            </w: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93"/>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31.9 %</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0" w:type="dxa"/>
            <w:vAlign w:val="bottom"/>
          </w:tcPr>
          <w:p>
            <w:pPr>
              <w:ind w:left="20"/>
              <w:spacing w:after="0"/>
              <w:rPr>
                <w:sz w:val="20"/>
                <w:szCs w:val="20"/>
                <w:color w:val="auto"/>
              </w:rPr>
            </w:pPr>
            <w:r>
              <w:rPr>
                <w:rFonts w:ascii="Arial" w:cs="Arial" w:eastAsia="Arial" w:hAnsi="Arial"/>
                <w:sz w:val="13"/>
                <w:szCs w:val="13"/>
                <w:color w:val="auto"/>
              </w:rPr>
              <w:t>(1)</w:t>
            </w:r>
          </w:p>
        </w:tc>
        <w:tc>
          <w:tcPr>
            <w:tcW w:w="5000" w:type="dxa"/>
            <w:vAlign w:val="bottom"/>
          </w:tcPr>
          <w:p>
            <w:pPr>
              <w:ind w:left="20"/>
              <w:spacing w:after="0"/>
              <w:rPr>
                <w:sz w:val="20"/>
                <w:szCs w:val="20"/>
                <w:color w:val="auto"/>
              </w:rPr>
            </w:pPr>
            <w:r>
              <w:rPr>
                <w:rFonts w:ascii="Arial" w:cs="Arial" w:eastAsia="Arial" w:hAnsi="Arial"/>
                <w:sz w:val="13"/>
                <w:szCs w:val="13"/>
                <w:color w:val="auto"/>
              </w:rPr>
              <w:t>Other Americas *</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122</w:t>
            </w:r>
          </w:p>
        </w:tc>
        <w:tc>
          <w:tcPr>
            <w:tcW w:w="1500" w:type="dxa"/>
            <w:vAlign w:val="bottom"/>
            <w:gridSpan w:val="3"/>
          </w:tcPr>
          <w:p>
            <w:pPr>
              <w:jc w:val="right"/>
              <w:spacing w:after="0"/>
              <w:rPr>
                <w:sz w:val="20"/>
                <w:szCs w:val="20"/>
                <w:color w:val="auto"/>
              </w:rPr>
            </w:pPr>
            <w:r>
              <w:rPr>
                <w:rFonts w:ascii="Arial" w:cs="Arial" w:eastAsia="Arial" w:hAnsi="Arial"/>
                <w:sz w:val="13"/>
                <w:szCs w:val="13"/>
                <w:color w:val="auto"/>
              </w:rPr>
              <w:t>0.3 %</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324</w:t>
            </w:r>
          </w:p>
        </w:tc>
        <w:tc>
          <w:tcPr>
            <w:tcW w:w="1500" w:type="dxa"/>
            <w:vAlign w:val="bottom"/>
            <w:gridSpan w:val="3"/>
          </w:tcPr>
          <w:p>
            <w:pPr>
              <w:jc w:val="right"/>
              <w:spacing w:after="0"/>
              <w:rPr>
                <w:sz w:val="20"/>
                <w:szCs w:val="20"/>
                <w:color w:val="auto"/>
              </w:rPr>
            </w:pPr>
            <w:r>
              <w:rPr>
                <w:rFonts w:ascii="Arial" w:cs="Arial" w:eastAsia="Arial" w:hAnsi="Arial"/>
                <w:sz w:val="13"/>
                <w:szCs w:val="13"/>
                <w:color w:val="auto"/>
              </w:rPr>
              <w:t>1.0 %</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China</w:t>
            </w: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10,257</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27.1 %</w:t>
            </w: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14,283</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44.9 %</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tcPr>
          <w:p>
            <w:pPr>
              <w:ind w:left="20"/>
              <w:spacing w:after="0"/>
              <w:rPr>
                <w:sz w:val="20"/>
                <w:szCs w:val="20"/>
                <w:color w:val="auto"/>
              </w:rPr>
            </w:pPr>
            <w:r>
              <w:rPr>
                <w:rFonts w:ascii="Arial" w:cs="Arial" w:eastAsia="Arial" w:hAnsi="Arial"/>
                <w:sz w:val="13"/>
                <w:szCs w:val="13"/>
                <w:color w:val="auto"/>
              </w:rPr>
              <w:t>(2)</w:t>
            </w:r>
          </w:p>
        </w:tc>
        <w:tc>
          <w:tcPr>
            <w:tcW w:w="5000" w:type="dxa"/>
            <w:vAlign w:val="bottom"/>
          </w:tcPr>
          <w:p>
            <w:pPr>
              <w:ind w:left="20"/>
              <w:spacing w:after="0"/>
              <w:rPr>
                <w:sz w:val="20"/>
                <w:szCs w:val="20"/>
                <w:color w:val="auto"/>
              </w:rPr>
            </w:pPr>
            <w:r>
              <w:rPr>
                <w:rFonts w:ascii="Arial" w:cs="Arial" w:eastAsia="Arial" w:hAnsi="Arial"/>
                <w:sz w:val="13"/>
                <w:szCs w:val="13"/>
                <w:color w:val="auto"/>
              </w:rPr>
              <w:t>Other Asia *</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6,491</w:t>
            </w:r>
          </w:p>
        </w:tc>
        <w:tc>
          <w:tcPr>
            <w:tcW w:w="1500" w:type="dxa"/>
            <w:vAlign w:val="bottom"/>
            <w:gridSpan w:val="3"/>
          </w:tcPr>
          <w:p>
            <w:pPr>
              <w:jc w:val="right"/>
              <w:spacing w:after="0"/>
              <w:rPr>
                <w:sz w:val="20"/>
                <w:szCs w:val="20"/>
                <w:color w:val="auto"/>
              </w:rPr>
            </w:pPr>
            <w:r>
              <w:rPr>
                <w:rFonts w:ascii="Arial" w:cs="Arial" w:eastAsia="Arial" w:hAnsi="Arial"/>
                <w:sz w:val="13"/>
                <w:szCs w:val="13"/>
                <w:color w:val="auto"/>
              </w:rPr>
              <w:t>17.1 %</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4,613</w:t>
            </w:r>
          </w:p>
        </w:tc>
        <w:tc>
          <w:tcPr>
            <w:tcW w:w="1500" w:type="dxa"/>
            <w:vAlign w:val="bottom"/>
            <w:gridSpan w:val="3"/>
          </w:tcPr>
          <w:p>
            <w:pPr>
              <w:jc w:val="right"/>
              <w:spacing w:after="0"/>
              <w:rPr>
                <w:sz w:val="20"/>
                <w:szCs w:val="20"/>
                <w:color w:val="auto"/>
              </w:rPr>
            </w:pPr>
            <w:r>
              <w:rPr>
                <w:rFonts w:ascii="Arial" w:cs="Arial" w:eastAsia="Arial" w:hAnsi="Arial"/>
                <w:sz w:val="13"/>
                <w:szCs w:val="13"/>
                <w:color w:val="auto"/>
              </w:rPr>
              <w:t>14.5 %</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hanging="240"/>
        <w:spacing w:after="0"/>
        <w:tabs>
          <w:tab w:leader="none" w:pos="500" w:val="left"/>
        </w:tabs>
        <w:numPr>
          <w:ilvl w:val="0"/>
          <w:numId w:val="42"/>
        </w:numPr>
        <w:rPr>
          <w:rFonts w:ascii="Arial" w:cs="Arial" w:eastAsia="Arial" w:hAnsi="Arial"/>
          <w:sz w:val="11"/>
          <w:szCs w:val="11"/>
          <w:color w:val="auto"/>
        </w:rPr>
      </w:pPr>
      <w:r>
        <w:rPr>
          <w:rFonts w:ascii="Arial" w:cs="Arial" w:eastAsia="Arial" w:hAnsi="Arial"/>
          <w:sz w:val="11"/>
          <w:szCs w:val="11"/>
          <w:color w:val="auto"/>
        </w:rPr>
        <w:t>Other countries individually less than 10%</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property and equipment, net by geographic area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9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1"/>
                <w:szCs w:val="11"/>
                <w:b w:val="1"/>
                <w:bCs w:val="1"/>
                <w:color w:val="auto"/>
              </w:rPr>
              <w:t>As of December 31,</w:t>
            </w: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39"/>
        </w:trPr>
        <w:tc>
          <w:tcPr>
            <w:tcW w:w="49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1"/>
                <w:szCs w:val="11"/>
                <w:b w:val="1"/>
                <w:bCs w:val="1"/>
                <w:color w:val="auto"/>
              </w:rPr>
              <w:t>2021</w:t>
            </w: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1373"/>
              <w:spacing w:after="0"/>
              <w:rPr>
                <w:sz w:val="20"/>
                <w:szCs w:val="20"/>
                <w:color w:val="auto"/>
              </w:rPr>
            </w:pPr>
            <w:r>
              <w:rPr>
                <w:rFonts w:ascii="Arial" w:cs="Arial" w:eastAsia="Arial" w:hAnsi="Arial"/>
                <w:sz w:val="11"/>
                <w:szCs w:val="11"/>
                <w:b w:val="1"/>
                <w:bCs w:val="1"/>
                <w:color w:val="auto"/>
                <w:w w:val="97"/>
              </w:rPr>
              <w:t>2020</w:t>
            </w:r>
          </w:p>
        </w:tc>
      </w:tr>
      <w:tr>
        <w:trPr>
          <w:trHeight w:val="160"/>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5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1,626</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66.7 %</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1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77.5 %</w:t>
            </w:r>
          </w:p>
        </w:tc>
      </w:tr>
      <w:tr>
        <w:trPr>
          <w:trHeight w:val="169"/>
        </w:trPr>
        <w:tc>
          <w:tcPr>
            <w:tcW w:w="4980" w:type="dxa"/>
            <w:vAlign w:val="bottom"/>
          </w:tcPr>
          <w:p>
            <w:pPr>
              <w:ind w:left="20"/>
              <w:spacing w:after="0"/>
              <w:rPr>
                <w:sz w:val="20"/>
                <w:szCs w:val="20"/>
                <w:color w:val="auto"/>
              </w:rPr>
            </w:pPr>
            <w:r>
              <w:rPr>
                <w:rFonts w:ascii="Arial" w:cs="Arial" w:eastAsia="Arial" w:hAnsi="Arial"/>
                <w:sz w:val="13"/>
                <w:szCs w:val="13"/>
                <w:color w:val="auto"/>
              </w:rPr>
              <w:t>France</w:t>
            </w: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803</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32.9 %</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517</w:t>
            </w:r>
          </w:p>
        </w:tc>
        <w:tc>
          <w:tcPr>
            <w:tcW w:w="1700" w:type="dxa"/>
            <w:vAlign w:val="bottom"/>
            <w:gridSpan w:val="3"/>
          </w:tcPr>
          <w:p>
            <w:pPr>
              <w:jc w:val="right"/>
              <w:spacing w:after="0"/>
              <w:rPr>
                <w:sz w:val="20"/>
                <w:szCs w:val="20"/>
                <w:color w:val="auto"/>
              </w:rPr>
            </w:pPr>
            <w:r>
              <w:rPr>
                <w:rFonts w:ascii="Arial" w:cs="Arial" w:eastAsia="Arial" w:hAnsi="Arial"/>
                <w:sz w:val="13"/>
                <w:szCs w:val="13"/>
                <w:color w:val="auto"/>
              </w:rPr>
              <w:t>21.9 %</w:t>
            </w:r>
          </w:p>
        </w:tc>
      </w:tr>
      <w:tr>
        <w:trPr>
          <w:trHeight w:val="170"/>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5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0.6 %</w:t>
            </w:r>
          </w:p>
        </w:tc>
      </w:tr>
      <w:tr>
        <w:trPr>
          <w:trHeight w:val="160"/>
        </w:trPr>
        <w:tc>
          <w:tcPr>
            <w:tcW w:w="4980" w:type="dxa"/>
            <w:vAlign w:val="bottom"/>
          </w:tcPr>
          <w:p>
            <w:pPr>
              <w:spacing w:after="0"/>
              <w:rPr>
                <w:sz w:val="13"/>
                <w:szCs w:val="13"/>
                <w:color w:val="auto"/>
              </w:rPr>
            </w:pPr>
          </w:p>
        </w:tc>
        <w:tc>
          <w:tcPr>
            <w:tcW w:w="560" w:type="dxa"/>
            <w:vAlign w:val="bottom"/>
          </w:tcPr>
          <w:p>
            <w:pPr>
              <w:jc w:val="right"/>
              <w:ind w:right="41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2,438</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Pr>
          <w:p>
            <w:pPr>
              <w:spacing w:after="0"/>
              <w:rPr>
                <w:sz w:val="13"/>
                <w:szCs w:val="13"/>
                <w:color w:val="auto"/>
              </w:rPr>
            </w:pPr>
          </w:p>
        </w:tc>
        <w:tc>
          <w:tcPr>
            <w:tcW w:w="780" w:type="dxa"/>
            <w:vAlign w:val="bottom"/>
          </w:tcPr>
          <w:p>
            <w:pPr>
              <w:jc w:val="right"/>
              <w:ind w:right="6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2,365</w:t>
            </w:r>
          </w:p>
        </w:tc>
        <w:tc>
          <w:tcPr>
            <w:tcW w:w="1700" w:type="dxa"/>
            <w:vAlign w:val="bottom"/>
            <w:gridSpan w:val="3"/>
          </w:tcPr>
          <w:p>
            <w:pPr>
              <w:jc w:val="right"/>
              <w:spacing w:after="0"/>
              <w:rPr>
                <w:sz w:val="20"/>
                <w:szCs w:val="20"/>
                <w:color w:val="auto"/>
              </w:rPr>
            </w:pPr>
            <w:r>
              <w:rPr>
                <w:rFonts w:ascii="Arial" w:cs="Arial" w:eastAsia="Arial" w:hAnsi="Arial"/>
                <w:sz w:val="13"/>
                <w:szCs w:val="13"/>
                <w:color w:val="auto"/>
              </w:rPr>
              <w:t>100.0 %</w:t>
            </w:r>
          </w:p>
        </w:tc>
      </w:tr>
      <w:tr>
        <w:trPr>
          <w:trHeight w:val="20"/>
        </w:trPr>
        <w:tc>
          <w:tcPr>
            <w:tcW w:w="4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SUBSEQUENT EVENTS</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On February 21, 2022, Arteris IP (Hong Kong) Ltd. (AHK), a wholly-owned subsidiary of the Company, entered into a Share Purchase and Shareholders Agreement (the SPA) with SME Development (Shaoxing) Venture Fund, LLP, Jiaxing Luojia Chuangzhi Investment Partnership Enterprise (Limited Partnership), Gongqing City Guinie Zhuyu No. 3 Investment Partnership (Limited Partnership) (the Investors) and Ningbo Transchip Information Consulting Partnership (Limited Partnership) (Management Co).</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the Investors and Management Co, pursuant to the SPA, will subscribe for the registered capital of TransChip Technology (Nanjing) Co., Ltd. (Transchip), a wholly-owned subsidiary of the Company. The registered capital of Transchip will increase from RMB 200,000 to RMB 196,500,000 (or approximately $31.0 million). The Company will subscribe for the registered capital of RMB 79,230,000 (or approximately $12.5 million), of which RMB 77,330,000 (or approximately $12.2 million) of the contribution will be contributed in-kind by way of a technology license by the Company pursuant to a five-year technology license agreement and the remaining in cash.</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Following the consummation of the foregoing transactions, and subject to closing terms and conditions in the SPA, it is currently anticipated that the Company will hold a 40.321% equity interest in Transchip and that Transchip will receive aggregate cash proceeds from the Investors of RMB 76,500,000 (or approximately $12.1 million).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620"/>
        <w:spacing w:after="0" w:line="474" w:lineRule="auto"/>
        <w:rPr>
          <w:sz w:val="20"/>
          <w:szCs w:val="20"/>
          <w:color w:val="auto"/>
        </w:rPr>
      </w:pPr>
      <w:r>
        <w:rPr>
          <w:rFonts w:ascii="Arial" w:cs="Arial" w:eastAsia="Arial" w:hAnsi="Arial"/>
          <w:sz w:val="14"/>
          <w:szCs w:val="14"/>
          <w:b w:val="1"/>
          <w:bCs w:val="1"/>
          <w:color w:val="auto"/>
        </w:rPr>
        <w:t xml:space="preserve">Item 9. Changes in and Disagreements With Accountants on Accounting and Financial Disclosures </w:t>
      </w:r>
      <w:r>
        <w:rPr>
          <w:rFonts w:ascii="Arial" w:cs="Arial" w:eastAsia="Arial" w:hAnsi="Arial"/>
          <w:sz w:val="14"/>
          <w:szCs w:val="14"/>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management, with the participation of our Chief Executive Officer and Chief Financial Officer, has evaluated the effectiveness of our disclosure controls and procedures as of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Annual Report on Form 10-K, our disclosure controls and procedures were effective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Annual Report on Internal Control over Financial Reporting</w:t>
      </w:r>
    </w:p>
    <w:p>
      <w:pPr>
        <w:spacing w:after="0" w:line="21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There were no changes in our internal control over financial reporting identified in connection with the evaluation required by Rules 13a-15(d) and 15d-15(d) of the Exchange Act that occurred during the quarter ended December 31, 2021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Inherent Limitations on Effectiveness of Controls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10. Directors, Executive Officers and Corporate Governance</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adopted a code of ethics for directors, officers (including our principal executive officer, principal financial officer and principal accounting officer) and employees, known as the Code of Business Conduct and Ethics. This code is publicly available on our website at ir.arteris.com under the Corporate Governance section. If we make any amendments to this code other than technical, administrative or other non-substantive amendments, or grant any waivers, including implicit waivers, from a provision of this code we will disclose the nature of the amendment or waiver, its effective date and to whom it applies on our website at aligos.com or in a Current Report on Form 8-K filed with the SEC.</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remaining information required by this item, including information about our Directors, Executive Officers and Audit Committee, is incorporated by reference to the definitive Proxy Statement for our 2022 Annual Meeting of Stockholders, which will be filed with the SEC no later than 120 days after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The information required by this Item will be set forth in the section headed “Executive Compensation” in our Proxy Statement and is incorporated in this Annual Report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 and Management and Related Stockholder Matters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information required by this Item will be set forth in the section headed “Security Ownership of Certain Beneficial Owners and Management” in our Proxy Statement and is incorporated in this Annual Report by reference.</w:t>
      </w:r>
    </w:p>
    <w:p>
      <w:pPr>
        <w:spacing w:after="0" w:line="104" w:lineRule="exact"/>
        <w:rPr>
          <w:sz w:val="20"/>
          <w:szCs w:val="20"/>
          <w:color w:val="auto"/>
        </w:rPr>
      </w:pPr>
    </w:p>
    <w:p>
      <w:pPr>
        <w:ind w:right="240"/>
        <w:spacing w:after="0" w:line="257" w:lineRule="auto"/>
        <w:rPr>
          <w:sz w:val="20"/>
          <w:szCs w:val="20"/>
          <w:color w:val="auto"/>
        </w:rPr>
      </w:pPr>
      <w:r>
        <w:rPr>
          <w:rFonts w:ascii="Arial" w:cs="Arial" w:eastAsia="Arial" w:hAnsi="Arial"/>
          <w:sz w:val="13"/>
          <w:szCs w:val="13"/>
          <w:color w:val="auto"/>
        </w:rPr>
        <w:t>Information regarding our equity compensation plans will be set forth in the section headed “Executive Compensation” in our Proxy Statement and is incorporated in this Annual Report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Party Transactions</w:t>
      </w:r>
    </w:p>
    <w:p>
      <w:pPr>
        <w:spacing w:after="0" w:line="150" w:lineRule="exact"/>
        <w:rPr>
          <w:sz w:val="20"/>
          <w:szCs w:val="20"/>
          <w:color w:val="auto"/>
        </w:rPr>
      </w:pPr>
    </w:p>
    <w:p>
      <w:pPr>
        <w:ind w:right="600"/>
        <w:spacing w:after="0" w:line="257" w:lineRule="auto"/>
        <w:rPr>
          <w:sz w:val="20"/>
          <w:szCs w:val="20"/>
          <w:color w:val="auto"/>
        </w:rPr>
      </w:pPr>
      <w:r>
        <w:rPr>
          <w:rFonts w:ascii="Arial" w:cs="Arial" w:eastAsia="Arial" w:hAnsi="Arial"/>
          <w:sz w:val="13"/>
          <w:szCs w:val="13"/>
          <w:color w:val="auto"/>
        </w:rPr>
        <w:t>The information required by this Item will be set forth in the section headed “Transactions with Related Persons” in our Proxy Statement and is incorporated in this Annual Report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150" w:lineRule="exact"/>
        <w:rPr>
          <w:sz w:val="20"/>
          <w:szCs w:val="20"/>
          <w:color w:val="auto"/>
        </w:rPr>
      </w:pPr>
    </w:p>
    <w:p>
      <w:pPr>
        <w:ind w:right="340"/>
        <w:spacing w:after="0" w:line="257" w:lineRule="auto"/>
        <w:rPr>
          <w:sz w:val="20"/>
          <w:szCs w:val="20"/>
          <w:color w:val="auto"/>
        </w:rPr>
      </w:pPr>
      <w:r>
        <w:rPr>
          <w:rFonts w:ascii="Arial" w:cs="Arial" w:eastAsia="Arial" w:hAnsi="Arial"/>
          <w:sz w:val="13"/>
          <w:szCs w:val="13"/>
          <w:color w:val="auto"/>
        </w:rPr>
        <w:t>The information required by this Item will be set forth in the section headed “—Ratification of Selection of Independent Registered Public Accounting Firm” in our Proxy Statement and is incorporated in this Annual Report by reference.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documents are filed as part of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consolidated financial statements are filed as part of this Annual Report on Form 10-K under “Item 8. Financial Statements and Supplementary Data.”</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 Financial Statement Schedules</w:t>
      </w:r>
    </w:p>
    <w:p>
      <w:pPr>
        <w:spacing w:after="0" w:line="201" w:lineRule="exact"/>
        <w:rPr>
          <w:sz w:val="20"/>
          <w:szCs w:val="20"/>
          <w:color w:val="auto"/>
        </w:rPr>
      </w:pPr>
    </w:p>
    <w:p>
      <w:pPr>
        <w:spacing w:after="0" w:line="297" w:lineRule="auto"/>
        <w:rPr>
          <w:sz w:val="20"/>
          <w:szCs w:val="20"/>
          <w:color w:val="auto"/>
        </w:rPr>
      </w:pPr>
      <w:r>
        <w:rPr>
          <w:rFonts w:ascii="Arial" w:cs="Arial" w:eastAsia="Arial" w:hAnsi="Arial"/>
          <w:sz w:val="13"/>
          <w:szCs w:val="13"/>
          <w:i w:val="1"/>
          <w:iCs w:val="1"/>
          <w:color w:val="auto"/>
        </w:rPr>
        <w:t>The financial statement schedules are omitted because they are either not applicable or the information required is presented in the financial statements and notes thereto under “Item 8. Financial Statements and Supplementary Data.”</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 Exhibits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documents are filed, furnished, or incorporated by reference as part of this Annual Report on Form 10-K.</w:t>
      </w:r>
    </w:p>
    <w:p>
      <w:pPr>
        <w:spacing w:after="0" w:line="163" w:lineRule="exact"/>
        <w:rPr>
          <w:sz w:val="20"/>
          <w:szCs w:val="20"/>
          <w:color w:val="auto"/>
        </w:rPr>
      </w:pPr>
    </w:p>
    <w:p>
      <w:pPr>
        <w:ind w:left="160"/>
        <w:spacing w:after="0"/>
        <w:tabs>
          <w:tab w:leader="none" w:pos="3260" w:val="left"/>
          <w:tab w:leader="none" w:pos="7100" w:val="left"/>
          <w:tab w:leader="none" w:pos="7580" w:val="left"/>
          <w:tab w:leader="none" w:pos="8260" w:val="left"/>
          <w:tab w:leader="none" w:pos="926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11"/>
          <w:szCs w:val="11"/>
          <w:b w:val="1"/>
          <w:bCs w:val="1"/>
          <w:color w:val="auto"/>
        </w:rPr>
        <w:t>DESCRIPTION OF EXHIBIT</w:t>
      </w:r>
      <w:r>
        <w:rPr>
          <w:sz w:val="20"/>
          <w:szCs w:val="20"/>
          <w:color w:val="auto"/>
        </w:rPr>
        <w:tab/>
      </w:r>
      <w:r>
        <w:rPr>
          <w:rFonts w:ascii="Arial" w:cs="Arial" w:eastAsia="Arial" w:hAnsi="Arial"/>
          <w:sz w:val="11"/>
          <w:szCs w:val="11"/>
          <w:b w:val="1"/>
          <w:bCs w:val="1"/>
          <w:color w:val="auto"/>
        </w:rPr>
        <w:t>Form</w:t>
      </w:r>
      <w:r>
        <w:rPr>
          <w:sz w:val="20"/>
          <w:szCs w:val="20"/>
          <w:color w:val="auto"/>
        </w:rPr>
        <w:tab/>
      </w:r>
      <w:r>
        <w:rPr>
          <w:rFonts w:ascii="Arial" w:cs="Arial" w:eastAsia="Arial" w:hAnsi="Arial"/>
          <w:sz w:val="11"/>
          <w:szCs w:val="11"/>
          <w:b w:val="1"/>
          <w:bCs w:val="1"/>
          <w:color w:val="auto"/>
        </w:rPr>
        <w:t>Exhibit</w:t>
      </w:r>
      <w:r>
        <w:rPr>
          <w:sz w:val="20"/>
          <w:szCs w:val="20"/>
          <w:color w:val="auto"/>
        </w:rPr>
        <w:tab/>
      </w:r>
      <w:r>
        <w:rPr>
          <w:rFonts w:ascii="Arial" w:cs="Arial" w:eastAsia="Arial" w:hAnsi="Arial"/>
          <w:sz w:val="11"/>
          <w:szCs w:val="11"/>
          <w:b w:val="1"/>
          <w:bCs w:val="1"/>
          <w:color w:val="auto"/>
        </w:rPr>
        <w:t>Filing Date</w:t>
      </w:r>
      <w:r>
        <w:rPr>
          <w:sz w:val="20"/>
          <w:szCs w:val="20"/>
          <w:color w:val="auto"/>
        </w:rPr>
        <w:tab/>
      </w:r>
      <w:r>
        <w:rPr>
          <w:rFonts w:ascii="Arial" w:cs="Arial" w:eastAsia="Arial" w:hAnsi="Arial"/>
          <w:sz w:val="11"/>
          <w:szCs w:val="11"/>
          <w:b w:val="1"/>
          <w:bCs w:val="1"/>
          <w:color w:val="auto"/>
        </w:rPr>
        <w:t>FILED</w:t>
      </w:r>
    </w:p>
    <w:p>
      <w:pPr>
        <w:spacing w:after="0" w:line="25" w:lineRule="exact"/>
        <w:rPr>
          <w:sz w:val="20"/>
          <w:szCs w:val="20"/>
          <w:color w:val="auto"/>
        </w:rPr>
      </w:pPr>
    </w:p>
    <w:p>
      <w:pPr>
        <w:ind w:left="9160"/>
        <w:spacing w:after="0"/>
        <w:rPr>
          <w:sz w:val="20"/>
          <w:szCs w:val="20"/>
          <w:color w:val="auto"/>
        </w:rPr>
      </w:pPr>
      <w:r>
        <w:rPr>
          <w:rFonts w:ascii="Arial" w:cs="Arial" w:eastAsia="Arial" w:hAnsi="Arial"/>
          <w:sz w:val="11"/>
          <w:szCs w:val="11"/>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626554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65545" cy="6985"/>
                    </a:xfrm>
                    <a:prstGeom prst="rect">
                      <a:avLst/>
                    </a:prstGeom>
                    <a:noFill/>
                  </pic:spPr>
                </pic:pic>
              </a:graphicData>
            </a:graphic>
          </wp:anchor>
        </w:drawing>
      </w:r>
    </w:p>
    <w:p>
      <w:pPr>
        <w:sectPr>
          <w:pgSz w:w="11900" w:h="16838" w:orient="portrait"/>
          <w:cols w:equalWidth="0" w:num="1">
            <w:col w:w="10980"/>
          </w:cols>
          <w:pgMar w:left="300" w:top="125" w:right="619" w:bottom="1440" w:gutter="0" w:footer="0" w:header="0"/>
        </w:sectPr>
      </w:pPr>
    </w:p>
    <w:p>
      <w:pPr>
        <w:spacing w:after="0" w:line="4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3.1</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3.2</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4.1</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1"/>
          <w:szCs w:val="11"/>
          <w:color w:val="auto"/>
        </w:rPr>
        <w:t>10.1</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1"/>
          <w:szCs w:val="11"/>
          <w:color w:val="auto"/>
        </w:rPr>
        <w:t>10.2</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1"/>
          <w:szCs w:val="11"/>
          <w:color w:val="auto"/>
        </w:rPr>
        <w:t>10.3†</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1"/>
          <w:szCs w:val="11"/>
          <w:color w:val="auto"/>
        </w:rPr>
        <w:t>10.4†</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1"/>
          <w:szCs w:val="11"/>
          <w:color w:val="auto"/>
        </w:rPr>
        <w:t>10.5</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1"/>
          <w:szCs w:val="11"/>
          <w:color w:val="auto"/>
        </w:rPr>
        <w:t>10.6#</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1"/>
          <w:szCs w:val="11"/>
          <w:color w:val="auto"/>
        </w:rPr>
        <w:t>10.7#</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1"/>
          <w:szCs w:val="11"/>
          <w:color w:val="auto"/>
        </w:rPr>
        <w:t>10.8#</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1"/>
          <w:szCs w:val="11"/>
          <w:color w:val="auto"/>
        </w:rPr>
        <w:t>10.9#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1"/>
          <w:szCs w:val="11"/>
          <w:color w:val="auto"/>
        </w:rPr>
        <w:t>10.10#</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10.11#</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10.12#</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10.13#</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10.14#</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10.15#</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rFonts w:ascii="Arial" w:cs="Arial" w:eastAsia="Arial" w:hAnsi="Arial"/>
          <w:sz w:val="11"/>
          <w:szCs w:val="11"/>
          <w:u w:val="single" w:color="auto"/>
          <w:color w:val="0000FF"/>
        </w:rPr>
      </w:pPr>
      <w:hyperlink r:id="rId166">
        <w:r>
          <w:rPr>
            <w:rFonts w:ascii="Arial" w:cs="Arial" w:eastAsia="Arial" w:hAnsi="Arial"/>
            <w:sz w:val="11"/>
            <w:szCs w:val="11"/>
            <w:u w:val="single" w:color="auto"/>
            <w:color w:val="0000FF"/>
          </w:rPr>
          <w:t>Amended and Restated Certificate of Incorporation of Arteris, Inc.</w:t>
        </w:r>
      </w:hyperlink>
    </w:p>
    <w:p>
      <w:pPr>
        <w:spacing w:after="0" w:line="43" w:lineRule="exact"/>
        <w:rPr>
          <w:sz w:val="20"/>
          <w:szCs w:val="20"/>
          <w:color w:val="auto"/>
        </w:rPr>
      </w:pPr>
    </w:p>
    <w:p>
      <w:pPr>
        <w:spacing w:after="0"/>
        <w:rPr>
          <w:rFonts w:ascii="Arial" w:cs="Arial" w:eastAsia="Arial" w:hAnsi="Arial"/>
          <w:sz w:val="11"/>
          <w:szCs w:val="11"/>
          <w:u w:val="single" w:color="auto"/>
          <w:color w:val="0000FF"/>
        </w:rPr>
      </w:pPr>
      <w:hyperlink r:id="rId167">
        <w:r>
          <w:rPr>
            <w:rFonts w:ascii="Arial" w:cs="Arial" w:eastAsia="Arial" w:hAnsi="Arial"/>
            <w:sz w:val="11"/>
            <w:szCs w:val="11"/>
            <w:u w:val="single" w:color="auto"/>
            <w:color w:val="0000FF"/>
          </w:rPr>
          <w:t>Amended and Restated Bylaws of Arteris, Inc.</w:t>
        </w:r>
      </w:hyperlink>
    </w:p>
    <w:p>
      <w:pPr>
        <w:spacing w:after="0" w:line="43" w:lineRule="exact"/>
        <w:rPr>
          <w:sz w:val="20"/>
          <w:szCs w:val="20"/>
          <w:color w:val="auto"/>
        </w:rPr>
      </w:pPr>
    </w:p>
    <w:p>
      <w:pPr>
        <w:spacing w:after="0"/>
        <w:rPr>
          <w:rFonts w:ascii="Arial" w:cs="Arial" w:eastAsia="Arial" w:hAnsi="Arial"/>
          <w:sz w:val="11"/>
          <w:szCs w:val="11"/>
          <w:u w:val="single" w:color="auto"/>
          <w:color w:val="0000FF"/>
        </w:rPr>
      </w:pPr>
      <w:hyperlink r:id="rId168">
        <w:r>
          <w:rPr>
            <w:rFonts w:ascii="Arial" w:cs="Arial" w:eastAsia="Arial" w:hAnsi="Arial"/>
            <w:sz w:val="11"/>
            <w:szCs w:val="11"/>
            <w:u w:val="single" w:color="auto"/>
            <w:color w:val="0000FF"/>
          </w:rPr>
          <w:t>Specimen Stock Certificate evidencing the shares of common stock.</w:t>
        </w:r>
      </w:hyperlink>
    </w:p>
    <w:p>
      <w:pPr>
        <w:spacing w:after="0" w:line="43" w:lineRule="exact"/>
        <w:rPr>
          <w:sz w:val="20"/>
          <w:szCs w:val="20"/>
          <w:color w:val="auto"/>
        </w:rPr>
      </w:pPr>
    </w:p>
    <w:p>
      <w:pPr>
        <w:spacing w:after="0"/>
        <w:rPr>
          <w:rFonts w:ascii="Arial" w:cs="Arial" w:eastAsia="Arial" w:hAnsi="Arial"/>
          <w:sz w:val="11"/>
          <w:szCs w:val="11"/>
          <w:u w:val="single" w:color="auto"/>
          <w:color w:val="0000FF"/>
        </w:rPr>
      </w:pPr>
      <w:hyperlink r:id="rId169">
        <w:r>
          <w:rPr>
            <w:rFonts w:ascii="Arial" w:cs="Arial" w:eastAsia="Arial" w:hAnsi="Arial"/>
            <w:sz w:val="11"/>
            <w:szCs w:val="11"/>
            <w:u w:val="single" w:color="auto"/>
            <w:color w:val="0000FF"/>
          </w:rPr>
          <w:t>Investors’ Rights Agreement, dated February 5, 2016, by and among Arteris, Inc. and the investors listed therein.</w:t>
        </w:r>
      </w:hyperlink>
    </w:p>
    <w:p>
      <w:pPr>
        <w:spacing w:after="0" w:line="43" w:lineRule="exact"/>
        <w:rPr>
          <w:sz w:val="20"/>
          <w:szCs w:val="20"/>
          <w:color w:val="auto"/>
        </w:rPr>
      </w:pPr>
    </w:p>
    <w:p>
      <w:pPr>
        <w:spacing w:after="0" w:line="260" w:lineRule="auto"/>
        <w:rPr>
          <w:rFonts w:ascii="Arial" w:cs="Arial" w:eastAsia="Arial" w:hAnsi="Arial"/>
          <w:sz w:val="11"/>
          <w:szCs w:val="11"/>
          <w:u w:val="single" w:color="auto"/>
          <w:color w:val="0000FF"/>
        </w:rPr>
      </w:pPr>
      <w:hyperlink r:id="rId170">
        <w:r>
          <w:rPr>
            <w:rFonts w:ascii="Arial" w:cs="Arial" w:eastAsia="Arial" w:hAnsi="Arial"/>
            <w:sz w:val="11"/>
            <w:szCs w:val="11"/>
            <w:u w:val="single" w:color="auto"/>
            <w:color w:val="0000FF"/>
          </w:rPr>
          <w:t>Amended and Restated Business Financing Agreement, by and between Arteris, Inc. and Western Alliance Bank dated</w:t>
        </w:r>
      </w:hyperlink>
      <w:r>
        <w:rPr>
          <w:rFonts w:ascii="Arial" w:cs="Arial" w:eastAsia="Arial" w:hAnsi="Arial"/>
          <w:sz w:val="11"/>
          <w:szCs w:val="11"/>
          <w:u w:val="single" w:color="auto"/>
          <w:color w:val="0000FF"/>
        </w:rPr>
        <w:t xml:space="preserve"> </w:t>
      </w:r>
      <w:hyperlink r:id="rId170">
        <w:r>
          <w:rPr>
            <w:rFonts w:ascii="Arial" w:cs="Arial" w:eastAsia="Arial" w:hAnsi="Arial"/>
            <w:sz w:val="11"/>
            <w:szCs w:val="11"/>
            <w:u w:val="single" w:color="auto"/>
            <w:color w:val="0000FF"/>
          </w:rPr>
          <w:t>as of December 16, 2020.</w:t>
        </w:r>
      </w:hyperlink>
    </w:p>
    <w:p>
      <w:pPr>
        <w:spacing w:after="0" w:line="23" w:lineRule="exact"/>
        <w:rPr>
          <w:sz w:val="20"/>
          <w:szCs w:val="20"/>
          <w:color w:val="auto"/>
        </w:rPr>
      </w:pPr>
    </w:p>
    <w:p>
      <w:pPr>
        <w:spacing w:after="0"/>
        <w:rPr>
          <w:rFonts w:ascii="Arial" w:cs="Arial" w:eastAsia="Arial" w:hAnsi="Arial"/>
          <w:sz w:val="11"/>
          <w:szCs w:val="11"/>
          <w:u w:val="single" w:color="auto"/>
          <w:color w:val="0000FF"/>
        </w:rPr>
      </w:pPr>
      <w:hyperlink r:id="rId171">
        <w:r>
          <w:rPr>
            <w:rFonts w:ascii="Arial" w:cs="Arial" w:eastAsia="Arial" w:hAnsi="Arial"/>
            <w:sz w:val="11"/>
            <w:szCs w:val="11"/>
            <w:u w:val="single" w:color="auto"/>
            <w:color w:val="0000FF"/>
          </w:rPr>
          <w:t>License Agreement, dated as of October 11, 2013, by and between Arteris, Inc. and Qualcomm Technologies, Inc.</w:t>
        </w:r>
      </w:hyperlink>
    </w:p>
    <w:p>
      <w:pPr>
        <w:spacing w:after="0" w:line="43" w:lineRule="exact"/>
        <w:rPr>
          <w:sz w:val="20"/>
          <w:szCs w:val="20"/>
          <w:color w:val="auto"/>
        </w:rPr>
      </w:pPr>
    </w:p>
    <w:p>
      <w:pPr>
        <w:ind w:right="200"/>
        <w:spacing w:after="0" w:line="260" w:lineRule="auto"/>
        <w:rPr>
          <w:rFonts w:ascii="Arial" w:cs="Arial" w:eastAsia="Arial" w:hAnsi="Arial"/>
          <w:sz w:val="11"/>
          <w:szCs w:val="11"/>
          <w:u w:val="single" w:color="auto"/>
          <w:color w:val="0000FF"/>
        </w:rPr>
      </w:pPr>
      <w:hyperlink r:id="rId172">
        <w:r>
          <w:rPr>
            <w:rFonts w:ascii="Arial" w:cs="Arial" w:eastAsia="Arial" w:hAnsi="Arial"/>
            <w:sz w:val="11"/>
            <w:szCs w:val="11"/>
            <w:u w:val="single" w:color="auto"/>
            <w:color w:val="0000FF"/>
          </w:rPr>
          <w:t>Asset Purchase Agreement, dated as of October 9, 2013, by and among Qualcomm Technologies, Inc., Qualcomm</w:t>
        </w:r>
      </w:hyperlink>
      <w:r>
        <w:rPr>
          <w:rFonts w:ascii="Arial" w:cs="Arial" w:eastAsia="Arial" w:hAnsi="Arial"/>
          <w:sz w:val="11"/>
          <w:szCs w:val="11"/>
          <w:u w:val="single" w:color="auto"/>
          <w:color w:val="0000FF"/>
        </w:rPr>
        <w:t xml:space="preserve"> </w:t>
      </w:r>
      <w:hyperlink r:id="rId172">
        <w:r>
          <w:rPr>
            <w:rFonts w:ascii="Arial" w:cs="Arial" w:eastAsia="Arial" w:hAnsi="Arial"/>
            <w:sz w:val="11"/>
            <w:szCs w:val="11"/>
            <w:u w:val="single" w:color="auto"/>
            <w:color w:val="0000FF"/>
          </w:rPr>
          <w:t>France SARL, Arteris Holdings, Inc., Arteris, Inc. and Arteris, SAS</w:t>
        </w:r>
      </w:hyperlink>
    </w:p>
    <w:p>
      <w:pPr>
        <w:spacing w:after="0" w:line="23" w:lineRule="exact"/>
        <w:rPr>
          <w:sz w:val="20"/>
          <w:szCs w:val="20"/>
          <w:color w:val="auto"/>
        </w:rPr>
      </w:pPr>
    </w:p>
    <w:p>
      <w:pPr>
        <w:spacing w:after="0"/>
        <w:rPr>
          <w:rFonts w:ascii="Arial" w:cs="Arial" w:eastAsia="Arial" w:hAnsi="Arial"/>
          <w:sz w:val="11"/>
          <w:szCs w:val="11"/>
          <w:u w:val="single" w:color="auto"/>
          <w:color w:val="0000FF"/>
        </w:rPr>
      </w:pPr>
      <w:hyperlink r:id="rId173">
        <w:r>
          <w:rPr>
            <w:rFonts w:ascii="Arial" w:cs="Arial" w:eastAsia="Arial" w:hAnsi="Arial"/>
            <w:sz w:val="11"/>
            <w:szCs w:val="11"/>
            <w:u w:val="single" w:color="auto"/>
            <w:color w:val="0000FF"/>
          </w:rPr>
          <w:t>Office Lease, by and between Millich Commercial, LLC and Arteris, Inc., dated as of July 17, 2017.</w:t>
        </w:r>
      </w:hyperlink>
    </w:p>
    <w:p>
      <w:pPr>
        <w:spacing w:after="0" w:line="43" w:lineRule="exact"/>
        <w:rPr>
          <w:sz w:val="20"/>
          <w:szCs w:val="20"/>
          <w:color w:val="auto"/>
        </w:rPr>
      </w:pPr>
    </w:p>
    <w:p>
      <w:pPr>
        <w:spacing w:after="0"/>
        <w:rPr>
          <w:rFonts w:ascii="Arial" w:cs="Arial" w:eastAsia="Arial" w:hAnsi="Arial"/>
          <w:sz w:val="11"/>
          <w:szCs w:val="11"/>
          <w:u w:val="single" w:color="auto"/>
          <w:color w:val="0000FF"/>
        </w:rPr>
      </w:pPr>
      <w:hyperlink r:id="rId174">
        <w:r>
          <w:rPr>
            <w:rFonts w:ascii="Arial" w:cs="Arial" w:eastAsia="Arial" w:hAnsi="Arial"/>
            <w:sz w:val="11"/>
            <w:szCs w:val="11"/>
            <w:u w:val="single" w:color="auto"/>
            <w:color w:val="0000FF"/>
          </w:rPr>
          <w:t>Employment Agreement, by and between Arteris, Inc. and K. Charles Janac.</w:t>
        </w:r>
      </w:hyperlink>
    </w:p>
    <w:p>
      <w:pPr>
        <w:spacing w:after="0" w:line="43" w:lineRule="exact"/>
        <w:rPr>
          <w:sz w:val="20"/>
          <w:szCs w:val="20"/>
          <w:color w:val="auto"/>
        </w:rPr>
      </w:pPr>
    </w:p>
    <w:p>
      <w:pPr>
        <w:spacing w:after="0"/>
        <w:rPr>
          <w:rFonts w:ascii="Arial" w:cs="Arial" w:eastAsia="Arial" w:hAnsi="Arial"/>
          <w:sz w:val="11"/>
          <w:szCs w:val="11"/>
          <w:u w:val="single" w:color="auto"/>
          <w:color w:val="0000FF"/>
        </w:rPr>
      </w:pPr>
      <w:hyperlink r:id="rId175">
        <w:r>
          <w:rPr>
            <w:rFonts w:ascii="Arial" w:cs="Arial" w:eastAsia="Arial" w:hAnsi="Arial"/>
            <w:sz w:val="11"/>
            <w:szCs w:val="11"/>
            <w:u w:val="single" w:color="auto"/>
            <w:color w:val="0000FF"/>
          </w:rPr>
          <w:t>Offer Letter, dated as of March 23, 2010, by and between Arteris, Inc. and David Mertens.</w:t>
        </w:r>
      </w:hyperlink>
    </w:p>
    <w:p>
      <w:pPr>
        <w:spacing w:after="0" w:line="43" w:lineRule="exact"/>
        <w:rPr>
          <w:sz w:val="20"/>
          <w:szCs w:val="20"/>
          <w:color w:val="auto"/>
        </w:rPr>
      </w:pPr>
    </w:p>
    <w:p>
      <w:pPr>
        <w:spacing w:after="0"/>
        <w:rPr>
          <w:rFonts w:ascii="Arial" w:cs="Arial" w:eastAsia="Arial" w:hAnsi="Arial"/>
          <w:sz w:val="11"/>
          <w:szCs w:val="11"/>
          <w:u w:val="single" w:color="auto"/>
          <w:color w:val="0000FF"/>
        </w:rPr>
      </w:pPr>
      <w:hyperlink r:id="rId176">
        <w:r>
          <w:rPr>
            <w:rFonts w:ascii="Arial" w:cs="Arial" w:eastAsia="Arial" w:hAnsi="Arial"/>
            <w:sz w:val="11"/>
            <w:szCs w:val="11"/>
            <w:u w:val="single" w:color="auto"/>
            <w:color w:val="0000FF"/>
          </w:rPr>
          <w:t>Arteris Commission Agreement, dated April 10, 2017, by and between Arteris, Inc. and David Mertens.</w:t>
        </w:r>
      </w:hyperlink>
    </w:p>
    <w:p>
      <w:pPr>
        <w:spacing w:after="0" w:line="43" w:lineRule="exact"/>
        <w:rPr>
          <w:sz w:val="20"/>
          <w:szCs w:val="20"/>
          <w:color w:val="auto"/>
        </w:rPr>
      </w:pPr>
    </w:p>
    <w:p>
      <w:pPr>
        <w:ind w:right="280"/>
        <w:spacing w:after="0" w:line="260" w:lineRule="auto"/>
        <w:rPr>
          <w:rFonts w:ascii="Arial" w:cs="Arial" w:eastAsia="Arial" w:hAnsi="Arial"/>
          <w:sz w:val="11"/>
          <w:szCs w:val="11"/>
          <w:u w:val="single" w:color="auto"/>
          <w:color w:val="0000FF"/>
        </w:rPr>
      </w:pPr>
      <w:hyperlink r:id="rId177">
        <w:r>
          <w:rPr>
            <w:rFonts w:ascii="Arial" w:cs="Arial" w:eastAsia="Arial" w:hAnsi="Arial"/>
            <w:sz w:val="11"/>
            <w:szCs w:val="11"/>
            <w:u w:val="single" w:color="auto"/>
            <w:color w:val="0000FF"/>
          </w:rPr>
          <w:t>Amendment to the Arteris Commission Agreement, dated as of January 1, 2020, by and between Arteris, Inc. and</w:t>
        </w:r>
      </w:hyperlink>
      <w:r>
        <w:rPr>
          <w:rFonts w:ascii="Arial" w:cs="Arial" w:eastAsia="Arial" w:hAnsi="Arial"/>
          <w:sz w:val="11"/>
          <w:szCs w:val="11"/>
          <w:u w:val="single" w:color="auto"/>
          <w:color w:val="0000FF"/>
        </w:rPr>
        <w:t xml:space="preserve"> </w:t>
      </w:r>
      <w:hyperlink r:id="rId177">
        <w:r>
          <w:rPr>
            <w:rFonts w:ascii="Arial" w:cs="Arial" w:eastAsia="Arial" w:hAnsi="Arial"/>
            <w:sz w:val="11"/>
            <w:szCs w:val="11"/>
            <w:u w:val="single" w:color="auto"/>
            <w:color w:val="0000FF"/>
          </w:rPr>
          <w:t>David Mertens.</w:t>
        </w:r>
      </w:hyperlink>
    </w:p>
    <w:p>
      <w:pPr>
        <w:spacing w:after="0" w:line="23" w:lineRule="exact"/>
        <w:rPr>
          <w:sz w:val="20"/>
          <w:szCs w:val="20"/>
          <w:color w:val="auto"/>
        </w:rPr>
      </w:pPr>
    </w:p>
    <w:p>
      <w:pPr>
        <w:spacing w:after="0"/>
        <w:rPr>
          <w:rFonts w:ascii="Arial" w:cs="Arial" w:eastAsia="Arial" w:hAnsi="Arial"/>
          <w:sz w:val="11"/>
          <w:szCs w:val="11"/>
          <w:u w:val="single" w:color="auto"/>
          <w:color w:val="0000FF"/>
        </w:rPr>
      </w:pPr>
      <w:hyperlink r:id="rId178">
        <w:r>
          <w:rPr>
            <w:rFonts w:ascii="Arial" w:cs="Arial" w:eastAsia="Arial" w:hAnsi="Arial"/>
            <w:sz w:val="11"/>
            <w:szCs w:val="11"/>
            <w:u w:val="single" w:color="auto"/>
            <w:color w:val="0000FF"/>
          </w:rPr>
          <w:t>Employment Agreement, by and between Arteris IP SAS and Isabelle Geday.</w:t>
        </w:r>
      </w:hyperlink>
    </w:p>
    <w:p>
      <w:pPr>
        <w:spacing w:after="0" w:line="43" w:lineRule="exact"/>
        <w:rPr>
          <w:sz w:val="20"/>
          <w:szCs w:val="20"/>
          <w:color w:val="auto"/>
        </w:rPr>
      </w:pPr>
    </w:p>
    <w:p>
      <w:pPr>
        <w:spacing w:after="0"/>
        <w:rPr>
          <w:rFonts w:ascii="Arial" w:cs="Arial" w:eastAsia="Arial" w:hAnsi="Arial"/>
          <w:sz w:val="11"/>
          <w:szCs w:val="11"/>
          <w:u w:val="single" w:color="auto"/>
          <w:color w:val="0000FF"/>
        </w:rPr>
      </w:pPr>
      <w:hyperlink r:id="rId179">
        <w:r>
          <w:rPr>
            <w:rFonts w:ascii="Arial" w:cs="Arial" w:eastAsia="Arial" w:hAnsi="Arial"/>
            <w:sz w:val="11"/>
            <w:szCs w:val="11"/>
            <w:u w:val="single" w:color="auto"/>
            <w:color w:val="0000FF"/>
          </w:rPr>
          <w:t>Arteris, Inc. 2016 Equity Incentive Plan and related form agreements, as amended.</w:t>
        </w:r>
      </w:hyperlink>
    </w:p>
    <w:p>
      <w:pPr>
        <w:spacing w:after="0" w:line="43" w:lineRule="exact"/>
        <w:rPr>
          <w:sz w:val="20"/>
          <w:szCs w:val="20"/>
          <w:color w:val="auto"/>
        </w:rPr>
      </w:pPr>
    </w:p>
    <w:p>
      <w:pPr>
        <w:spacing w:after="0"/>
        <w:rPr>
          <w:rFonts w:ascii="Arial" w:cs="Arial" w:eastAsia="Arial" w:hAnsi="Arial"/>
          <w:sz w:val="11"/>
          <w:szCs w:val="11"/>
          <w:u w:val="single" w:color="auto"/>
          <w:color w:val="0000FF"/>
        </w:rPr>
      </w:pPr>
      <w:hyperlink r:id="rId180">
        <w:r>
          <w:rPr>
            <w:rFonts w:ascii="Arial" w:cs="Arial" w:eastAsia="Arial" w:hAnsi="Arial"/>
            <w:sz w:val="11"/>
            <w:szCs w:val="11"/>
            <w:u w:val="single" w:color="auto"/>
            <w:color w:val="0000FF"/>
          </w:rPr>
          <w:t>Arteris, Inc. 2016 Equity Incentive Plan for the Grant of Restricted Stock Unit Awards to Employees in France.</w:t>
        </w:r>
      </w:hyperlink>
    </w:p>
    <w:p>
      <w:pPr>
        <w:spacing w:after="0" w:line="43" w:lineRule="exact"/>
        <w:rPr>
          <w:sz w:val="20"/>
          <w:szCs w:val="20"/>
          <w:color w:val="auto"/>
        </w:rPr>
      </w:pPr>
    </w:p>
    <w:p>
      <w:pPr>
        <w:spacing w:after="0"/>
        <w:rPr>
          <w:rFonts w:ascii="Arial" w:cs="Arial" w:eastAsia="Arial" w:hAnsi="Arial"/>
          <w:sz w:val="11"/>
          <w:szCs w:val="11"/>
          <w:u w:val="single" w:color="auto"/>
          <w:color w:val="0000FF"/>
        </w:rPr>
      </w:pPr>
      <w:hyperlink r:id="rId181">
        <w:r>
          <w:rPr>
            <w:rFonts w:ascii="Arial" w:cs="Arial" w:eastAsia="Arial" w:hAnsi="Arial"/>
            <w:sz w:val="11"/>
            <w:szCs w:val="11"/>
            <w:u w:val="single" w:color="auto"/>
            <w:color w:val="0000FF"/>
          </w:rPr>
          <w:t>2021 Incentive Award Plan.</w:t>
        </w:r>
      </w:hyperlink>
    </w:p>
    <w:p>
      <w:pPr>
        <w:spacing w:after="0" w:line="43" w:lineRule="exact"/>
        <w:rPr>
          <w:sz w:val="20"/>
          <w:szCs w:val="20"/>
          <w:color w:val="auto"/>
        </w:rPr>
      </w:pPr>
    </w:p>
    <w:p>
      <w:pPr>
        <w:spacing w:after="0"/>
        <w:rPr>
          <w:rFonts w:ascii="Arial" w:cs="Arial" w:eastAsia="Arial" w:hAnsi="Arial"/>
          <w:sz w:val="11"/>
          <w:szCs w:val="11"/>
          <w:u w:val="single" w:color="auto"/>
          <w:color w:val="0000FF"/>
        </w:rPr>
      </w:pPr>
      <w:hyperlink r:id="rId182">
        <w:r>
          <w:rPr>
            <w:rFonts w:ascii="Arial" w:cs="Arial" w:eastAsia="Arial" w:hAnsi="Arial"/>
            <w:sz w:val="11"/>
            <w:szCs w:val="11"/>
            <w:u w:val="single" w:color="auto"/>
            <w:color w:val="0000FF"/>
          </w:rPr>
          <w:t>Form of Stock Option Award Agreement under Arteris, Inc. 2021 Incentive Award Plan.</w:t>
        </w:r>
      </w:hyperlink>
    </w:p>
    <w:p>
      <w:pPr>
        <w:spacing w:after="0" w:line="43" w:lineRule="exact"/>
        <w:rPr>
          <w:sz w:val="20"/>
          <w:szCs w:val="20"/>
          <w:color w:val="auto"/>
        </w:rPr>
      </w:pPr>
    </w:p>
    <w:p>
      <w:pPr>
        <w:spacing w:after="0"/>
        <w:rPr>
          <w:rFonts w:ascii="Arial" w:cs="Arial" w:eastAsia="Arial" w:hAnsi="Arial"/>
          <w:sz w:val="11"/>
          <w:szCs w:val="11"/>
          <w:u w:val="single" w:color="auto"/>
          <w:color w:val="0000FF"/>
        </w:rPr>
      </w:pPr>
      <w:hyperlink r:id="rId183">
        <w:r>
          <w:rPr>
            <w:rFonts w:ascii="Arial" w:cs="Arial" w:eastAsia="Arial" w:hAnsi="Arial"/>
            <w:sz w:val="11"/>
            <w:szCs w:val="11"/>
            <w:u w:val="single" w:color="auto"/>
            <w:color w:val="0000FF"/>
          </w:rPr>
          <w:t>Form of Restricted Stock Unit Award Agreement under Arteris, Inc. 2021 Incentive Award Plan</w:t>
        </w:r>
      </w:hyperlink>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380" w:type="dxa"/>
            <w:vAlign w:val="bottom"/>
          </w:tcPr>
          <w:p>
            <w:pPr>
              <w:spacing w:after="0"/>
              <w:rPr>
                <w:sz w:val="20"/>
                <w:szCs w:val="20"/>
                <w:color w:val="auto"/>
              </w:rPr>
            </w:pPr>
            <w:r>
              <w:rPr>
                <w:rFonts w:ascii="Arial" w:cs="Arial" w:eastAsia="Arial" w:hAnsi="Arial"/>
                <w:sz w:val="11"/>
                <w:szCs w:val="11"/>
                <w:color w:val="auto"/>
              </w:rPr>
              <w:t>8-K</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3.1</w:t>
            </w:r>
          </w:p>
        </w:tc>
        <w:tc>
          <w:tcPr>
            <w:tcW w:w="760" w:type="dxa"/>
            <w:vAlign w:val="bottom"/>
          </w:tcPr>
          <w:p>
            <w:pPr>
              <w:jc w:val="right"/>
              <w:spacing w:after="0"/>
              <w:rPr>
                <w:sz w:val="20"/>
                <w:szCs w:val="20"/>
                <w:color w:val="auto"/>
              </w:rPr>
            </w:pPr>
            <w:r>
              <w:rPr>
                <w:rFonts w:ascii="Arial" w:cs="Arial" w:eastAsia="Arial" w:hAnsi="Arial"/>
                <w:sz w:val="11"/>
                <w:szCs w:val="11"/>
                <w:color w:val="auto"/>
              </w:rPr>
              <w:t>10-29-2021</w:t>
            </w:r>
          </w:p>
        </w:tc>
      </w:tr>
      <w:tr>
        <w:trPr>
          <w:trHeight w:val="170"/>
        </w:trPr>
        <w:tc>
          <w:tcPr>
            <w:tcW w:w="380" w:type="dxa"/>
            <w:vAlign w:val="bottom"/>
          </w:tcPr>
          <w:p>
            <w:pPr>
              <w:spacing w:after="0"/>
              <w:rPr>
                <w:sz w:val="20"/>
                <w:szCs w:val="20"/>
                <w:color w:val="auto"/>
              </w:rPr>
            </w:pPr>
            <w:r>
              <w:rPr>
                <w:rFonts w:ascii="Arial" w:cs="Arial" w:eastAsia="Arial" w:hAnsi="Arial"/>
                <w:sz w:val="11"/>
                <w:szCs w:val="11"/>
                <w:color w:val="auto"/>
              </w:rPr>
              <w:t>8-K</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3.2</w:t>
            </w:r>
          </w:p>
        </w:tc>
        <w:tc>
          <w:tcPr>
            <w:tcW w:w="760" w:type="dxa"/>
            <w:vAlign w:val="bottom"/>
          </w:tcPr>
          <w:p>
            <w:pPr>
              <w:jc w:val="right"/>
              <w:spacing w:after="0"/>
              <w:rPr>
                <w:sz w:val="20"/>
                <w:szCs w:val="20"/>
                <w:color w:val="auto"/>
              </w:rPr>
            </w:pPr>
            <w:r>
              <w:rPr>
                <w:rFonts w:ascii="Arial" w:cs="Arial" w:eastAsia="Arial" w:hAnsi="Arial"/>
                <w:sz w:val="11"/>
                <w:szCs w:val="11"/>
                <w:color w:val="auto"/>
              </w:rPr>
              <w:t>10-29-2021</w:t>
            </w:r>
          </w:p>
        </w:tc>
      </w:tr>
      <w:tr>
        <w:trPr>
          <w:trHeight w:val="170"/>
        </w:trPr>
        <w:tc>
          <w:tcPr>
            <w:tcW w:w="380" w:type="dxa"/>
            <w:vAlign w:val="bottom"/>
          </w:tcPr>
          <w:p>
            <w:pPr>
              <w:spacing w:after="0"/>
              <w:rPr>
                <w:sz w:val="20"/>
                <w:szCs w:val="20"/>
                <w:color w:val="auto"/>
              </w:rPr>
            </w:pPr>
            <w:r>
              <w:rPr>
                <w:rFonts w:ascii="Arial" w:cs="Arial" w:eastAsia="Arial" w:hAnsi="Arial"/>
                <w:sz w:val="11"/>
                <w:szCs w:val="11"/>
                <w:color w:val="auto"/>
              </w:rPr>
              <w:t>S-1/A</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4.1</w:t>
            </w:r>
          </w:p>
        </w:tc>
        <w:tc>
          <w:tcPr>
            <w:tcW w:w="760" w:type="dxa"/>
            <w:vAlign w:val="bottom"/>
          </w:tcPr>
          <w:p>
            <w:pPr>
              <w:jc w:val="right"/>
              <w:spacing w:after="0"/>
              <w:rPr>
                <w:sz w:val="20"/>
                <w:szCs w:val="20"/>
                <w:color w:val="auto"/>
              </w:rPr>
            </w:pPr>
            <w:r>
              <w:rPr>
                <w:rFonts w:ascii="Arial" w:cs="Arial" w:eastAsia="Arial" w:hAnsi="Arial"/>
                <w:sz w:val="11"/>
                <w:szCs w:val="11"/>
                <w:color w:val="auto"/>
              </w:rPr>
              <w:t>10-18-2021</w:t>
            </w:r>
          </w:p>
        </w:tc>
      </w:tr>
      <w:tr>
        <w:trPr>
          <w:trHeight w:val="170"/>
        </w:trPr>
        <w:tc>
          <w:tcPr>
            <w:tcW w:w="380" w:type="dxa"/>
            <w:vAlign w:val="bottom"/>
          </w:tcPr>
          <w:p>
            <w:pPr>
              <w:spacing w:after="0"/>
              <w:rPr>
                <w:sz w:val="20"/>
                <w:szCs w:val="20"/>
                <w:color w:val="auto"/>
              </w:rPr>
            </w:pPr>
            <w:r>
              <w:rPr>
                <w:rFonts w:ascii="Arial" w:cs="Arial" w:eastAsia="Arial" w:hAnsi="Arial"/>
                <w:sz w:val="11"/>
                <w:szCs w:val="11"/>
                <w:color w:val="auto"/>
              </w:rPr>
              <w:t>S-1</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10.1</w:t>
            </w:r>
          </w:p>
        </w:tc>
        <w:tc>
          <w:tcPr>
            <w:tcW w:w="760" w:type="dxa"/>
            <w:vAlign w:val="bottom"/>
          </w:tcPr>
          <w:p>
            <w:pPr>
              <w:jc w:val="right"/>
              <w:spacing w:after="0"/>
              <w:rPr>
                <w:sz w:val="20"/>
                <w:szCs w:val="20"/>
                <w:color w:val="auto"/>
              </w:rPr>
            </w:pPr>
            <w:r>
              <w:rPr>
                <w:rFonts w:ascii="Arial" w:cs="Arial" w:eastAsia="Arial" w:hAnsi="Arial"/>
                <w:sz w:val="11"/>
                <w:szCs w:val="11"/>
                <w:color w:val="auto"/>
              </w:rPr>
              <w:t>10-01-2021</w:t>
            </w:r>
          </w:p>
        </w:tc>
      </w:tr>
      <w:tr>
        <w:trPr>
          <w:trHeight w:val="170"/>
        </w:trPr>
        <w:tc>
          <w:tcPr>
            <w:tcW w:w="380" w:type="dxa"/>
            <w:vAlign w:val="bottom"/>
          </w:tcPr>
          <w:p>
            <w:pPr>
              <w:spacing w:after="0"/>
              <w:rPr>
                <w:sz w:val="20"/>
                <w:szCs w:val="20"/>
                <w:color w:val="auto"/>
              </w:rPr>
            </w:pPr>
            <w:r>
              <w:rPr>
                <w:rFonts w:ascii="Arial" w:cs="Arial" w:eastAsia="Arial" w:hAnsi="Arial"/>
                <w:sz w:val="11"/>
                <w:szCs w:val="11"/>
                <w:color w:val="auto"/>
              </w:rPr>
              <w:t>S-1</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10.2</w:t>
            </w:r>
          </w:p>
        </w:tc>
        <w:tc>
          <w:tcPr>
            <w:tcW w:w="760" w:type="dxa"/>
            <w:vAlign w:val="bottom"/>
          </w:tcPr>
          <w:p>
            <w:pPr>
              <w:jc w:val="right"/>
              <w:spacing w:after="0"/>
              <w:rPr>
                <w:sz w:val="20"/>
                <w:szCs w:val="20"/>
                <w:color w:val="auto"/>
              </w:rPr>
            </w:pPr>
            <w:r>
              <w:rPr>
                <w:rFonts w:ascii="Arial" w:cs="Arial" w:eastAsia="Arial" w:hAnsi="Arial"/>
                <w:sz w:val="11"/>
                <w:szCs w:val="11"/>
                <w:color w:val="auto"/>
              </w:rPr>
              <w:t>10-01-2021</w:t>
            </w:r>
          </w:p>
        </w:tc>
      </w:tr>
      <w:tr>
        <w:trPr>
          <w:trHeight w:val="297"/>
        </w:trPr>
        <w:tc>
          <w:tcPr>
            <w:tcW w:w="380" w:type="dxa"/>
            <w:vAlign w:val="bottom"/>
          </w:tcPr>
          <w:p>
            <w:pPr>
              <w:spacing w:after="0"/>
              <w:rPr>
                <w:sz w:val="20"/>
                <w:szCs w:val="20"/>
                <w:color w:val="auto"/>
              </w:rPr>
            </w:pPr>
            <w:r>
              <w:rPr>
                <w:rFonts w:ascii="Arial" w:cs="Arial" w:eastAsia="Arial" w:hAnsi="Arial"/>
                <w:sz w:val="11"/>
                <w:szCs w:val="11"/>
                <w:color w:val="auto"/>
              </w:rPr>
              <w:t>S-1</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10.3</w:t>
            </w:r>
          </w:p>
        </w:tc>
        <w:tc>
          <w:tcPr>
            <w:tcW w:w="760" w:type="dxa"/>
            <w:vAlign w:val="bottom"/>
          </w:tcPr>
          <w:p>
            <w:pPr>
              <w:jc w:val="right"/>
              <w:spacing w:after="0"/>
              <w:rPr>
                <w:sz w:val="20"/>
                <w:szCs w:val="20"/>
                <w:color w:val="auto"/>
              </w:rPr>
            </w:pPr>
            <w:r>
              <w:rPr>
                <w:rFonts w:ascii="Arial" w:cs="Arial" w:eastAsia="Arial" w:hAnsi="Arial"/>
                <w:sz w:val="11"/>
                <w:szCs w:val="11"/>
                <w:color w:val="auto"/>
              </w:rPr>
              <w:t>10-01-2021</w:t>
            </w:r>
          </w:p>
        </w:tc>
      </w:tr>
      <w:tr>
        <w:trPr>
          <w:trHeight w:val="170"/>
        </w:trPr>
        <w:tc>
          <w:tcPr>
            <w:tcW w:w="380" w:type="dxa"/>
            <w:vAlign w:val="bottom"/>
          </w:tcPr>
          <w:p>
            <w:pPr>
              <w:spacing w:after="0"/>
              <w:rPr>
                <w:sz w:val="20"/>
                <w:szCs w:val="20"/>
                <w:color w:val="auto"/>
              </w:rPr>
            </w:pPr>
            <w:r>
              <w:rPr>
                <w:rFonts w:ascii="Arial" w:cs="Arial" w:eastAsia="Arial" w:hAnsi="Arial"/>
                <w:sz w:val="11"/>
                <w:szCs w:val="11"/>
                <w:color w:val="auto"/>
              </w:rPr>
              <w:t>S-1</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10.4</w:t>
            </w:r>
          </w:p>
        </w:tc>
        <w:tc>
          <w:tcPr>
            <w:tcW w:w="760" w:type="dxa"/>
            <w:vAlign w:val="bottom"/>
          </w:tcPr>
          <w:p>
            <w:pPr>
              <w:jc w:val="right"/>
              <w:spacing w:after="0"/>
              <w:rPr>
                <w:sz w:val="20"/>
                <w:szCs w:val="20"/>
                <w:color w:val="auto"/>
              </w:rPr>
            </w:pPr>
            <w:r>
              <w:rPr>
                <w:rFonts w:ascii="Arial" w:cs="Arial" w:eastAsia="Arial" w:hAnsi="Arial"/>
                <w:sz w:val="11"/>
                <w:szCs w:val="11"/>
                <w:color w:val="auto"/>
              </w:rPr>
              <w:t>10-01-2021</w:t>
            </w:r>
          </w:p>
        </w:tc>
      </w:tr>
      <w:tr>
        <w:trPr>
          <w:trHeight w:val="297"/>
        </w:trPr>
        <w:tc>
          <w:tcPr>
            <w:tcW w:w="380" w:type="dxa"/>
            <w:vAlign w:val="bottom"/>
          </w:tcPr>
          <w:p>
            <w:pPr>
              <w:spacing w:after="0"/>
              <w:rPr>
                <w:sz w:val="20"/>
                <w:szCs w:val="20"/>
                <w:color w:val="auto"/>
              </w:rPr>
            </w:pPr>
            <w:r>
              <w:rPr>
                <w:rFonts w:ascii="Arial" w:cs="Arial" w:eastAsia="Arial" w:hAnsi="Arial"/>
                <w:sz w:val="11"/>
                <w:szCs w:val="11"/>
                <w:color w:val="auto"/>
              </w:rPr>
              <w:t>S-1</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10.5</w:t>
            </w:r>
          </w:p>
        </w:tc>
        <w:tc>
          <w:tcPr>
            <w:tcW w:w="760" w:type="dxa"/>
            <w:vAlign w:val="bottom"/>
          </w:tcPr>
          <w:p>
            <w:pPr>
              <w:jc w:val="right"/>
              <w:spacing w:after="0"/>
              <w:rPr>
                <w:sz w:val="20"/>
                <w:szCs w:val="20"/>
                <w:color w:val="auto"/>
              </w:rPr>
            </w:pPr>
            <w:r>
              <w:rPr>
                <w:rFonts w:ascii="Arial" w:cs="Arial" w:eastAsia="Arial" w:hAnsi="Arial"/>
                <w:sz w:val="11"/>
                <w:szCs w:val="11"/>
                <w:color w:val="auto"/>
              </w:rPr>
              <w:t>10-01-2021</w:t>
            </w:r>
          </w:p>
        </w:tc>
      </w:tr>
      <w:tr>
        <w:trPr>
          <w:trHeight w:val="170"/>
        </w:trPr>
        <w:tc>
          <w:tcPr>
            <w:tcW w:w="380" w:type="dxa"/>
            <w:vAlign w:val="bottom"/>
          </w:tcPr>
          <w:p>
            <w:pPr>
              <w:spacing w:after="0"/>
              <w:rPr>
                <w:sz w:val="20"/>
                <w:szCs w:val="20"/>
                <w:color w:val="auto"/>
              </w:rPr>
            </w:pPr>
            <w:r>
              <w:rPr>
                <w:rFonts w:ascii="Arial" w:cs="Arial" w:eastAsia="Arial" w:hAnsi="Arial"/>
                <w:sz w:val="11"/>
                <w:szCs w:val="11"/>
                <w:color w:val="auto"/>
              </w:rPr>
              <w:t>S-1</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10.6</w:t>
            </w:r>
          </w:p>
        </w:tc>
        <w:tc>
          <w:tcPr>
            <w:tcW w:w="760" w:type="dxa"/>
            <w:vAlign w:val="bottom"/>
          </w:tcPr>
          <w:p>
            <w:pPr>
              <w:jc w:val="right"/>
              <w:spacing w:after="0"/>
              <w:rPr>
                <w:sz w:val="20"/>
                <w:szCs w:val="20"/>
                <w:color w:val="auto"/>
              </w:rPr>
            </w:pPr>
            <w:r>
              <w:rPr>
                <w:rFonts w:ascii="Arial" w:cs="Arial" w:eastAsia="Arial" w:hAnsi="Arial"/>
                <w:sz w:val="11"/>
                <w:szCs w:val="11"/>
                <w:color w:val="auto"/>
              </w:rPr>
              <w:t>10-01-2021</w:t>
            </w:r>
          </w:p>
        </w:tc>
      </w:tr>
      <w:tr>
        <w:trPr>
          <w:trHeight w:val="170"/>
        </w:trPr>
        <w:tc>
          <w:tcPr>
            <w:tcW w:w="380" w:type="dxa"/>
            <w:vAlign w:val="bottom"/>
          </w:tcPr>
          <w:p>
            <w:pPr>
              <w:spacing w:after="0"/>
              <w:rPr>
                <w:sz w:val="20"/>
                <w:szCs w:val="20"/>
                <w:color w:val="auto"/>
              </w:rPr>
            </w:pPr>
            <w:r>
              <w:rPr>
                <w:rFonts w:ascii="Arial" w:cs="Arial" w:eastAsia="Arial" w:hAnsi="Arial"/>
                <w:sz w:val="11"/>
                <w:szCs w:val="11"/>
                <w:color w:val="auto"/>
              </w:rPr>
              <w:t>S-1</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10.7</w:t>
            </w:r>
          </w:p>
        </w:tc>
        <w:tc>
          <w:tcPr>
            <w:tcW w:w="760" w:type="dxa"/>
            <w:vAlign w:val="bottom"/>
          </w:tcPr>
          <w:p>
            <w:pPr>
              <w:jc w:val="right"/>
              <w:spacing w:after="0"/>
              <w:rPr>
                <w:sz w:val="20"/>
                <w:szCs w:val="20"/>
                <w:color w:val="auto"/>
              </w:rPr>
            </w:pPr>
            <w:r>
              <w:rPr>
                <w:rFonts w:ascii="Arial" w:cs="Arial" w:eastAsia="Arial" w:hAnsi="Arial"/>
                <w:sz w:val="11"/>
                <w:szCs w:val="11"/>
                <w:color w:val="auto"/>
              </w:rPr>
              <w:t>10-01-2021</w:t>
            </w:r>
          </w:p>
        </w:tc>
      </w:tr>
      <w:tr>
        <w:trPr>
          <w:trHeight w:val="170"/>
        </w:trPr>
        <w:tc>
          <w:tcPr>
            <w:tcW w:w="380" w:type="dxa"/>
            <w:vAlign w:val="bottom"/>
          </w:tcPr>
          <w:p>
            <w:pPr>
              <w:spacing w:after="0"/>
              <w:rPr>
                <w:sz w:val="20"/>
                <w:szCs w:val="20"/>
                <w:color w:val="auto"/>
              </w:rPr>
            </w:pPr>
            <w:r>
              <w:rPr>
                <w:rFonts w:ascii="Arial" w:cs="Arial" w:eastAsia="Arial" w:hAnsi="Arial"/>
                <w:sz w:val="11"/>
                <w:szCs w:val="11"/>
                <w:color w:val="auto"/>
              </w:rPr>
              <w:t>S-1</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10.8</w:t>
            </w:r>
          </w:p>
        </w:tc>
        <w:tc>
          <w:tcPr>
            <w:tcW w:w="760" w:type="dxa"/>
            <w:vAlign w:val="bottom"/>
          </w:tcPr>
          <w:p>
            <w:pPr>
              <w:jc w:val="right"/>
              <w:spacing w:after="0"/>
              <w:rPr>
                <w:sz w:val="20"/>
                <w:szCs w:val="20"/>
                <w:color w:val="auto"/>
              </w:rPr>
            </w:pPr>
            <w:r>
              <w:rPr>
                <w:rFonts w:ascii="Arial" w:cs="Arial" w:eastAsia="Arial" w:hAnsi="Arial"/>
                <w:sz w:val="11"/>
                <w:szCs w:val="11"/>
                <w:color w:val="auto"/>
              </w:rPr>
              <w:t>10-01-2021</w:t>
            </w:r>
          </w:p>
        </w:tc>
      </w:tr>
      <w:tr>
        <w:trPr>
          <w:trHeight w:val="170"/>
        </w:trPr>
        <w:tc>
          <w:tcPr>
            <w:tcW w:w="380" w:type="dxa"/>
            <w:vAlign w:val="bottom"/>
          </w:tcPr>
          <w:p>
            <w:pPr>
              <w:spacing w:after="0"/>
              <w:rPr>
                <w:sz w:val="20"/>
                <w:szCs w:val="20"/>
                <w:color w:val="auto"/>
              </w:rPr>
            </w:pPr>
            <w:r>
              <w:rPr>
                <w:rFonts w:ascii="Arial" w:cs="Arial" w:eastAsia="Arial" w:hAnsi="Arial"/>
                <w:sz w:val="11"/>
                <w:szCs w:val="11"/>
                <w:color w:val="auto"/>
              </w:rPr>
              <w:t>S-1</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10.9</w:t>
            </w:r>
          </w:p>
        </w:tc>
        <w:tc>
          <w:tcPr>
            <w:tcW w:w="760" w:type="dxa"/>
            <w:vAlign w:val="bottom"/>
          </w:tcPr>
          <w:p>
            <w:pPr>
              <w:jc w:val="right"/>
              <w:spacing w:after="0"/>
              <w:rPr>
                <w:sz w:val="20"/>
                <w:szCs w:val="20"/>
                <w:color w:val="auto"/>
              </w:rPr>
            </w:pPr>
            <w:r>
              <w:rPr>
                <w:rFonts w:ascii="Arial" w:cs="Arial" w:eastAsia="Arial" w:hAnsi="Arial"/>
                <w:sz w:val="11"/>
                <w:szCs w:val="11"/>
                <w:color w:val="auto"/>
              </w:rPr>
              <w:t>10-01-2021</w:t>
            </w:r>
          </w:p>
        </w:tc>
      </w:tr>
      <w:tr>
        <w:trPr>
          <w:trHeight w:val="297"/>
        </w:trPr>
        <w:tc>
          <w:tcPr>
            <w:tcW w:w="380" w:type="dxa"/>
            <w:vAlign w:val="bottom"/>
          </w:tcPr>
          <w:p>
            <w:pPr>
              <w:spacing w:after="0"/>
              <w:rPr>
                <w:sz w:val="20"/>
                <w:szCs w:val="20"/>
                <w:color w:val="auto"/>
              </w:rPr>
            </w:pPr>
            <w:r>
              <w:rPr>
                <w:rFonts w:ascii="Arial" w:cs="Arial" w:eastAsia="Arial" w:hAnsi="Arial"/>
                <w:sz w:val="11"/>
                <w:szCs w:val="11"/>
                <w:color w:val="auto"/>
              </w:rPr>
              <w:t>S-1</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10.1</w:t>
            </w:r>
          </w:p>
        </w:tc>
        <w:tc>
          <w:tcPr>
            <w:tcW w:w="760" w:type="dxa"/>
            <w:vAlign w:val="bottom"/>
          </w:tcPr>
          <w:p>
            <w:pPr>
              <w:jc w:val="right"/>
              <w:spacing w:after="0"/>
              <w:rPr>
                <w:sz w:val="20"/>
                <w:szCs w:val="20"/>
                <w:color w:val="auto"/>
              </w:rPr>
            </w:pPr>
            <w:r>
              <w:rPr>
                <w:rFonts w:ascii="Arial" w:cs="Arial" w:eastAsia="Arial" w:hAnsi="Arial"/>
                <w:sz w:val="11"/>
                <w:szCs w:val="11"/>
                <w:color w:val="auto"/>
              </w:rPr>
              <w:t>10-01-2021</w:t>
            </w:r>
          </w:p>
        </w:tc>
      </w:tr>
      <w:tr>
        <w:trPr>
          <w:trHeight w:val="170"/>
        </w:trPr>
        <w:tc>
          <w:tcPr>
            <w:tcW w:w="380" w:type="dxa"/>
            <w:vAlign w:val="bottom"/>
          </w:tcPr>
          <w:p>
            <w:pPr>
              <w:spacing w:after="0"/>
              <w:rPr>
                <w:sz w:val="20"/>
                <w:szCs w:val="20"/>
                <w:color w:val="auto"/>
              </w:rPr>
            </w:pPr>
            <w:r>
              <w:rPr>
                <w:rFonts w:ascii="Arial" w:cs="Arial" w:eastAsia="Arial" w:hAnsi="Arial"/>
                <w:sz w:val="11"/>
                <w:szCs w:val="11"/>
                <w:color w:val="auto"/>
              </w:rPr>
              <w:t>S-8</w:t>
            </w:r>
          </w:p>
        </w:tc>
        <w:tc>
          <w:tcPr>
            <w:tcW w:w="860" w:type="dxa"/>
            <w:vAlign w:val="bottom"/>
          </w:tcPr>
          <w:p>
            <w:pPr>
              <w:jc w:val="right"/>
              <w:ind w:right="343"/>
              <w:spacing w:after="0"/>
              <w:rPr>
                <w:sz w:val="20"/>
                <w:szCs w:val="20"/>
                <w:color w:val="auto"/>
              </w:rPr>
            </w:pPr>
            <w:r>
              <w:rPr>
                <w:rFonts w:ascii="Arial" w:cs="Arial" w:eastAsia="Arial" w:hAnsi="Arial"/>
                <w:sz w:val="11"/>
                <w:szCs w:val="11"/>
                <w:color w:val="auto"/>
              </w:rPr>
              <w:t>99.1(a)</w:t>
            </w:r>
          </w:p>
        </w:tc>
        <w:tc>
          <w:tcPr>
            <w:tcW w:w="760" w:type="dxa"/>
            <w:vAlign w:val="bottom"/>
          </w:tcPr>
          <w:p>
            <w:pPr>
              <w:jc w:val="right"/>
              <w:spacing w:after="0"/>
              <w:rPr>
                <w:sz w:val="20"/>
                <w:szCs w:val="20"/>
                <w:color w:val="auto"/>
              </w:rPr>
            </w:pPr>
            <w:r>
              <w:rPr>
                <w:rFonts w:ascii="Arial" w:cs="Arial" w:eastAsia="Arial" w:hAnsi="Arial"/>
                <w:sz w:val="11"/>
                <w:szCs w:val="11"/>
                <w:color w:val="auto"/>
              </w:rPr>
              <w:t>11-01-2021</w:t>
            </w:r>
          </w:p>
        </w:tc>
      </w:tr>
      <w:tr>
        <w:trPr>
          <w:trHeight w:val="170"/>
        </w:trPr>
        <w:tc>
          <w:tcPr>
            <w:tcW w:w="380" w:type="dxa"/>
            <w:vAlign w:val="bottom"/>
          </w:tcPr>
          <w:p>
            <w:pPr>
              <w:spacing w:after="0"/>
              <w:rPr>
                <w:sz w:val="20"/>
                <w:szCs w:val="20"/>
                <w:color w:val="auto"/>
              </w:rPr>
            </w:pPr>
            <w:r>
              <w:rPr>
                <w:rFonts w:ascii="Arial" w:cs="Arial" w:eastAsia="Arial" w:hAnsi="Arial"/>
                <w:sz w:val="11"/>
                <w:szCs w:val="11"/>
                <w:color w:val="auto"/>
              </w:rPr>
              <w:t>S-1</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10.12</w:t>
            </w:r>
          </w:p>
        </w:tc>
        <w:tc>
          <w:tcPr>
            <w:tcW w:w="760" w:type="dxa"/>
            <w:vAlign w:val="bottom"/>
          </w:tcPr>
          <w:p>
            <w:pPr>
              <w:jc w:val="right"/>
              <w:spacing w:after="0"/>
              <w:rPr>
                <w:sz w:val="20"/>
                <w:szCs w:val="20"/>
                <w:color w:val="auto"/>
              </w:rPr>
            </w:pPr>
            <w:r>
              <w:rPr>
                <w:rFonts w:ascii="Arial" w:cs="Arial" w:eastAsia="Arial" w:hAnsi="Arial"/>
                <w:sz w:val="11"/>
                <w:szCs w:val="11"/>
                <w:color w:val="auto"/>
              </w:rPr>
              <w:t>10-01-2021</w:t>
            </w:r>
          </w:p>
        </w:tc>
      </w:tr>
      <w:tr>
        <w:trPr>
          <w:trHeight w:val="170"/>
        </w:trPr>
        <w:tc>
          <w:tcPr>
            <w:tcW w:w="380" w:type="dxa"/>
            <w:vAlign w:val="bottom"/>
          </w:tcPr>
          <w:p>
            <w:pPr>
              <w:spacing w:after="0"/>
              <w:rPr>
                <w:sz w:val="20"/>
                <w:szCs w:val="20"/>
                <w:color w:val="auto"/>
              </w:rPr>
            </w:pPr>
            <w:r>
              <w:rPr>
                <w:rFonts w:ascii="Arial" w:cs="Arial" w:eastAsia="Arial" w:hAnsi="Arial"/>
                <w:sz w:val="11"/>
                <w:szCs w:val="11"/>
                <w:color w:val="auto"/>
              </w:rPr>
              <w:t>S-8</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99.2(a)</w:t>
            </w:r>
          </w:p>
        </w:tc>
        <w:tc>
          <w:tcPr>
            <w:tcW w:w="760" w:type="dxa"/>
            <w:vAlign w:val="bottom"/>
          </w:tcPr>
          <w:p>
            <w:pPr>
              <w:jc w:val="right"/>
              <w:spacing w:after="0"/>
              <w:rPr>
                <w:sz w:val="20"/>
                <w:szCs w:val="20"/>
                <w:color w:val="auto"/>
              </w:rPr>
            </w:pPr>
            <w:r>
              <w:rPr>
                <w:rFonts w:ascii="Arial" w:cs="Arial" w:eastAsia="Arial" w:hAnsi="Arial"/>
                <w:sz w:val="11"/>
                <w:szCs w:val="11"/>
                <w:color w:val="auto"/>
              </w:rPr>
              <w:t>10-29-2021</w:t>
            </w:r>
          </w:p>
        </w:tc>
      </w:tr>
      <w:tr>
        <w:trPr>
          <w:trHeight w:val="170"/>
        </w:trPr>
        <w:tc>
          <w:tcPr>
            <w:tcW w:w="380" w:type="dxa"/>
            <w:vAlign w:val="bottom"/>
          </w:tcPr>
          <w:p>
            <w:pPr>
              <w:spacing w:after="0"/>
              <w:rPr>
                <w:sz w:val="20"/>
                <w:szCs w:val="20"/>
                <w:color w:val="auto"/>
              </w:rPr>
            </w:pPr>
            <w:r>
              <w:rPr>
                <w:rFonts w:ascii="Arial" w:cs="Arial" w:eastAsia="Arial" w:hAnsi="Arial"/>
                <w:sz w:val="11"/>
                <w:szCs w:val="11"/>
                <w:color w:val="auto"/>
              </w:rPr>
              <w:t>S-1/A</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10.14</w:t>
            </w:r>
          </w:p>
        </w:tc>
        <w:tc>
          <w:tcPr>
            <w:tcW w:w="760" w:type="dxa"/>
            <w:vAlign w:val="bottom"/>
          </w:tcPr>
          <w:p>
            <w:pPr>
              <w:jc w:val="right"/>
              <w:spacing w:after="0"/>
              <w:rPr>
                <w:sz w:val="20"/>
                <w:szCs w:val="20"/>
                <w:color w:val="auto"/>
              </w:rPr>
            </w:pPr>
            <w:r>
              <w:rPr>
                <w:rFonts w:ascii="Arial" w:cs="Arial" w:eastAsia="Arial" w:hAnsi="Arial"/>
                <w:sz w:val="11"/>
                <w:szCs w:val="11"/>
                <w:color w:val="auto"/>
              </w:rPr>
              <w:t>10-18-2021</w:t>
            </w:r>
          </w:p>
        </w:tc>
      </w:tr>
      <w:tr>
        <w:trPr>
          <w:trHeight w:val="170"/>
        </w:trPr>
        <w:tc>
          <w:tcPr>
            <w:tcW w:w="380" w:type="dxa"/>
            <w:vAlign w:val="bottom"/>
          </w:tcPr>
          <w:p>
            <w:pPr>
              <w:spacing w:after="0"/>
              <w:rPr>
                <w:sz w:val="20"/>
                <w:szCs w:val="20"/>
                <w:color w:val="auto"/>
              </w:rPr>
            </w:pPr>
            <w:r>
              <w:rPr>
                <w:rFonts w:ascii="Arial" w:cs="Arial" w:eastAsia="Arial" w:hAnsi="Arial"/>
                <w:sz w:val="11"/>
                <w:szCs w:val="11"/>
                <w:color w:val="auto"/>
              </w:rPr>
              <w:t>S-1/A</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10.15</w:t>
            </w:r>
          </w:p>
        </w:tc>
        <w:tc>
          <w:tcPr>
            <w:tcW w:w="760" w:type="dxa"/>
            <w:vAlign w:val="bottom"/>
          </w:tcPr>
          <w:p>
            <w:pPr>
              <w:jc w:val="right"/>
              <w:spacing w:after="0"/>
              <w:rPr>
                <w:sz w:val="20"/>
                <w:szCs w:val="20"/>
                <w:color w:val="auto"/>
              </w:rPr>
            </w:pPr>
            <w:r>
              <w:rPr>
                <w:rFonts w:ascii="Arial" w:cs="Arial" w:eastAsia="Arial" w:hAnsi="Arial"/>
                <w:sz w:val="11"/>
                <w:szCs w:val="11"/>
                <w:color w:val="auto"/>
              </w:rPr>
              <w:t>10-18-2021</w:t>
            </w:r>
          </w:p>
        </w:tc>
      </w:tr>
    </w:tbl>
    <w:p>
      <w:pPr>
        <w:spacing w:after="0" w:line="200" w:lineRule="exact"/>
        <w:rPr>
          <w:sz w:val="20"/>
          <w:szCs w:val="20"/>
          <w:color w:val="auto"/>
        </w:rPr>
      </w:pPr>
    </w:p>
    <w:p>
      <w:pPr>
        <w:sectPr>
          <w:pgSz w:w="11900" w:h="16838" w:orient="portrait"/>
          <w:cols w:equalWidth="0" w:num="3">
            <w:col w:w="680" w:space="340"/>
            <w:col w:w="5940" w:space="60"/>
            <w:col w:w="3960"/>
          </w:cols>
          <w:pgMar w:left="300" w:top="125" w:right="619" w:bottom="1440" w:gutter="0" w:footer="0" w:header="0"/>
          <w:type w:val="continuous"/>
        </w:sectPr>
      </w:pP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125" w:right="619" w:bottom="1440" w:gutter="0" w:footer="0" w:header="0"/>
          <w:type w:val="continuous"/>
        </w:sectPr>
      </w:pPr>
    </w:p>
    <w:bookmarkStart w:id="112" w:name="page113"/>
    <w:bookmarkEnd w:id="1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0"/>
        <w:spacing w:after="0"/>
        <w:tabs>
          <w:tab w:leader="none" w:pos="3260" w:val="left"/>
          <w:tab w:leader="none" w:pos="7100" w:val="left"/>
          <w:tab w:leader="none" w:pos="7580" w:val="left"/>
          <w:tab w:leader="none" w:pos="8260" w:val="left"/>
          <w:tab w:leader="none" w:pos="926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11"/>
          <w:szCs w:val="11"/>
          <w:b w:val="1"/>
          <w:bCs w:val="1"/>
          <w:color w:val="auto"/>
        </w:rPr>
        <w:t>DESCRIPTION OF EXHIBIT</w:t>
      </w:r>
      <w:r>
        <w:rPr>
          <w:sz w:val="20"/>
          <w:szCs w:val="20"/>
          <w:color w:val="auto"/>
        </w:rPr>
        <w:tab/>
      </w:r>
      <w:r>
        <w:rPr>
          <w:rFonts w:ascii="Arial" w:cs="Arial" w:eastAsia="Arial" w:hAnsi="Arial"/>
          <w:sz w:val="11"/>
          <w:szCs w:val="11"/>
          <w:b w:val="1"/>
          <w:bCs w:val="1"/>
          <w:color w:val="auto"/>
        </w:rPr>
        <w:t>Form</w:t>
      </w:r>
      <w:r>
        <w:rPr>
          <w:sz w:val="20"/>
          <w:szCs w:val="20"/>
          <w:color w:val="auto"/>
        </w:rPr>
        <w:tab/>
      </w:r>
      <w:r>
        <w:rPr>
          <w:rFonts w:ascii="Arial" w:cs="Arial" w:eastAsia="Arial" w:hAnsi="Arial"/>
          <w:sz w:val="11"/>
          <w:szCs w:val="11"/>
          <w:b w:val="1"/>
          <w:bCs w:val="1"/>
          <w:color w:val="auto"/>
        </w:rPr>
        <w:t>Exhibit</w:t>
      </w:r>
      <w:r>
        <w:rPr>
          <w:sz w:val="20"/>
          <w:szCs w:val="20"/>
          <w:color w:val="auto"/>
        </w:rPr>
        <w:tab/>
      </w:r>
      <w:r>
        <w:rPr>
          <w:rFonts w:ascii="Arial" w:cs="Arial" w:eastAsia="Arial" w:hAnsi="Arial"/>
          <w:sz w:val="11"/>
          <w:szCs w:val="11"/>
          <w:b w:val="1"/>
          <w:bCs w:val="1"/>
          <w:color w:val="auto"/>
        </w:rPr>
        <w:t>Filing Date</w:t>
      </w:r>
      <w:r>
        <w:rPr>
          <w:sz w:val="20"/>
          <w:szCs w:val="20"/>
          <w:color w:val="auto"/>
        </w:rPr>
        <w:tab/>
      </w:r>
      <w:r>
        <w:rPr>
          <w:rFonts w:ascii="Arial" w:cs="Arial" w:eastAsia="Arial" w:hAnsi="Arial"/>
          <w:sz w:val="11"/>
          <w:szCs w:val="11"/>
          <w:b w:val="1"/>
          <w:bCs w:val="1"/>
          <w:color w:val="auto"/>
        </w:rPr>
        <w:t>FILED</w:t>
      </w:r>
    </w:p>
    <w:p>
      <w:pPr>
        <w:spacing w:after="0" w:line="25" w:lineRule="exact"/>
        <w:rPr>
          <w:sz w:val="20"/>
          <w:szCs w:val="20"/>
          <w:color w:val="auto"/>
        </w:rPr>
      </w:pPr>
    </w:p>
    <w:p>
      <w:pPr>
        <w:jc w:val="right"/>
        <w:ind w:right="1400"/>
        <w:spacing w:after="0"/>
        <w:rPr>
          <w:sz w:val="20"/>
          <w:szCs w:val="20"/>
          <w:color w:val="auto"/>
        </w:rPr>
      </w:pPr>
      <w:r>
        <w:rPr>
          <w:rFonts w:ascii="Arial" w:cs="Arial" w:eastAsia="Arial" w:hAnsi="Arial"/>
          <w:sz w:val="11"/>
          <w:szCs w:val="11"/>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626554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6265545" cy="698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p>
      <w:pPr>
        <w:spacing w:after="0" w:line="40"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740" w:type="dxa"/>
            <w:vAlign w:val="bottom"/>
          </w:tcPr>
          <w:p>
            <w:pPr>
              <w:jc w:val="center"/>
              <w:ind w:right="223"/>
              <w:spacing w:after="0"/>
              <w:rPr>
                <w:sz w:val="20"/>
                <w:szCs w:val="20"/>
                <w:color w:val="auto"/>
              </w:rPr>
            </w:pPr>
            <w:r>
              <w:rPr>
                <w:rFonts w:ascii="Arial" w:cs="Arial" w:eastAsia="Arial" w:hAnsi="Arial"/>
                <w:sz w:val="11"/>
                <w:szCs w:val="11"/>
                <w:color w:val="auto"/>
              </w:rPr>
              <w:t>10.16#</w:t>
            </w:r>
          </w:p>
        </w:tc>
        <w:tc>
          <w:tcPr>
            <w:tcW w:w="5900" w:type="dxa"/>
            <w:vAlign w:val="bottom"/>
            <w:gridSpan w:val="17"/>
          </w:tcPr>
          <w:p>
            <w:pPr>
              <w:spacing w:after="0"/>
              <w:rPr>
                <w:rFonts w:ascii="Arial" w:cs="Arial" w:eastAsia="Arial" w:hAnsi="Arial"/>
                <w:sz w:val="11"/>
                <w:szCs w:val="11"/>
                <w:color w:val="0000FF"/>
              </w:rPr>
            </w:pPr>
            <w:hyperlink r:id="rId186">
              <w:r>
                <w:rPr>
                  <w:rFonts w:ascii="Arial" w:cs="Arial" w:eastAsia="Arial" w:hAnsi="Arial"/>
                  <w:sz w:val="11"/>
                  <w:szCs w:val="11"/>
                  <w:color w:val="0000FF"/>
                </w:rPr>
                <w:t>2021 Employee Stock Purchase Plan</w:t>
              </w:r>
            </w:hyperlink>
          </w:p>
        </w:tc>
        <w:tc>
          <w:tcPr>
            <w:tcW w:w="0" w:type="dxa"/>
            <w:vAlign w:val="bottom"/>
          </w:tcPr>
          <w:p>
            <w:pPr>
              <w:spacing w:after="0"/>
              <w:rPr>
                <w:sz w:val="1"/>
                <w:szCs w:val="1"/>
                <w:color w:val="auto"/>
              </w:rPr>
            </w:pPr>
          </w:p>
        </w:tc>
      </w:tr>
      <w:tr>
        <w:trPr>
          <w:trHeight w:val="20"/>
        </w:trPr>
        <w:tc>
          <w:tcPr>
            <w:tcW w:w="740" w:type="dxa"/>
            <w:vAlign w:val="bottom"/>
            <w:vMerge w:val="restart"/>
          </w:tcPr>
          <w:p>
            <w:pPr>
              <w:jc w:val="center"/>
              <w:ind w:right="223"/>
              <w:spacing w:after="0"/>
              <w:rPr>
                <w:sz w:val="20"/>
                <w:szCs w:val="20"/>
                <w:color w:val="auto"/>
              </w:rPr>
            </w:pPr>
            <w:r>
              <w:rPr>
                <w:rFonts w:ascii="Arial" w:cs="Arial" w:eastAsia="Arial" w:hAnsi="Arial"/>
                <w:sz w:val="11"/>
                <w:szCs w:val="11"/>
                <w:color w:val="auto"/>
              </w:rPr>
              <w:t>10.17#</w:t>
            </w:r>
          </w:p>
        </w:tc>
        <w:tc>
          <w:tcPr>
            <w:tcW w:w="1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40" w:type="dxa"/>
            <w:vAlign w:val="bottom"/>
            <w:vMerge w:val="continue"/>
          </w:tcPr>
          <w:p>
            <w:pPr>
              <w:spacing w:after="0"/>
              <w:rPr>
                <w:sz w:val="13"/>
                <w:szCs w:val="13"/>
                <w:color w:val="auto"/>
              </w:rPr>
            </w:pPr>
          </w:p>
        </w:tc>
        <w:tc>
          <w:tcPr>
            <w:tcW w:w="5900" w:type="dxa"/>
            <w:vAlign w:val="bottom"/>
            <w:gridSpan w:val="17"/>
          </w:tcPr>
          <w:p>
            <w:pPr>
              <w:spacing w:after="0"/>
              <w:rPr>
                <w:rFonts w:ascii="Arial" w:cs="Arial" w:eastAsia="Arial" w:hAnsi="Arial"/>
                <w:sz w:val="11"/>
                <w:szCs w:val="11"/>
                <w:color w:val="0000FF"/>
              </w:rPr>
            </w:pPr>
            <w:hyperlink r:id="rId187">
              <w:r>
                <w:rPr>
                  <w:rFonts w:ascii="Arial" w:cs="Arial" w:eastAsia="Arial" w:hAnsi="Arial"/>
                  <w:sz w:val="11"/>
                  <w:szCs w:val="11"/>
                  <w:color w:val="0000FF"/>
                </w:rPr>
                <w:t>Form of Executive Change in Control Severance Agreement</w:t>
              </w:r>
            </w:hyperlink>
          </w:p>
        </w:tc>
        <w:tc>
          <w:tcPr>
            <w:tcW w:w="0" w:type="dxa"/>
            <w:vAlign w:val="bottom"/>
          </w:tcPr>
          <w:p>
            <w:pPr>
              <w:spacing w:after="0"/>
              <w:rPr>
                <w:sz w:val="1"/>
                <w:szCs w:val="1"/>
                <w:color w:val="auto"/>
              </w:rPr>
            </w:pPr>
          </w:p>
        </w:tc>
      </w:tr>
      <w:tr>
        <w:trPr>
          <w:trHeight w:val="150"/>
        </w:trPr>
        <w:tc>
          <w:tcPr>
            <w:tcW w:w="740" w:type="dxa"/>
            <w:vAlign w:val="bottom"/>
          </w:tcPr>
          <w:p>
            <w:pPr>
              <w:jc w:val="center"/>
              <w:ind w:right="223"/>
              <w:spacing w:after="0"/>
              <w:rPr>
                <w:sz w:val="20"/>
                <w:szCs w:val="20"/>
                <w:color w:val="auto"/>
              </w:rPr>
            </w:pPr>
            <w:r>
              <w:rPr>
                <w:rFonts w:ascii="Arial" w:cs="Arial" w:eastAsia="Arial" w:hAnsi="Arial"/>
                <w:sz w:val="11"/>
                <w:szCs w:val="11"/>
                <w:color w:val="auto"/>
              </w:rPr>
              <w:t>10.18#</w:t>
            </w:r>
          </w:p>
        </w:tc>
        <w:tc>
          <w:tcPr>
            <w:tcW w:w="2900" w:type="dxa"/>
            <w:vAlign w:val="bottom"/>
            <w:tcBorders>
              <w:top w:val="single" w:sz="8" w:color="0000FF"/>
              <w:bottom w:val="single" w:sz="8" w:color="0000FF"/>
            </w:tcBorders>
            <w:gridSpan w:val="6"/>
          </w:tcPr>
          <w:p>
            <w:pPr>
              <w:spacing w:after="0"/>
              <w:rPr>
                <w:rFonts w:ascii="Arial" w:cs="Arial" w:eastAsia="Arial" w:hAnsi="Arial"/>
                <w:sz w:val="11"/>
                <w:szCs w:val="11"/>
                <w:color w:val="0000FF"/>
              </w:rPr>
            </w:pPr>
            <w:hyperlink r:id="rId188">
              <w:r>
                <w:rPr>
                  <w:rFonts w:ascii="Arial" w:cs="Arial" w:eastAsia="Arial" w:hAnsi="Arial"/>
                  <w:sz w:val="11"/>
                  <w:szCs w:val="11"/>
                  <w:color w:val="0000FF"/>
                </w:rPr>
                <w:t>Arteris, Inc. Non-Employee Director Compensation Policy.</w:t>
              </w:r>
            </w:hyperlink>
          </w:p>
        </w:tc>
        <w:tc>
          <w:tcPr>
            <w:tcW w:w="100" w:type="dxa"/>
            <w:vAlign w:val="bottom"/>
            <w:tcBorders>
              <w:top w:val="single" w:sz="8" w:color="0000FF"/>
            </w:tcBorders>
          </w:tcPr>
          <w:p>
            <w:pPr>
              <w:spacing w:after="0"/>
              <w:rPr>
                <w:sz w:val="13"/>
                <w:szCs w:val="13"/>
                <w:color w:val="auto"/>
              </w:rPr>
            </w:pPr>
          </w:p>
        </w:tc>
        <w:tc>
          <w:tcPr>
            <w:tcW w:w="29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 w:type="dxa"/>
            <w:vAlign w:val="bottom"/>
          </w:tcPr>
          <w:p>
            <w:pPr>
              <w:jc w:val="center"/>
              <w:ind w:right="243"/>
              <w:spacing w:after="0"/>
              <w:rPr>
                <w:sz w:val="20"/>
                <w:szCs w:val="20"/>
                <w:color w:val="auto"/>
              </w:rPr>
            </w:pPr>
            <w:r>
              <w:rPr>
                <w:rFonts w:ascii="Arial" w:cs="Arial" w:eastAsia="Arial" w:hAnsi="Arial"/>
                <w:sz w:val="11"/>
                <w:szCs w:val="11"/>
                <w:color w:val="auto"/>
              </w:rPr>
              <w:t>10.19</w:t>
            </w:r>
          </w:p>
        </w:tc>
        <w:tc>
          <w:tcPr>
            <w:tcW w:w="4300" w:type="dxa"/>
            <w:vAlign w:val="bottom"/>
            <w:tcBorders>
              <w:bottom w:val="single" w:sz="8" w:color="0000FF"/>
            </w:tcBorders>
            <w:gridSpan w:val="10"/>
          </w:tcPr>
          <w:p>
            <w:pPr>
              <w:spacing w:after="0"/>
              <w:rPr>
                <w:rFonts w:ascii="Arial" w:cs="Arial" w:eastAsia="Arial" w:hAnsi="Arial"/>
                <w:sz w:val="11"/>
                <w:szCs w:val="11"/>
                <w:color w:val="0000FF"/>
              </w:rPr>
            </w:pPr>
            <w:hyperlink r:id="rId189">
              <w:r>
                <w:rPr>
                  <w:rFonts w:ascii="Arial" w:cs="Arial" w:eastAsia="Arial" w:hAnsi="Arial"/>
                  <w:sz w:val="11"/>
                  <w:szCs w:val="11"/>
                  <w:color w:val="0000FF"/>
                </w:rPr>
                <w:t>Form of Indemnification Agreement between Arteris, Inc. and its directors and officers.</w:t>
              </w:r>
            </w:hyperlink>
          </w:p>
        </w:tc>
        <w:tc>
          <w:tcPr>
            <w:tcW w:w="16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 w:type="dxa"/>
            <w:vAlign w:val="bottom"/>
          </w:tcPr>
          <w:p>
            <w:pPr>
              <w:jc w:val="center"/>
              <w:ind w:right="223"/>
              <w:spacing w:after="0"/>
              <w:rPr>
                <w:sz w:val="20"/>
                <w:szCs w:val="20"/>
                <w:color w:val="auto"/>
              </w:rPr>
            </w:pPr>
            <w:r>
              <w:rPr>
                <w:rFonts w:ascii="Arial" w:cs="Arial" w:eastAsia="Arial" w:hAnsi="Arial"/>
                <w:sz w:val="11"/>
                <w:szCs w:val="11"/>
                <w:color w:val="auto"/>
              </w:rPr>
              <w:t>10.20#</w:t>
            </w:r>
          </w:p>
        </w:tc>
        <w:tc>
          <w:tcPr>
            <w:tcW w:w="4680" w:type="dxa"/>
            <w:vAlign w:val="bottom"/>
            <w:tcBorders>
              <w:bottom w:val="single" w:sz="8" w:color="0000FF"/>
            </w:tcBorders>
            <w:gridSpan w:val="11"/>
          </w:tcPr>
          <w:p>
            <w:pPr>
              <w:spacing w:after="0"/>
              <w:rPr>
                <w:rFonts w:ascii="Arial" w:cs="Arial" w:eastAsia="Arial" w:hAnsi="Arial"/>
                <w:sz w:val="11"/>
                <w:szCs w:val="11"/>
                <w:color w:val="0000FF"/>
              </w:rPr>
            </w:pPr>
            <w:hyperlink r:id="rId190">
              <w:r>
                <w:rPr>
                  <w:rFonts w:ascii="Arial" w:cs="Arial" w:eastAsia="Arial" w:hAnsi="Arial"/>
                  <w:sz w:val="11"/>
                  <w:szCs w:val="11"/>
                  <w:color w:val="0000FF"/>
                </w:rPr>
                <w:t>Amended and Restated Project Assignment 1 to Independent Contractor Services Agreement</w:t>
              </w:r>
            </w:hyperlink>
          </w:p>
        </w:tc>
        <w:tc>
          <w:tcPr>
            <w:tcW w:w="12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 w:type="dxa"/>
            <w:vAlign w:val="bottom"/>
          </w:tcPr>
          <w:p>
            <w:pPr>
              <w:jc w:val="center"/>
              <w:ind w:right="223"/>
              <w:spacing w:after="0"/>
              <w:rPr>
                <w:sz w:val="20"/>
                <w:szCs w:val="20"/>
                <w:color w:val="auto"/>
              </w:rPr>
            </w:pPr>
            <w:r>
              <w:rPr>
                <w:rFonts w:ascii="Arial" w:cs="Arial" w:eastAsia="Arial" w:hAnsi="Arial"/>
                <w:sz w:val="11"/>
                <w:szCs w:val="11"/>
                <w:color w:val="auto"/>
              </w:rPr>
              <w:t>10.21#</w:t>
            </w:r>
          </w:p>
        </w:tc>
        <w:tc>
          <w:tcPr>
            <w:tcW w:w="5500" w:type="dxa"/>
            <w:vAlign w:val="bottom"/>
            <w:tcBorders>
              <w:bottom w:val="single" w:sz="8" w:color="0000FF"/>
            </w:tcBorders>
            <w:gridSpan w:val="12"/>
          </w:tcPr>
          <w:p>
            <w:pPr>
              <w:spacing w:after="0"/>
              <w:rPr>
                <w:rFonts w:ascii="Arial" w:cs="Arial" w:eastAsia="Arial" w:hAnsi="Arial"/>
                <w:sz w:val="11"/>
                <w:szCs w:val="11"/>
                <w:color w:val="0000FF"/>
              </w:rPr>
            </w:pPr>
            <w:hyperlink w:anchor="page116">
              <w:r>
                <w:rPr>
                  <w:rFonts w:ascii="Arial" w:cs="Arial" w:eastAsia="Arial" w:hAnsi="Arial"/>
                  <w:sz w:val="11"/>
                  <w:szCs w:val="11"/>
                  <w:color w:val="0000FF"/>
                </w:rPr>
                <w:t>Contractor’s Assignment of Independent Contractor Services Agreement as Amended, from Isabelle Geday to</w:t>
              </w:r>
            </w:hyperlink>
          </w:p>
        </w:tc>
        <w:tc>
          <w:tcPr>
            <w:tcW w:w="4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40" w:type="dxa"/>
            <w:vAlign w:val="bottom"/>
          </w:tcPr>
          <w:p>
            <w:pPr>
              <w:spacing w:after="0"/>
              <w:rPr>
                <w:sz w:val="9"/>
                <w:szCs w:val="9"/>
                <w:color w:val="auto"/>
              </w:rPr>
            </w:pPr>
          </w:p>
        </w:tc>
        <w:tc>
          <w:tcPr>
            <w:tcW w:w="5900" w:type="dxa"/>
            <w:vAlign w:val="bottom"/>
            <w:gridSpan w:val="17"/>
          </w:tcPr>
          <w:p>
            <w:pPr>
              <w:spacing w:after="0" w:line="107" w:lineRule="exact"/>
              <w:rPr>
                <w:rFonts w:ascii="Arial" w:cs="Arial" w:eastAsia="Arial" w:hAnsi="Arial"/>
                <w:sz w:val="11"/>
                <w:szCs w:val="11"/>
                <w:color w:val="0000FF"/>
              </w:rPr>
            </w:pPr>
            <w:hyperlink w:anchor="page116">
              <w:r>
                <w:rPr>
                  <w:rFonts w:ascii="Arial" w:cs="Arial" w:eastAsia="Arial" w:hAnsi="Arial"/>
                  <w:sz w:val="11"/>
                  <w:szCs w:val="11"/>
                  <w:color w:val="0000FF"/>
                </w:rPr>
                <w:t>Magillem Design Services S.A., effective as of January 10, 2022</w:t>
              </w:r>
            </w:hyperlink>
          </w:p>
        </w:tc>
        <w:tc>
          <w:tcPr>
            <w:tcW w:w="0" w:type="dxa"/>
            <w:vAlign w:val="bottom"/>
          </w:tcPr>
          <w:p>
            <w:pPr>
              <w:spacing w:after="0"/>
              <w:rPr>
                <w:sz w:val="1"/>
                <w:szCs w:val="1"/>
                <w:color w:val="auto"/>
              </w:rPr>
            </w:pPr>
          </w:p>
        </w:tc>
      </w:tr>
      <w:tr>
        <w:trPr>
          <w:trHeight w:val="150"/>
        </w:trPr>
        <w:tc>
          <w:tcPr>
            <w:tcW w:w="740" w:type="dxa"/>
            <w:vAlign w:val="bottom"/>
          </w:tcPr>
          <w:p>
            <w:pPr>
              <w:jc w:val="center"/>
              <w:ind w:right="223"/>
              <w:spacing w:after="0"/>
              <w:rPr>
                <w:sz w:val="20"/>
                <w:szCs w:val="20"/>
                <w:color w:val="auto"/>
              </w:rPr>
            </w:pPr>
            <w:r>
              <w:rPr>
                <w:rFonts w:ascii="Arial" w:cs="Arial" w:eastAsia="Arial" w:hAnsi="Arial"/>
                <w:sz w:val="11"/>
                <w:szCs w:val="11"/>
                <w:color w:val="auto"/>
              </w:rPr>
              <w:t>21.1</w:t>
            </w:r>
          </w:p>
        </w:tc>
        <w:tc>
          <w:tcPr>
            <w:tcW w:w="3200" w:type="dxa"/>
            <w:vAlign w:val="bottom"/>
            <w:tcBorders>
              <w:top w:val="single" w:sz="8" w:color="0000FF"/>
            </w:tcBorders>
            <w:gridSpan w:val="8"/>
          </w:tcPr>
          <w:p>
            <w:pPr>
              <w:spacing w:after="0"/>
              <w:rPr>
                <w:rFonts w:ascii="Arial" w:cs="Arial" w:eastAsia="Arial" w:hAnsi="Arial"/>
                <w:sz w:val="11"/>
                <w:szCs w:val="11"/>
                <w:color w:val="0000FF"/>
              </w:rPr>
            </w:pPr>
            <w:hyperlink w:anchor="page119">
              <w:r>
                <w:rPr>
                  <w:rFonts w:ascii="Arial" w:cs="Arial" w:eastAsia="Arial" w:hAnsi="Arial"/>
                  <w:sz w:val="11"/>
                  <w:szCs w:val="11"/>
                  <w:color w:val="0000FF"/>
                </w:rPr>
                <w:t>Subsidiaries of Arteris, Inc.</w:t>
              </w:r>
            </w:hyperlink>
          </w:p>
        </w:tc>
        <w:tc>
          <w:tcPr>
            <w:tcW w:w="27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jc w:val="center"/>
              <w:ind w:right="223"/>
              <w:spacing w:after="0"/>
              <w:rPr>
                <w:sz w:val="20"/>
                <w:szCs w:val="20"/>
                <w:color w:val="auto"/>
              </w:rPr>
            </w:pPr>
            <w:r>
              <w:rPr>
                <w:rFonts w:ascii="Arial" w:cs="Arial" w:eastAsia="Arial" w:hAnsi="Arial"/>
                <w:sz w:val="11"/>
                <w:szCs w:val="11"/>
                <w:color w:val="auto"/>
              </w:rPr>
              <w:t>23.1</w:t>
            </w:r>
          </w:p>
        </w:tc>
        <w:tc>
          <w:tcPr>
            <w:tcW w:w="1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40" w:type="dxa"/>
            <w:vAlign w:val="bottom"/>
            <w:vMerge w:val="continue"/>
          </w:tcPr>
          <w:p>
            <w:pPr>
              <w:spacing w:after="0"/>
              <w:rPr>
                <w:sz w:val="13"/>
                <w:szCs w:val="13"/>
                <w:color w:val="auto"/>
              </w:rPr>
            </w:pPr>
          </w:p>
        </w:tc>
        <w:tc>
          <w:tcPr>
            <w:tcW w:w="1480" w:type="dxa"/>
            <w:vAlign w:val="bottom"/>
            <w:tcBorders>
              <w:bottom w:val="single" w:sz="8" w:color="0000FF"/>
            </w:tcBorders>
            <w:gridSpan w:val="2"/>
          </w:tcPr>
          <w:p>
            <w:pPr>
              <w:spacing w:after="0"/>
              <w:rPr>
                <w:rFonts w:ascii="Arial" w:cs="Arial" w:eastAsia="Arial" w:hAnsi="Arial"/>
                <w:sz w:val="11"/>
                <w:szCs w:val="11"/>
                <w:color w:val="0000FF"/>
              </w:rPr>
            </w:pPr>
            <w:hyperlink w:anchor="page120">
              <w:r>
                <w:rPr>
                  <w:rFonts w:ascii="Arial" w:cs="Arial" w:eastAsia="Arial" w:hAnsi="Arial"/>
                  <w:sz w:val="11"/>
                  <w:szCs w:val="11"/>
                  <w:color w:val="0000FF"/>
                </w:rPr>
                <w:t>Consent of Moss Adams LLP.</w:t>
              </w:r>
            </w:hyperlink>
          </w:p>
        </w:tc>
        <w:tc>
          <w:tcPr>
            <w:tcW w:w="442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 w:type="dxa"/>
            <w:vAlign w:val="bottom"/>
          </w:tcPr>
          <w:p>
            <w:pPr>
              <w:jc w:val="center"/>
              <w:ind w:right="223"/>
              <w:spacing w:after="0"/>
              <w:rPr>
                <w:sz w:val="20"/>
                <w:szCs w:val="20"/>
                <w:color w:val="auto"/>
              </w:rPr>
            </w:pPr>
            <w:r>
              <w:rPr>
                <w:rFonts w:ascii="Arial" w:cs="Arial" w:eastAsia="Arial" w:hAnsi="Arial"/>
                <w:sz w:val="11"/>
                <w:szCs w:val="11"/>
                <w:color w:val="auto"/>
              </w:rPr>
              <w:t>24.1</w:t>
            </w:r>
          </w:p>
        </w:tc>
        <w:tc>
          <w:tcPr>
            <w:tcW w:w="2400" w:type="dxa"/>
            <w:vAlign w:val="bottom"/>
            <w:tcBorders>
              <w:bottom w:val="single" w:sz="8" w:color="0000FF"/>
            </w:tcBorders>
            <w:gridSpan w:val="5"/>
          </w:tcPr>
          <w:p>
            <w:pPr>
              <w:spacing w:after="0"/>
              <w:rPr>
                <w:rFonts w:ascii="Arial" w:cs="Arial" w:eastAsia="Arial" w:hAnsi="Arial"/>
                <w:sz w:val="11"/>
                <w:szCs w:val="11"/>
                <w:color w:val="0000FF"/>
              </w:rPr>
            </w:pPr>
            <w:hyperlink w:anchor="page114">
              <w:r>
                <w:rPr>
                  <w:rFonts w:ascii="Arial" w:cs="Arial" w:eastAsia="Arial" w:hAnsi="Arial"/>
                  <w:sz w:val="11"/>
                  <w:szCs w:val="11"/>
                  <w:color w:val="0000FF"/>
                </w:rPr>
                <w:t>Power of Attorney (included on signature page).</w:t>
              </w:r>
            </w:hyperlink>
          </w:p>
        </w:tc>
        <w:tc>
          <w:tcPr>
            <w:tcW w:w="35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40" w:type="dxa"/>
            <w:vAlign w:val="bottom"/>
          </w:tcPr>
          <w:p>
            <w:pPr>
              <w:jc w:val="center"/>
              <w:ind w:right="223"/>
              <w:spacing w:after="0"/>
              <w:rPr>
                <w:sz w:val="20"/>
                <w:szCs w:val="20"/>
                <w:color w:val="auto"/>
              </w:rPr>
            </w:pPr>
            <w:r>
              <w:rPr>
                <w:rFonts w:ascii="Arial" w:cs="Arial" w:eastAsia="Arial" w:hAnsi="Arial"/>
                <w:sz w:val="11"/>
                <w:szCs w:val="11"/>
                <w:color w:val="auto"/>
              </w:rPr>
              <w:t>31.1</w:t>
            </w:r>
          </w:p>
        </w:tc>
        <w:tc>
          <w:tcPr>
            <w:tcW w:w="5900" w:type="dxa"/>
            <w:vAlign w:val="bottom"/>
            <w:gridSpan w:val="17"/>
          </w:tcPr>
          <w:p>
            <w:pPr>
              <w:spacing w:after="0"/>
              <w:rPr>
                <w:rFonts w:ascii="Arial" w:cs="Arial" w:eastAsia="Arial" w:hAnsi="Arial"/>
                <w:sz w:val="11"/>
                <w:szCs w:val="11"/>
                <w:color w:val="0000FF"/>
              </w:rPr>
            </w:pPr>
            <w:hyperlink w:anchor="page121">
              <w:r>
                <w:rPr>
                  <w:rFonts w:ascii="Arial" w:cs="Arial" w:eastAsia="Arial" w:hAnsi="Arial"/>
                  <w:sz w:val="11"/>
                  <w:szCs w:val="11"/>
                  <w:color w:val="0000FF"/>
                </w:rPr>
                <w:t>Certification of Principal Executive Officer pursuant to Rules 13a-14(a) and 15d-14(a) under the Securities Exchange</w:t>
              </w:r>
            </w:hyperlink>
          </w:p>
        </w:tc>
        <w:tc>
          <w:tcPr>
            <w:tcW w:w="0" w:type="dxa"/>
            <w:vAlign w:val="bottom"/>
          </w:tcPr>
          <w:p>
            <w:pPr>
              <w:spacing w:after="0"/>
              <w:rPr>
                <w:sz w:val="1"/>
                <w:szCs w:val="1"/>
                <w:color w:val="auto"/>
              </w:rPr>
            </w:pPr>
          </w:p>
        </w:tc>
      </w:tr>
      <w:tr>
        <w:trPr>
          <w:trHeight w:val="86"/>
        </w:trPr>
        <w:tc>
          <w:tcPr>
            <w:tcW w:w="740" w:type="dxa"/>
            <w:vAlign w:val="bottom"/>
          </w:tcPr>
          <w:p>
            <w:pPr>
              <w:spacing w:after="0"/>
              <w:rPr>
                <w:sz w:val="7"/>
                <w:szCs w:val="7"/>
                <w:color w:val="auto"/>
              </w:rPr>
            </w:pPr>
          </w:p>
        </w:tc>
        <w:tc>
          <w:tcPr>
            <w:tcW w:w="5840" w:type="dxa"/>
            <w:vAlign w:val="bottom"/>
            <w:tcBorders>
              <w:top w:val="single" w:sz="8" w:color="0000FF"/>
            </w:tcBorders>
            <w:gridSpan w:val="15"/>
          </w:tcPr>
          <w:p>
            <w:pPr>
              <w:spacing w:after="0" w:line="86" w:lineRule="exact"/>
              <w:rPr>
                <w:rFonts w:ascii="Arial" w:cs="Arial" w:eastAsia="Arial" w:hAnsi="Arial"/>
                <w:sz w:val="9"/>
                <w:szCs w:val="9"/>
                <w:color w:val="0000FF"/>
              </w:rPr>
            </w:pPr>
            <w:hyperlink w:anchor="page121">
              <w:r>
                <w:rPr>
                  <w:rFonts w:ascii="Arial" w:cs="Arial" w:eastAsia="Arial" w:hAnsi="Arial"/>
                  <w:sz w:val="9"/>
                  <w:szCs w:val="9"/>
                  <w:color w:val="0000FF"/>
                </w:rPr>
                <w:t>Act of 1934, as adopted pursuant to Section 302 of the Sarbanes-Oxley Act of 2002.</w:t>
              </w:r>
            </w:hyperlink>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0" w:type="dxa"/>
            <w:vAlign w:val="bottom"/>
          </w:tcPr>
          <w:p>
            <w:pPr>
              <w:jc w:val="center"/>
              <w:ind w:right="223"/>
              <w:spacing w:after="0"/>
              <w:rPr>
                <w:sz w:val="20"/>
                <w:szCs w:val="20"/>
                <w:color w:val="auto"/>
              </w:rPr>
            </w:pPr>
            <w:r>
              <w:rPr>
                <w:rFonts w:ascii="Arial" w:cs="Arial" w:eastAsia="Arial" w:hAnsi="Arial"/>
                <w:sz w:val="11"/>
                <w:szCs w:val="11"/>
                <w:color w:val="auto"/>
              </w:rPr>
              <w:t>31.2</w:t>
            </w:r>
          </w:p>
        </w:tc>
        <w:tc>
          <w:tcPr>
            <w:tcW w:w="5900" w:type="dxa"/>
            <w:vAlign w:val="bottom"/>
            <w:gridSpan w:val="17"/>
          </w:tcPr>
          <w:p>
            <w:pPr>
              <w:spacing w:after="0"/>
              <w:rPr>
                <w:rFonts w:ascii="Arial" w:cs="Arial" w:eastAsia="Arial" w:hAnsi="Arial"/>
                <w:sz w:val="11"/>
                <w:szCs w:val="11"/>
                <w:color w:val="0000FF"/>
              </w:rPr>
            </w:pPr>
            <w:hyperlink w:anchor="page122">
              <w:r>
                <w:rPr>
                  <w:rFonts w:ascii="Arial" w:cs="Arial" w:eastAsia="Arial" w:hAnsi="Arial"/>
                  <w:sz w:val="11"/>
                  <w:szCs w:val="11"/>
                  <w:color w:val="0000FF"/>
                </w:rPr>
                <w:t>Certification of Principal Financial Officer pursuant to Rules 13a-14(a) and 15d-14(a) under the Securities Exchange</w:t>
              </w:r>
            </w:hyperlink>
          </w:p>
        </w:tc>
        <w:tc>
          <w:tcPr>
            <w:tcW w:w="0" w:type="dxa"/>
            <w:vAlign w:val="bottom"/>
          </w:tcPr>
          <w:p>
            <w:pPr>
              <w:spacing w:after="0"/>
              <w:rPr>
                <w:sz w:val="1"/>
                <w:szCs w:val="1"/>
                <w:color w:val="auto"/>
              </w:rPr>
            </w:pPr>
          </w:p>
        </w:tc>
      </w:tr>
      <w:tr>
        <w:trPr>
          <w:trHeight w:val="86"/>
        </w:trPr>
        <w:tc>
          <w:tcPr>
            <w:tcW w:w="740" w:type="dxa"/>
            <w:vAlign w:val="bottom"/>
          </w:tcPr>
          <w:p>
            <w:pPr>
              <w:spacing w:after="0"/>
              <w:rPr>
                <w:sz w:val="7"/>
                <w:szCs w:val="7"/>
                <w:color w:val="auto"/>
              </w:rPr>
            </w:pPr>
          </w:p>
        </w:tc>
        <w:tc>
          <w:tcPr>
            <w:tcW w:w="5780" w:type="dxa"/>
            <w:vAlign w:val="bottom"/>
            <w:tcBorders>
              <w:top w:val="single" w:sz="8" w:color="0000FF"/>
            </w:tcBorders>
            <w:gridSpan w:val="13"/>
          </w:tcPr>
          <w:p>
            <w:pPr>
              <w:spacing w:after="0" w:line="86" w:lineRule="exact"/>
              <w:rPr>
                <w:rFonts w:ascii="Arial" w:cs="Arial" w:eastAsia="Arial" w:hAnsi="Arial"/>
                <w:sz w:val="9"/>
                <w:szCs w:val="9"/>
                <w:color w:val="0000FF"/>
              </w:rPr>
            </w:pPr>
            <w:hyperlink w:anchor="page122">
              <w:r>
                <w:rPr>
                  <w:rFonts w:ascii="Arial" w:cs="Arial" w:eastAsia="Arial" w:hAnsi="Arial"/>
                  <w:sz w:val="9"/>
                  <w:szCs w:val="9"/>
                  <w:color w:val="0000FF"/>
                </w:rPr>
                <w:t>Act of 1934, as adopted pursuant to Section 302 of the Sarbanes-Oxley Act of 2002.</w:t>
              </w:r>
            </w:hyperlink>
          </w:p>
        </w:tc>
        <w:tc>
          <w:tcPr>
            <w:tcW w:w="4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0" w:type="dxa"/>
            <w:vAlign w:val="bottom"/>
          </w:tcPr>
          <w:p>
            <w:pPr>
              <w:jc w:val="center"/>
              <w:ind w:right="223"/>
              <w:spacing w:after="0"/>
              <w:rPr>
                <w:sz w:val="20"/>
                <w:szCs w:val="20"/>
                <w:color w:val="auto"/>
              </w:rPr>
            </w:pPr>
            <w:r>
              <w:rPr>
                <w:rFonts w:ascii="Arial" w:cs="Arial" w:eastAsia="Arial" w:hAnsi="Arial"/>
                <w:sz w:val="11"/>
                <w:szCs w:val="11"/>
                <w:color w:val="auto"/>
              </w:rPr>
              <w:t>32.1*</w:t>
            </w:r>
          </w:p>
        </w:tc>
        <w:tc>
          <w:tcPr>
            <w:tcW w:w="5900" w:type="dxa"/>
            <w:vAlign w:val="bottom"/>
            <w:gridSpan w:val="17"/>
          </w:tcPr>
          <w:p>
            <w:pPr>
              <w:spacing w:after="0"/>
              <w:rPr>
                <w:rFonts w:ascii="Arial" w:cs="Arial" w:eastAsia="Arial" w:hAnsi="Arial"/>
                <w:sz w:val="11"/>
                <w:szCs w:val="11"/>
                <w:color w:val="0000FF"/>
              </w:rPr>
            </w:pPr>
            <w:hyperlink w:anchor="page123">
              <w:r>
                <w:rPr>
                  <w:rFonts w:ascii="Arial" w:cs="Arial" w:eastAsia="Arial" w:hAnsi="Arial"/>
                  <w:sz w:val="11"/>
                  <w:szCs w:val="11"/>
                  <w:color w:val="0000FF"/>
                </w:rPr>
                <w:t>Certification of Principal Executive Officer pursuant to 18 U.S.C. Section 1350, as adopted pursuant to Section 906 of</w:t>
              </w:r>
            </w:hyperlink>
          </w:p>
        </w:tc>
        <w:tc>
          <w:tcPr>
            <w:tcW w:w="0" w:type="dxa"/>
            <w:vAlign w:val="bottom"/>
          </w:tcPr>
          <w:p>
            <w:pPr>
              <w:spacing w:after="0"/>
              <w:rPr>
                <w:sz w:val="1"/>
                <w:szCs w:val="1"/>
                <w:color w:val="auto"/>
              </w:rPr>
            </w:pPr>
          </w:p>
        </w:tc>
      </w:tr>
      <w:tr>
        <w:trPr>
          <w:trHeight w:val="86"/>
        </w:trPr>
        <w:tc>
          <w:tcPr>
            <w:tcW w:w="740" w:type="dxa"/>
            <w:vAlign w:val="bottom"/>
          </w:tcPr>
          <w:p>
            <w:pPr>
              <w:spacing w:after="0"/>
              <w:rPr>
                <w:sz w:val="7"/>
                <w:szCs w:val="7"/>
                <w:color w:val="auto"/>
              </w:rPr>
            </w:pPr>
          </w:p>
        </w:tc>
        <w:tc>
          <w:tcPr>
            <w:tcW w:w="1640" w:type="dxa"/>
            <w:vAlign w:val="bottom"/>
            <w:tcBorders>
              <w:top w:val="single" w:sz="8" w:color="0000FF"/>
              <w:bottom w:val="single" w:sz="8" w:color="0000FF"/>
            </w:tcBorders>
            <w:gridSpan w:val="3"/>
          </w:tcPr>
          <w:p>
            <w:pPr>
              <w:spacing w:after="0" w:line="86" w:lineRule="exact"/>
              <w:rPr>
                <w:rFonts w:ascii="Arial" w:cs="Arial" w:eastAsia="Arial" w:hAnsi="Arial"/>
                <w:sz w:val="9"/>
                <w:szCs w:val="9"/>
                <w:color w:val="0000FF"/>
              </w:rPr>
            </w:pPr>
            <w:hyperlink w:anchor="page123">
              <w:r>
                <w:rPr>
                  <w:rFonts w:ascii="Arial" w:cs="Arial" w:eastAsia="Arial" w:hAnsi="Arial"/>
                  <w:sz w:val="9"/>
                  <w:szCs w:val="9"/>
                  <w:color w:val="0000FF"/>
                </w:rPr>
                <w:t>the Sarbanes-Oxley Act of 2002.</w:t>
              </w:r>
            </w:hyperlink>
          </w:p>
        </w:tc>
        <w:tc>
          <w:tcPr>
            <w:tcW w:w="4220" w:type="dxa"/>
            <w:vAlign w:val="bottom"/>
            <w:tcBorders>
              <w:top w:val="single" w:sz="8" w:color="0000FF"/>
            </w:tcBorders>
            <w:gridSpan w:val="13"/>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740" w:type="dxa"/>
            <w:vAlign w:val="bottom"/>
          </w:tcPr>
          <w:p>
            <w:pPr>
              <w:jc w:val="center"/>
              <w:ind w:right="223"/>
              <w:spacing w:after="0"/>
              <w:rPr>
                <w:sz w:val="20"/>
                <w:szCs w:val="20"/>
                <w:color w:val="auto"/>
              </w:rPr>
            </w:pPr>
            <w:r>
              <w:rPr>
                <w:rFonts w:ascii="Arial" w:cs="Arial" w:eastAsia="Arial" w:hAnsi="Arial"/>
                <w:sz w:val="11"/>
                <w:szCs w:val="11"/>
                <w:color w:val="auto"/>
              </w:rPr>
              <w:t>32.2*</w:t>
            </w:r>
          </w:p>
        </w:tc>
        <w:tc>
          <w:tcPr>
            <w:tcW w:w="5900" w:type="dxa"/>
            <w:vAlign w:val="bottom"/>
            <w:gridSpan w:val="17"/>
          </w:tcPr>
          <w:p>
            <w:pPr>
              <w:spacing w:after="0"/>
              <w:rPr>
                <w:rFonts w:ascii="Arial" w:cs="Arial" w:eastAsia="Arial" w:hAnsi="Arial"/>
                <w:sz w:val="11"/>
                <w:szCs w:val="11"/>
                <w:color w:val="0000FF"/>
              </w:rPr>
            </w:pPr>
            <w:hyperlink w:anchor="page124">
              <w:r>
                <w:rPr>
                  <w:rFonts w:ascii="Arial" w:cs="Arial" w:eastAsia="Arial" w:hAnsi="Arial"/>
                  <w:sz w:val="11"/>
                  <w:szCs w:val="11"/>
                  <w:color w:val="0000FF"/>
                </w:rPr>
                <w:t>Certification of Principal Financial Officer pursuant to 18 U.S.C. Section 1350, as adopted pursuant to Section 906 of</w:t>
              </w:r>
            </w:hyperlink>
          </w:p>
        </w:tc>
        <w:tc>
          <w:tcPr>
            <w:tcW w:w="0" w:type="dxa"/>
            <w:vAlign w:val="bottom"/>
          </w:tcPr>
          <w:p>
            <w:pPr>
              <w:spacing w:after="0"/>
              <w:rPr>
                <w:sz w:val="1"/>
                <w:szCs w:val="1"/>
                <w:color w:val="auto"/>
              </w:rPr>
            </w:pPr>
          </w:p>
        </w:tc>
      </w:tr>
      <w:tr>
        <w:trPr>
          <w:trHeight w:val="86"/>
        </w:trPr>
        <w:tc>
          <w:tcPr>
            <w:tcW w:w="740" w:type="dxa"/>
            <w:vAlign w:val="bottom"/>
          </w:tcPr>
          <w:p>
            <w:pPr>
              <w:spacing w:after="0"/>
              <w:rPr>
                <w:sz w:val="7"/>
                <w:szCs w:val="7"/>
                <w:color w:val="auto"/>
              </w:rPr>
            </w:pPr>
          </w:p>
        </w:tc>
        <w:tc>
          <w:tcPr>
            <w:tcW w:w="1640" w:type="dxa"/>
            <w:vAlign w:val="bottom"/>
            <w:tcBorders>
              <w:top w:val="single" w:sz="8" w:color="0000FF"/>
              <w:bottom w:val="single" w:sz="8" w:color="0000FF"/>
            </w:tcBorders>
            <w:gridSpan w:val="3"/>
          </w:tcPr>
          <w:p>
            <w:pPr>
              <w:spacing w:after="0" w:line="86" w:lineRule="exact"/>
              <w:rPr>
                <w:rFonts w:ascii="Arial" w:cs="Arial" w:eastAsia="Arial" w:hAnsi="Arial"/>
                <w:sz w:val="9"/>
                <w:szCs w:val="9"/>
                <w:color w:val="0000FF"/>
              </w:rPr>
            </w:pPr>
            <w:hyperlink w:anchor="page124">
              <w:r>
                <w:rPr>
                  <w:rFonts w:ascii="Arial" w:cs="Arial" w:eastAsia="Arial" w:hAnsi="Arial"/>
                  <w:sz w:val="9"/>
                  <w:szCs w:val="9"/>
                  <w:color w:val="0000FF"/>
                </w:rPr>
                <w:t>the Sarbanes-Oxley Act of 2002.</w:t>
              </w:r>
            </w:hyperlink>
          </w:p>
        </w:tc>
        <w:tc>
          <w:tcPr>
            <w:tcW w:w="4180" w:type="dxa"/>
            <w:vAlign w:val="bottom"/>
            <w:tcBorders>
              <w:top w:val="single" w:sz="8" w:color="0000FF"/>
            </w:tcBorders>
            <w:gridSpan w:val="11"/>
          </w:tcPr>
          <w:p>
            <w:pPr>
              <w:spacing w:after="0"/>
              <w:rPr>
                <w:sz w:val="7"/>
                <w:szCs w:val="7"/>
                <w:color w:val="auto"/>
              </w:rPr>
            </w:pPr>
          </w:p>
        </w:tc>
        <w:tc>
          <w:tcPr>
            <w:tcW w:w="8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ind w:right="243"/>
              <w:spacing w:after="0" w:line="122" w:lineRule="exact"/>
              <w:rPr>
                <w:sz w:val="20"/>
                <w:szCs w:val="20"/>
                <w:color w:val="auto"/>
              </w:rPr>
            </w:pPr>
            <w:r>
              <w:rPr>
                <w:rFonts w:ascii="Arial" w:cs="Arial" w:eastAsia="Arial" w:hAnsi="Arial"/>
                <w:sz w:val="11"/>
                <w:szCs w:val="11"/>
                <w:color w:val="auto"/>
              </w:rPr>
              <w:t>101.INS</w:t>
            </w:r>
          </w:p>
        </w:tc>
        <w:tc>
          <w:tcPr>
            <w:tcW w:w="5900" w:type="dxa"/>
            <w:vAlign w:val="bottom"/>
            <w:gridSpan w:val="17"/>
          </w:tcPr>
          <w:p>
            <w:pPr>
              <w:spacing w:after="0" w:line="122" w:lineRule="exact"/>
              <w:rPr>
                <w:sz w:val="20"/>
                <w:szCs w:val="20"/>
                <w:color w:val="auto"/>
              </w:rPr>
            </w:pPr>
            <w:r>
              <w:rPr>
                <w:rFonts w:ascii="Arial" w:cs="Arial" w:eastAsia="Arial" w:hAnsi="Arial"/>
                <w:sz w:val="11"/>
                <w:szCs w:val="11"/>
                <w:color w:val="auto"/>
              </w:rPr>
              <w:t>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136"/>
        </w:trPr>
        <w:tc>
          <w:tcPr>
            <w:tcW w:w="740" w:type="dxa"/>
            <w:vAlign w:val="bottom"/>
          </w:tcPr>
          <w:p>
            <w:pPr>
              <w:spacing w:after="0"/>
              <w:rPr>
                <w:sz w:val="11"/>
                <w:szCs w:val="11"/>
                <w:color w:val="auto"/>
              </w:rPr>
            </w:pPr>
          </w:p>
        </w:tc>
        <w:tc>
          <w:tcPr>
            <w:tcW w:w="5900" w:type="dxa"/>
            <w:vAlign w:val="bottom"/>
            <w:gridSpan w:val="17"/>
          </w:tcPr>
          <w:p>
            <w:pPr>
              <w:spacing w:after="0"/>
              <w:rPr>
                <w:sz w:val="20"/>
                <w:szCs w:val="20"/>
                <w:color w:val="auto"/>
              </w:rPr>
            </w:pPr>
            <w:r>
              <w:rPr>
                <w:rFonts w:ascii="Arial" w:cs="Arial" w:eastAsia="Arial" w:hAnsi="Arial"/>
                <w:sz w:val="11"/>
                <w:szCs w:val="11"/>
                <w:color w:val="auto"/>
              </w:rPr>
              <w:t>are embedded within the Inline XBRL document.</w:t>
            </w:r>
          </w:p>
        </w:tc>
        <w:tc>
          <w:tcPr>
            <w:tcW w:w="0" w:type="dxa"/>
            <w:vAlign w:val="bottom"/>
          </w:tcPr>
          <w:p>
            <w:pPr>
              <w:spacing w:after="0"/>
              <w:rPr>
                <w:sz w:val="1"/>
                <w:szCs w:val="1"/>
                <w:color w:val="auto"/>
              </w:rPr>
            </w:pPr>
          </w:p>
        </w:tc>
      </w:tr>
      <w:tr>
        <w:trPr>
          <w:trHeight w:val="149"/>
        </w:trPr>
        <w:tc>
          <w:tcPr>
            <w:tcW w:w="740" w:type="dxa"/>
            <w:vAlign w:val="bottom"/>
          </w:tcPr>
          <w:p>
            <w:pPr>
              <w:jc w:val="center"/>
              <w:ind w:right="223"/>
              <w:spacing w:after="0"/>
              <w:rPr>
                <w:sz w:val="20"/>
                <w:szCs w:val="20"/>
                <w:color w:val="auto"/>
              </w:rPr>
            </w:pPr>
            <w:r>
              <w:rPr>
                <w:rFonts w:ascii="Arial" w:cs="Arial" w:eastAsia="Arial" w:hAnsi="Arial"/>
                <w:sz w:val="11"/>
                <w:szCs w:val="11"/>
                <w:color w:val="auto"/>
              </w:rPr>
              <w:t>101.SCH</w:t>
            </w:r>
          </w:p>
        </w:tc>
        <w:tc>
          <w:tcPr>
            <w:tcW w:w="5900" w:type="dxa"/>
            <w:vAlign w:val="bottom"/>
            <w:gridSpan w:val="17"/>
          </w:tcPr>
          <w:p>
            <w:pPr>
              <w:spacing w:after="0"/>
              <w:rPr>
                <w:sz w:val="20"/>
                <w:szCs w:val="20"/>
                <w:color w:val="auto"/>
              </w:rPr>
            </w:pPr>
            <w:r>
              <w:rPr>
                <w:rFonts w:ascii="Arial" w:cs="Arial" w:eastAsia="Arial" w:hAnsi="Arial"/>
                <w:sz w:val="11"/>
                <w:szCs w:val="11"/>
                <w:color w:val="auto"/>
              </w:rPr>
              <w:t>XBRL Taxonomy Extension Schema Document.</w:t>
            </w:r>
          </w:p>
        </w:tc>
        <w:tc>
          <w:tcPr>
            <w:tcW w:w="0" w:type="dxa"/>
            <w:vAlign w:val="bottom"/>
          </w:tcPr>
          <w:p>
            <w:pPr>
              <w:spacing w:after="0"/>
              <w:rPr>
                <w:sz w:val="1"/>
                <w:szCs w:val="1"/>
                <w:color w:val="auto"/>
              </w:rPr>
            </w:pPr>
          </w:p>
        </w:tc>
      </w:tr>
      <w:tr>
        <w:trPr>
          <w:trHeight w:val="149"/>
        </w:trPr>
        <w:tc>
          <w:tcPr>
            <w:tcW w:w="740" w:type="dxa"/>
            <w:vAlign w:val="bottom"/>
          </w:tcPr>
          <w:p>
            <w:pPr>
              <w:jc w:val="center"/>
              <w:ind w:right="243"/>
              <w:spacing w:after="0"/>
              <w:rPr>
                <w:sz w:val="20"/>
                <w:szCs w:val="20"/>
                <w:color w:val="auto"/>
              </w:rPr>
            </w:pPr>
            <w:r>
              <w:rPr>
                <w:rFonts w:ascii="Arial" w:cs="Arial" w:eastAsia="Arial" w:hAnsi="Arial"/>
                <w:sz w:val="11"/>
                <w:szCs w:val="11"/>
                <w:color w:val="auto"/>
              </w:rPr>
              <w:t>101.CAL</w:t>
            </w:r>
          </w:p>
        </w:tc>
        <w:tc>
          <w:tcPr>
            <w:tcW w:w="5900" w:type="dxa"/>
            <w:vAlign w:val="bottom"/>
            <w:gridSpan w:val="17"/>
          </w:tcPr>
          <w:p>
            <w:pPr>
              <w:spacing w:after="0"/>
              <w:rPr>
                <w:sz w:val="20"/>
                <w:szCs w:val="20"/>
                <w:color w:val="auto"/>
              </w:rPr>
            </w:pPr>
            <w:r>
              <w:rPr>
                <w:rFonts w:ascii="Arial" w:cs="Arial" w:eastAsia="Arial" w:hAnsi="Arial"/>
                <w:sz w:val="11"/>
                <w:szCs w:val="11"/>
                <w:color w:val="auto"/>
              </w:rPr>
              <w:t>XBRL Taxonomy Extension Calculation Linkbase Document.</w:t>
            </w:r>
          </w:p>
        </w:tc>
        <w:tc>
          <w:tcPr>
            <w:tcW w:w="0" w:type="dxa"/>
            <w:vAlign w:val="bottom"/>
          </w:tcPr>
          <w:p>
            <w:pPr>
              <w:spacing w:after="0"/>
              <w:rPr>
                <w:sz w:val="1"/>
                <w:szCs w:val="1"/>
                <w:color w:val="auto"/>
              </w:rPr>
            </w:pPr>
          </w:p>
        </w:tc>
      </w:tr>
      <w:tr>
        <w:trPr>
          <w:trHeight w:val="149"/>
        </w:trPr>
        <w:tc>
          <w:tcPr>
            <w:tcW w:w="740" w:type="dxa"/>
            <w:vAlign w:val="bottom"/>
          </w:tcPr>
          <w:p>
            <w:pPr>
              <w:jc w:val="center"/>
              <w:ind w:right="243"/>
              <w:spacing w:after="0"/>
              <w:rPr>
                <w:sz w:val="20"/>
                <w:szCs w:val="20"/>
                <w:color w:val="auto"/>
              </w:rPr>
            </w:pPr>
            <w:r>
              <w:rPr>
                <w:rFonts w:ascii="Arial" w:cs="Arial" w:eastAsia="Arial" w:hAnsi="Arial"/>
                <w:sz w:val="11"/>
                <w:szCs w:val="11"/>
                <w:color w:val="auto"/>
              </w:rPr>
              <w:t>101.DEF</w:t>
            </w:r>
          </w:p>
        </w:tc>
        <w:tc>
          <w:tcPr>
            <w:tcW w:w="5900" w:type="dxa"/>
            <w:vAlign w:val="bottom"/>
            <w:gridSpan w:val="17"/>
          </w:tcPr>
          <w:p>
            <w:pPr>
              <w:spacing w:after="0"/>
              <w:rPr>
                <w:sz w:val="20"/>
                <w:szCs w:val="20"/>
                <w:color w:val="auto"/>
              </w:rPr>
            </w:pPr>
            <w:r>
              <w:rPr>
                <w:rFonts w:ascii="Arial" w:cs="Arial" w:eastAsia="Arial" w:hAnsi="Arial"/>
                <w:sz w:val="11"/>
                <w:szCs w:val="11"/>
                <w:color w:val="auto"/>
              </w:rPr>
              <w:t>XBRL Taxonomy Extension Definition Linkbase Document.</w:t>
            </w:r>
          </w:p>
        </w:tc>
        <w:tc>
          <w:tcPr>
            <w:tcW w:w="0" w:type="dxa"/>
            <w:vAlign w:val="bottom"/>
          </w:tcPr>
          <w:p>
            <w:pPr>
              <w:spacing w:after="0"/>
              <w:rPr>
                <w:sz w:val="1"/>
                <w:szCs w:val="1"/>
                <w:color w:val="auto"/>
              </w:rPr>
            </w:pPr>
          </w:p>
        </w:tc>
      </w:tr>
      <w:tr>
        <w:trPr>
          <w:trHeight w:val="149"/>
        </w:trPr>
        <w:tc>
          <w:tcPr>
            <w:tcW w:w="740" w:type="dxa"/>
            <w:vAlign w:val="bottom"/>
          </w:tcPr>
          <w:p>
            <w:pPr>
              <w:jc w:val="center"/>
              <w:ind w:right="243"/>
              <w:spacing w:after="0"/>
              <w:rPr>
                <w:sz w:val="20"/>
                <w:szCs w:val="20"/>
                <w:color w:val="auto"/>
              </w:rPr>
            </w:pPr>
            <w:r>
              <w:rPr>
                <w:rFonts w:ascii="Arial" w:cs="Arial" w:eastAsia="Arial" w:hAnsi="Arial"/>
                <w:sz w:val="11"/>
                <w:szCs w:val="11"/>
                <w:color w:val="auto"/>
              </w:rPr>
              <w:t>101.LAB</w:t>
            </w:r>
          </w:p>
        </w:tc>
        <w:tc>
          <w:tcPr>
            <w:tcW w:w="5900" w:type="dxa"/>
            <w:vAlign w:val="bottom"/>
            <w:gridSpan w:val="17"/>
          </w:tcPr>
          <w:p>
            <w:pPr>
              <w:spacing w:after="0"/>
              <w:rPr>
                <w:sz w:val="20"/>
                <w:szCs w:val="20"/>
                <w:color w:val="auto"/>
              </w:rPr>
            </w:pPr>
            <w:r>
              <w:rPr>
                <w:rFonts w:ascii="Arial" w:cs="Arial" w:eastAsia="Arial" w:hAnsi="Arial"/>
                <w:sz w:val="11"/>
                <w:szCs w:val="11"/>
                <w:color w:val="auto"/>
              </w:rPr>
              <w:t>XBRL Taxonomy Extension Label Linkbase Document.</w:t>
            </w:r>
          </w:p>
        </w:tc>
        <w:tc>
          <w:tcPr>
            <w:tcW w:w="0" w:type="dxa"/>
            <w:vAlign w:val="bottom"/>
          </w:tcPr>
          <w:p>
            <w:pPr>
              <w:spacing w:after="0"/>
              <w:rPr>
                <w:sz w:val="1"/>
                <w:szCs w:val="1"/>
                <w:color w:val="auto"/>
              </w:rPr>
            </w:pPr>
          </w:p>
        </w:tc>
      </w:tr>
      <w:tr>
        <w:trPr>
          <w:trHeight w:val="149"/>
        </w:trPr>
        <w:tc>
          <w:tcPr>
            <w:tcW w:w="740" w:type="dxa"/>
            <w:vAlign w:val="bottom"/>
          </w:tcPr>
          <w:p>
            <w:pPr>
              <w:jc w:val="center"/>
              <w:ind w:right="243"/>
              <w:spacing w:after="0"/>
              <w:rPr>
                <w:sz w:val="20"/>
                <w:szCs w:val="20"/>
                <w:color w:val="auto"/>
              </w:rPr>
            </w:pPr>
            <w:r>
              <w:rPr>
                <w:rFonts w:ascii="Arial" w:cs="Arial" w:eastAsia="Arial" w:hAnsi="Arial"/>
                <w:sz w:val="11"/>
                <w:szCs w:val="11"/>
                <w:color w:val="auto"/>
                <w:w w:val="99"/>
              </w:rPr>
              <w:t>101.PRE</w:t>
            </w:r>
          </w:p>
        </w:tc>
        <w:tc>
          <w:tcPr>
            <w:tcW w:w="5900" w:type="dxa"/>
            <w:vAlign w:val="bottom"/>
            <w:gridSpan w:val="17"/>
          </w:tcPr>
          <w:p>
            <w:pPr>
              <w:spacing w:after="0"/>
              <w:rPr>
                <w:sz w:val="20"/>
                <w:szCs w:val="20"/>
                <w:color w:val="auto"/>
              </w:rPr>
            </w:pPr>
            <w:r>
              <w:rPr>
                <w:rFonts w:ascii="Arial" w:cs="Arial" w:eastAsia="Arial" w:hAnsi="Arial"/>
                <w:sz w:val="11"/>
                <w:szCs w:val="11"/>
                <w:color w:val="auto"/>
              </w:rPr>
              <w:t>XBRL Taxonomy Extension Presentation Linkbase Document.</w:t>
            </w:r>
          </w:p>
        </w:tc>
        <w:tc>
          <w:tcPr>
            <w:tcW w:w="0" w:type="dxa"/>
            <w:vAlign w:val="bottom"/>
          </w:tcPr>
          <w:p>
            <w:pPr>
              <w:spacing w:after="0"/>
              <w:rPr>
                <w:sz w:val="1"/>
                <w:szCs w:val="1"/>
                <w:color w:val="auto"/>
              </w:rPr>
            </w:pPr>
          </w:p>
        </w:tc>
      </w:tr>
      <w:tr>
        <w:trPr>
          <w:trHeight w:val="149"/>
        </w:trPr>
        <w:tc>
          <w:tcPr>
            <w:tcW w:w="740" w:type="dxa"/>
            <w:vAlign w:val="bottom"/>
          </w:tcPr>
          <w:p>
            <w:pPr>
              <w:jc w:val="center"/>
              <w:ind w:right="243"/>
              <w:spacing w:after="0"/>
              <w:rPr>
                <w:sz w:val="20"/>
                <w:szCs w:val="20"/>
                <w:color w:val="auto"/>
              </w:rPr>
            </w:pPr>
            <w:r>
              <w:rPr>
                <w:rFonts w:ascii="Arial" w:cs="Arial" w:eastAsia="Arial" w:hAnsi="Arial"/>
                <w:sz w:val="11"/>
                <w:szCs w:val="11"/>
                <w:color w:val="auto"/>
              </w:rPr>
              <w:t>104</w:t>
            </w:r>
          </w:p>
        </w:tc>
        <w:tc>
          <w:tcPr>
            <w:tcW w:w="5900" w:type="dxa"/>
            <w:vAlign w:val="bottom"/>
            <w:gridSpan w:val="17"/>
          </w:tcPr>
          <w:p>
            <w:pPr>
              <w:spacing w:after="0"/>
              <w:rPr>
                <w:sz w:val="20"/>
                <w:szCs w:val="20"/>
                <w:color w:val="auto"/>
              </w:rPr>
            </w:pPr>
            <w:r>
              <w:rPr>
                <w:rFonts w:ascii="Arial" w:cs="Arial" w:eastAsia="Arial" w:hAnsi="Arial"/>
                <w:sz w:val="11"/>
                <w:szCs w:val="11"/>
                <w:color w:val="auto"/>
              </w:rPr>
              <w:t>Cover Page Interactive Data File (formatted as inline XBRL and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520" w:type="dxa"/>
            <w:vAlign w:val="bottom"/>
          </w:tcPr>
          <w:p>
            <w:pPr>
              <w:spacing w:after="0"/>
              <w:rPr>
                <w:sz w:val="20"/>
                <w:szCs w:val="20"/>
                <w:color w:val="auto"/>
              </w:rPr>
            </w:pPr>
            <w:r>
              <w:rPr>
                <w:rFonts w:ascii="Arial" w:cs="Arial" w:eastAsia="Arial" w:hAnsi="Arial"/>
                <w:sz w:val="11"/>
                <w:szCs w:val="11"/>
                <w:color w:val="auto"/>
              </w:rPr>
              <w:t>S-8</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99.3</w:t>
            </w:r>
          </w:p>
        </w:tc>
        <w:tc>
          <w:tcPr>
            <w:tcW w:w="760" w:type="dxa"/>
            <w:vAlign w:val="bottom"/>
          </w:tcPr>
          <w:p>
            <w:pPr>
              <w:jc w:val="right"/>
              <w:spacing w:after="0"/>
              <w:rPr>
                <w:sz w:val="20"/>
                <w:szCs w:val="20"/>
                <w:color w:val="auto"/>
              </w:rPr>
            </w:pPr>
            <w:r>
              <w:rPr>
                <w:rFonts w:ascii="Arial" w:cs="Arial" w:eastAsia="Arial" w:hAnsi="Arial"/>
                <w:sz w:val="11"/>
                <w:szCs w:val="11"/>
                <w:color w:val="auto"/>
              </w:rPr>
              <w:t>10-29-2021</w:t>
            </w:r>
          </w:p>
        </w:tc>
      </w:tr>
      <w:tr>
        <w:trPr>
          <w:trHeight w:val="170"/>
        </w:trPr>
        <w:tc>
          <w:tcPr>
            <w:tcW w:w="520" w:type="dxa"/>
            <w:vAlign w:val="bottom"/>
          </w:tcPr>
          <w:p>
            <w:pPr>
              <w:spacing w:after="0"/>
              <w:rPr>
                <w:sz w:val="20"/>
                <w:szCs w:val="20"/>
                <w:color w:val="auto"/>
              </w:rPr>
            </w:pPr>
            <w:r>
              <w:rPr>
                <w:rFonts w:ascii="Arial" w:cs="Arial" w:eastAsia="Arial" w:hAnsi="Arial"/>
                <w:sz w:val="11"/>
                <w:szCs w:val="11"/>
                <w:color w:val="auto"/>
              </w:rPr>
              <w:t>S-1/A</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10.17</w:t>
            </w:r>
          </w:p>
        </w:tc>
        <w:tc>
          <w:tcPr>
            <w:tcW w:w="760" w:type="dxa"/>
            <w:vAlign w:val="bottom"/>
          </w:tcPr>
          <w:p>
            <w:pPr>
              <w:jc w:val="right"/>
              <w:spacing w:after="0"/>
              <w:rPr>
                <w:sz w:val="20"/>
                <w:szCs w:val="20"/>
                <w:color w:val="auto"/>
              </w:rPr>
            </w:pPr>
            <w:r>
              <w:rPr>
                <w:rFonts w:ascii="Arial" w:cs="Arial" w:eastAsia="Arial" w:hAnsi="Arial"/>
                <w:sz w:val="11"/>
                <w:szCs w:val="11"/>
                <w:color w:val="auto"/>
              </w:rPr>
              <w:t>10-18-2021</w:t>
            </w:r>
          </w:p>
        </w:tc>
      </w:tr>
      <w:tr>
        <w:trPr>
          <w:trHeight w:val="170"/>
        </w:trPr>
        <w:tc>
          <w:tcPr>
            <w:tcW w:w="520" w:type="dxa"/>
            <w:vAlign w:val="bottom"/>
          </w:tcPr>
          <w:p>
            <w:pPr>
              <w:spacing w:after="0"/>
              <w:rPr>
                <w:sz w:val="20"/>
                <w:szCs w:val="20"/>
                <w:color w:val="auto"/>
              </w:rPr>
            </w:pPr>
            <w:r>
              <w:rPr>
                <w:rFonts w:ascii="Arial" w:cs="Arial" w:eastAsia="Arial" w:hAnsi="Arial"/>
                <w:sz w:val="11"/>
                <w:szCs w:val="11"/>
                <w:color w:val="auto"/>
              </w:rPr>
              <w:t>S-1/A</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10.18</w:t>
            </w:r>
          </w:p>
        </w:tc>
        <w:tc>
          <w:tcPr>
            <w:tcW w:w="760" w:type="dxa"/>
            <w:vAlign w:val="bottom"/>
          </w:tcPr>
          <w:p>
            <w:pPr>
              <w:jc w:val="right"/>
              <w:spacing w:after="0"/>
              <w:rPr>
                <w:sz w:val="20"/>
                <w:szCs w:val="20"/>
                <w:color w:val="auto"/>
              </w:rPr>
            </w:pPr>
            <w:r>
              <w:rPr>
                <w:rFonts w:ascii="Arial" w:cs="Arial" w:eastAsia="Arial" w:hAnsi="Arial"/>
                <w:sz w:val="11"/>
                <w:szCs w:val="11"/>
                <w:color w:val="auto"/>
              </w:rPr>
              <w:t>10-18-2021</w:t>
            </w:r>
          </w:p>
        </w:tc>
      </w:tr>
      <w:tr>
        <w:trPr>
          <w:trHeight w:val="170"/>
        </w:trPr>
        <w:tc>
          <w:tcPr>
            <w:tcW w:w="520" w:type="dxa"/>
            <w:vAlign w:val="bottom"/>
          </w:tcPr>
          <w:p>
            <w:pPr>
              <w:spacing w:after="0"/>
              <w:rPr>
                <w:sz w:val="20"/>
                <w:szCs w:val="20"/>
                <w:color w:val="auto"/>
              </w:rPr>
            </w:pPr>
            <w:r>
              <w:rPr>
                <w:rFonts w:ascii="Arial" w:cs="Arial" w:eastAsia="Arial" w:hAnsi="Arial"/>
                <w:sz w:val="11"/>
                <w:szCs w:val="11"/>
                <w:color w:val="auto"/>
              </w:rPr>
              <w:t>S-1/A</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10.19</w:t>
            </w:r>
          </w:p>
        </w:tc>
        <w:tc>
          <w:tcPr>
            <w:tcW w:w="760" w:type="dxa"/>
            <w:vAlign w:val="bottom"/>
          </w:tcPr>
          <w:p>
            <w:pPr>
              <w:jc w:val="right"/>
              <w:spacing w:after="0"/>
              <w:rPr>
                <w:sz w:val="20"/>
                <w:szCs w:val="20"/>
                <w:color w:val="auto"/>
              </w:rPr>
            </w:pPr>
            <w:r>
              <w:rPr>
                <w:rFonts w:ascii="Arial" w:cs="Arial" w:eastAsia="Arial" w:hAnsi="Arial"/>
                <w:sz w:val="11"/>
                <w:szCs w:val="11"/>
                <w:color w:val="auto"/>
              </w:rPr>
              <w:t>10-18-2021</w:t>
            </w:r>
          </w:p>
        </w:tc>
      </w:tr>
      <w:tr>
        <w:trPr>
          <w:trHeight w:val="170"/>
        </w:trPr>
        <w:tc>
          <w:tcPr>
            <w:tcW w:w="520" w:type="dxa"/>
            <w:vAlign w:val="bottom"/>
          </w:tcPr>
          <w:p>
            <w:pPr>
              <w:spacing w:after="0"/>
              <w:rPr>
                <w:sz w:val="20"/>
                <w:szCs w:val="20"/>
                <w:color w:val="auto"/>
              </w:rPr>
            </w:pPr>
            <w:r>
              <w:rPr>
                <w:rFonts w:ascii="Arial" w:cs="Arial" w:eastAsia="Arial" w:hAnsi="Arial"/>
                <w:sz w:val="11"/>
                <w:szCs w:val="11"/>
                <w:color w:val="auto"/>
              </w:rPr>
              <w:t>8-K</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10.1</w:t>
            </w:r>
          </w:p>
        </w:tc>
        <w:tc>
          <w:tcPr>
            <w:tcW w:w="760" w:type="dxa"/>
            <w:vAlign w:val="bottom"/>
          </w:tcPr>
          <w:p>
            <w:pPr>
              <w:jc w:val="right"/>
              <w:spacing w:after="0"/>
              <w:rPr>
                <w:sz w:val="20"/>
                <w:szCs w:val="20"/>
                <w:color w:val="auto"/>
              </w:rPr>
            </w:pPr>
            <w:r>
              <w:rPr>
                <w:rFonts w:ascii="Arial" w:cs="Arial" w:eastAsia="Arial" w:hAnsi="Arial"/>
                <w:sz w:val="11"/>
                <w:szCs w:val="11"/>
                <w:color w:val="auto"/>
              </w:rPr>
              <w:t>12-10-2021</w:t>
            </w:r>
          </w:p>
        </w:tc>
      </w:tr>
    </w:tbl>
    <w:p>
      <w:pPr>
        <w:spacing w:after="0" w:line="33"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171"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43"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43"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43"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128"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128"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128"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128"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128"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22"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22"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22"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22"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22"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X</w:t>
      </w:r>
    </w:p>
    <w:p>
      <w:pPr>
        <w:spacing w:after="0" w:line="76" w:lineRule="exact"/>
        <w:rPr>
          <w:sz w:val="20"/>
          <w:szCs w:val="20"/>
          <w:color w:val="auto"/>
        </w:rPr>
      </w:pPr>
    </w:p>
    <w:p>
      <w:pPr>
        <w:sectPr>
          <w:pgSz w:w="11900" w:h="16838" w:orient="portrait"/>
          <w:cols w:equalWidth="0" w:num="2">
            <w:col w:w="6920" w:space="100"/>
            <w:col w:w="4140"/>
          </w:cols>
          <w:pgMar w:left="300" w:top="125" w:right="439" w:bottom="1440" w:gutter="0" w:footer="0" w:header="0"/>
          <w:type w:val="continuous"/>
        </w:sectPr>
      </w:pPr>
    </w:p>
    <w:p>
      <w:pPr>
        <w:ind w:left="520" w:right="220" w:hanging="260"/>
        <w:spacing w:after="0" w:line="238" w:lineRule="auto"/>
        <w:tabs>
          <w:tab w:leader="none" w:pos="519"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certifications attached as Exhibits 32.1 and 32.2 that accompany this Annual Report on Form 10-K,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 w:lineRule="exact"/>
        <w:rPr>
          <w:sz w:val="20"/>
          <w:szCs w:val="20"/>
          <w:color w:val="auto"/>
        </w:rPr>
      </w:pPr>
    </w:p>
    <w:p>
      <w:pPr>
        <w:ind w:left="480" w:hanging="220"/>
        <w:spacing w:after="0"/>
        <w:tabs>
          <w:tab w:leader="none" w:pos="4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 or arrangement.</w:t>
      </w:r>
    </w:p>
    <w:p>
      <w:pPr>
        <w:spacing w:after="0" w:line="10" w:lineRule="exact"/>
        <w:rPr>
          <w:sz w:val="20"/>
          <w:szCs w:val="20"/>
          <w:color w:val="auto"/>
        </w:rPr>
      </w:pPr>
    </w:p>
    <w:p>
      <w:pPr>
        <w:ind w:left="520" w:hanging="260"/>
        <w:spacing w:after="0" w:line="274" w:lineRule="auto"/>
        <w:tabs>
          <w:tab w:leader="none" w:pos="489" w:val="left"/>
        </w:tabs>
        <w:numPr>
          <w:ilvl w:val="0"/>
          <w:numId w:val="45"/>
        </w:numPr>
        <w:rPr>
          <w:rFonts w:ascii="Arial" w:cs="Arial" w:eastAsia="Arial" w:hAnsi="Arial"/>
          <w:sz w:val="13"/>
          <w:szCs w:val="13"/>
          <w:color w:val="auto"/>
        </w:rPr>
      </w:pPr>
      <w:r>
        <w:rPr>
          <w:rFonts w:ascii="Arial" w:cs="Arial" w:eastAsia="Arial" w:hAnsi="Arial"/>
          <w:sz w:val="13"/>
          <w:szCs w:val="13"/>
          <w:color w:val="auto"/>
        </w:rPr>
        <w:t>Portions of this exhibit (indicated by asterisks) have been omitted pursuant to Item 601(b)(10)(iv) of Regulation S-K under the Securities Act of 1933, as amended, because they are both (i) not material and (ii) the type of information that the registrant both customarily and actually treats as private and confidential.</w:t>
      </w: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type w:val="continuous"/>
        </w:sectPr>
      </w:pPr>
    </w:p>
    <w:bookmarkStart w:id="113" w:name="page114"/>
    <w:bookmarkEnd w:id="1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99"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Pursuant to the requirements of the Securities Act of 1933, as amended, Arteris, Inc. has duly caused this report to be signed on its behalf by the undersigned, thereunto duly authorized, in Campbell, California, on this 7th day of March, 2022.</w:t>
      </w:r>
    </w:p>
    <w:p>
      <w:pPr>
        <w:spacing w:after="0" w:line="120" w:lineRule="exact"/>
        <w:rPr>
          <w:sz w:val="20"/>
          <w:szCs w:val="20"/>
          <w:color w:val="auto"/>
        </w:rPr>
      </w:pPr>
    </w:p>
    <w:tbl>
      <w:tblPr>
        <w:tblLayout w:type="fixed"/>
        <w:tblInd w:w="5940" w:type="dxa"/>
        <w:tblCellMar>
          <w:top w:w="0" w:type="dxa"/>
          <w:left w:w="0" w:type="dxa"/>
          <w:bottom w:w="0" w:type="dxa"/>
          <w:right w:w="0" w:type="dxa"/>
        </w:tblCellMar>
      </w:tblPr>
      <w:tr>
        <w:trPr>
          <w:trHeight w:val="178"/>
        </w:trPr>
        <w:tc>
          <w:tcPr>
            <w:tcW w:w="1020" w:type="dxa"/>
            <w:vAlign w:val="bottom"/>
          </w:tcPr>
          <w:p>
            <w:pPr>
              <w:spacing w:after="0"/>
              <w:rPr>
                <w:sz w:val="20"/>
                <w:szCs w:val="20"/>
                <w:color w:val="auto"/>
              </w:rPr>
            </w:pPr>
            <w:r>
              <w:rPr>
                <w:rFonts w:ascii="Arial" w:cs="Arial" w:eastAsia="Arial" w:hAnsi="Arial"/>
                <w:sz w:val="13"/>
                <w:szCs w:val="13"/>
                <w:b w:val="1"/>
                <w:bCs w:val="1"/>
                <w:color w:val="auto"/>
              </w:rPr>
              <w:t>Arteris, Inc.</w:t>
            </w:r>
          </w:p>
        </w:tc>
        <w:tc>
          <w:tcPr>
            <w:tcW w:w="4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20"/>
                <w:szCs w:val="20"/>
                <w:color w:val="auto"/>
              </w:rPr>
            </w:pPr>
            <w:r>
              <w:rPr>
                <w:rFonts w:ascii="Arial" w:cs="Arial" w:eastAsia="Arial" w:hAnsi="Arial"/>
                <w:sz w:val="13"/>
                <w:szCs w:val="13"/>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 Charles Janac</w:t>
            </w:r>
          </w:p>
        </w:tc>
        <w:tc>
          <w:tcPr>
            <w:tcW w:w="0" w:type="dxa"/>
            <w:vAlign w:val="bottom"/>
          </w:tcPr>
          <w:p>
            <w:pPr>
              <w:spacing w:after="0"/>
              <w:rPr>
                <w:sz w:val="1"/>
                <w:szCs w:val="1"/>
                <w:color w:val="auto"/>
              </w:rPr>
            </w:pPr>
          </w:p>
        </w:tc>
      </w:tr>
      <w:tr>
        <w:trPr>
          <w:trHeight w:val="131"/>
        </w:trPr>
        <w:tc>
          <w:tcPr>
            <w:tcW w:w="1020" w:type="dxa"/>
            <w:vAlign w:val="bottom"/>
          </w:tcPr>
          <w:p>
            <w:pPr>
              <w:spacing w:after="0" w:line="131" w:lineRule="exact"/>
              <w:rPr>
                <w:sz w:val="20"/>
                <w:szCs w:val="20"/>
                <w:color w:val="auto"/>
              </w:rPr>
            </w:pPr>
            <w:r>
              <w:rPr>
                <w:rFonts w:ascii="Arial" w:cs="Arial" w:eastAsia="Arial" w:hAnsi="Arial"/>
                <w:sz w:val="13"/>
                <w:szCs w:val="13"/>
                <w:color w:val="auto"/>
              </w:rPr>
              <w:t>Name:</w:t>
            </w:r>
          </w:p>
        </w:tc>
        <w:tc>
          <w:tcPr>
            <w:tcW w:w="4320" w:type="dxa"/>
            <w:vAlign w:val="bottom"/>
          </w:tcPr>
          <w:p>
            <w:pPr>
              <w:spacing w:after="0" w:line="131" w:lineRule="exact"/>
              <w:rPr>
                <w:sz w:val="20"/>
                <w:szCs w:val="20"/>
                <w:color w:val="auto"/>
              </w:rPr>
            </w:pPr>
            <w:r>
              <w:rPr>
                <w:rFonts w:ascii="Arial" w:cs="Arial" w:eastAsia="Arial" w:hAnsi="Arial"/>
                <w:sz w:val="13"/>
                <w:szCs w:val="13"/>
                <w:color w:val="auto"/>
              </w:rPr>
              <w:t>K. Charles Janac</w:t>
            </w:r>
          </w:p>
        </w:tc>
        <w:tc>
          <w:tcPr>
            <w:tcW w:w="0" w:type="dxa"/>
            <w:vAlign w:val="bottom"/>
          </w:tcPr>
          <w:p>
            <w:pPr>
              <w:spacing w:after="0"/>
              <w:rPr>
                <w:sz w:val="1"/>
                <w:szCs w:val="1"/>
                <w:color w:val="auto"/>
              </w:rPr>
            </w:pPr>
          </w:p>
        </w:tc>
      </w:tr>
      <w:tr>
        <w:trPr>
          <w:trHeight w:val="159"/>
        </w:trPr>
        <w:tc>
          <w:tcPr>
            <w:tcW w:w="1020" w:type="dxa"/>
            <w:vAlign w:val="bottom"/>
          </w:tcPr>
          <w:p>
            <w:pPr>
              <w:spacing w:after="0"/>
              <w:rPr>
                <w:sz w:val="20"/>
                <w:szCs w:val="20"/>
                <w:color w:val="auto"/>
              </w:rPr>
            </w:pPr>
            <w:r>
              <w:rPr>
                <w:rFonts w:ascii="Arial" w:cs="Arial" w:eastAsia="Arial" w:hAnsi="Arial"/>
                <w:sz w:val="13"/>
                <w:szCs w:val="13"/>
                <w:color w:val="auto"/>
              </w:rPr>
              <w:t>Title:</w:t>
            </w:r>
          </w:p>
        </w:tc>
        <w:tc>
          <w:tcPr>
            <w:tcW w:w="4320" w:type="dxa"/>
            <w:vAlign w:val="bottom"/>
            <w:vMerge w:val="restart"/>
          </w:tcPr>
          <w:p>
            <w:pPr>
              <w:spacing w:after="0"/>
              <w:rPr>
                <w:sz w:val="20"/>
                <w:szCs w:val="20"/>
                <w:color w:val="auto"/>
              </w:rPr>
            </w:pPr>
            <w:r>
              <w:rPr>
                <w:rFonts w:ascii="Arial" w:cs="Arial" w:eastAsia="Arial" w:hAnsi="Arial"/>
                <w:sz w:val="13"/>
                <w:szCs w:val="13"/>
                <w:color w:val="auto"/>
              </w:rPr>
              <w:t>President and Chief Executive Officer</w:t>
            </w:r>
          </w:p>
        </w:tc>
        <w:tc>
          <w:tcPr>
            <w:tcW w:w="0" w:type="dxa"/>
            <w:vAlign w:val="bottom"/>
          </w:tcPr>
          <w:p>
            <w:pPr>
              <w:spacing w:after="0"/>
              <w:rPr>
                <w:sz w:val="1"/>
                <w:szCs w:val="1"/>
                <w:color w:val="auto"/>
              </w:rPr>
            </w:pPr>
          </w:p>
        </w:tc>
      </w:tr>
      <w:tr>
        <w:trPr>
          <w:trHeight w:val="24"/>
        </w:trPr>
        <w:tc>
          <w:tcPr>
            <w:tcW w:w="1020" w:type="dxa"/>
            <w:vAlign w:val="bottom"/>
          </w:tcPr>
          <w:p>
            <w:pPr>
              <w:spacing w:after="0"/>
              <w:rPr>
                <w:sz w:val="2"/>
                <w:szCs w:val="2"/>
                <w:color w:val="auto"/>
              </w:rPr>
            </w:pPr>
          </w:p>
        </w:tc>
        <w:tc>
          <w:tcPr>
            <w:tcW w:w="4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Arial" w:cs="Arial" w:eastAsia="Arial" w:hAnsi="Arial"/>
                <w:sz w:val="13"/>
                <w:szCs w:val="13"/>
                <w:i w:val="1"/>
                <w:iCs w:val="1"/>
                <w:color w:val="auto"/>
              </w:rPr>
              <w:t>(Principal Executive Officer)</w:t>
            </w:r>
          </w:p>
        </w:tc>
        <w:tc>
          <w:tcPr>
            <w:tcW w:w="0" w:type="dxa"/>
            <w:vAlign w:val="bottom"/>
          </w:tcPr>
          <w:p>
            <w:pPr>
              <w:spacing w:after="0"/>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Each of the undersigned officers and directors of Arteris, Inc. hereby constitutes and appoints K. Charles Janac and Nicholas B. Hawkins, and each of them any of whom may act without joinder of the other, the individual’s true and lawful attorneys-in-fact and agents, each with full power of substitution and resubstitution, for the person and in his or her name, place and stead, in any and all capacities, to sign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Pursuant to the requirements of the Securities Act of 1933, as amended, this Annual Report on Form 10-K has been signed by the following persons in the capacities set forth opposite their names and on the date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SIGNATURE</w:t>
            </w:r>
          </w:p>
        </w:tc>
        <w:tc>
          <w:tcPr>
            <w:tcW w:w="5980" w:type="dxa"/>
            <w:vAlign w:val="bottom"/>
            <w:tcBorders>
              <w:bottom w:val="single" w:sz="8" w:color="auto"/>
            </w:tcBorders>
          </w:tcPr>
          <w:p>
            <w:pPr>
              <w:ind w:left="2680"/>
              <w:spacing w:after="0"/>
              <w:rPr>
                <w:sz w:val="20"/>
                <w:szCs w:val="20"/>
                <w:color w:val="auto"/>
              </w:rPr>
            </w:pPr>
            <w:r>
              <w:rPr>
                <w:rFonts w:ascii="Arial" w:cs="Arial" w:eastAsia="Arial" w:hAnsi="Arial"/>
                <w:sz w:val="11"/>
                <w:szCs w:val="11"/>
                <w:b w:val="1"/>
                <w:bCs w:val="1"/>
                <w:color w:val="auto"/>
              </w:rPr>
              <w:t>TITLE</w:t>
            </w:r>
          </w:p>
        </w:tc>
        <w:tc>
          <w:tcPr>
            <w:tcW w:w="1960" w:type="dxa"/>
            <w:vAlign w:val="bottom"/>
            <w:tcBorders>
              <w:bottom w:val="single" w:sz="8" w:color="auto"/>
            </w:tcBorders>
          </w:tcPr>
          <w:p>
            <w:pPr>
              <w:jc w:val="center"/>
              <w:ind w:right="234"/>
              <w:spacing w:after="0"/>
              <w:rPr>
                <w:sz w:val="20"/>
                <w:szCs w:val="20"/>
                <w:color w:val="auto"/>
              </w:rPr>
            </w:pPr>
            <w:r>
              <w:rPr>
                <w:rFonts w:ascii="Arial" w:cs="Arial" w:eastAsia="Arial" w:hAnsi="Arial"/>
                <w:sz w:val="11"/>
                <w:szCs w:val="11"/>
                <w:b w:val="1"/>
                <w:bCs w:val="1"/>
                <w:color w:val="auto"/>
              </w:rPr>
              <w:t>DATE</w:t>
            </w:r>
          </w:p>
        </w:tc>
        <w:tc>
          <w:tcPr>
            <w:tcW w:w="0" w:type="dxa"/>
            <w:vAlign w:val="bottom"/>
          </w:tcPr>
          <w:p>
            <w:pPr>
              <w:spacing w:after="0"/>
              <w:rPr>
                <w:sz w:val="1"/>
                <w:szCs w:val="1"/>
                <w:color w:val="auto"/>
              </w:rPr>
            </w:pPr>
          </w:p>
        </w:tc>
      </w:tr>
      <w:tr>
        <w:trPr>
          <w:trHeight w:val="219"/>
        </w:trPr>
        <w:tc>
          <w:tcPr>
            <w:tcW w:w="3200" w:type="dxa"/>
            <w:vAlign w:val="bottom"/>
            <w:vMerge w:val="restart"/>
          </w:tcPr>
          <w:p>
            <w:pPr>
              <w:jc w:val="center"/>
              <w:spacing w:after="0"/>
              <w:rPr>
                <w:sz w:val="20"/>
                <w:szCs w:val="20"/>
                <w:color w:val="auto"/>
              </w:rPr>
            </w:pPr>
            <w:r>
              <w:rPr>
                <w:rFonts w:ascii="Arial" w:cs="Arial" w:eastAsia="Arial" w:hAnsi="Arial"/>
                <w:sz w:val="13"/>
                <w:szCs w:val="13"/>
                <w:color w:val="auto"/>
              </w:rPr>
              <w:t>/s/ K. Charles Janac</w:t>
            </w:r>
          </w:p>
        </w:tc>
        <w:tc>
          <w:tcPr>
            <w:tcW w:w="5980" w:type="dxa"/>
            <w:vAlign w:val="bottom"/>
          </w:tcPr>
          <w:p>
            <w:pPr>
              <w:ind w:left="20"/>
              <w:spacing w:after="0"/>
              <w:rPr>
                <w:sz w:val="20"/>
                <w:szCs w:val="20"/>
                <w:color w:val="auto"/>
              </w:rPr>
            </w:pPr>
            <w:r>
              <w:rPr>
                <w:rFonts w:ascii="Arial" w:cs="Arial" w:eastAsia="Arial" w:hAnsi="Arial"/>
                <w:sz w:val="13"/>
                <w:szCs w:val="13"/>
                <w:color w:val="auto"/>
              </w:rPr>
              <w:t xml:space="preserve">President and Chief Executive Officer </w:t>
            </w:r>
            <w:r>
              <w:rPr>
                <w:rFonts w:ascii="Arial" w:cs="Arial" w:eastAsia="Arial" w:hAnsi="Arial"/>
                <w:sz w:val="13"/>
                <w:szCs w:val="13"/>
                <w:i w:val="1"/>
                <w:iCs w:val="1"/>
                <w:color w:val="auto"/>
              </w:rPr>
              <w:t>(Principal Executive Officer)</w:t>
            </w:r>
            <w:r>
              <w:rPr>
                <w:rFonts w:ascii="Arial" w:cs="Arial" w:eastAsia="Arial" w:hAnsi="Arial"/>
                <w:sz w:val="13"/>
                <w:szCs w:val="13"/>
                <w:color w:val="auto"/>
              </w:rPr>
              <w:t xml:space="preserve"> and Chairman of the Board</w:t>
            </w:r>
          </w:p>
        </w:tc>
        <w:tc>
          <w:tcPr>
            <w:tcW w:w="1960" w:type="dxa"/>
            <w:vAlign w:val="bottom"/>
            <w:vMerge w:val="restart"/>
          </w:tcPr>
          <w:p>
            <w:pPr>
              <w:jc w:val="center"/>
              <w:ind w:right="234"/>
              <w:spacing w:after="0"/>
              <w:rPr>
                <w:sz w:val="20"/>
                <w:szCs w:val="20"/>
                <w:color w:val="auto"/>
              </w:rPr>
            </w:pPr>
            <w:r>
              <w:rPr>
                <w:rFonts w:ascii="Arial" w:cs="Arial" w:eastAsia="Arial" w:hAnsi="Arial"/>
                <w:sz w:val="13"/>
                <w:szCs w:val="13"/>
                <w:color w:val="auto"/>
              </w:rPr>
              <w:t>March 7, 2022</w:t>
            </w:r>
          </w:p>
        </w:tc>
        <w:tc>
          <w:tcPr>
            <w:tcW w:w="0" w:type="dxa"/>
            <w:vAlign w:val="bottom"/>
          </w:tcPr>
          <w:p>
            <w:pPr>
              <w:spacing w:after="0"/>
              <w:rPr>
                <w:sz w:val="1"/>
                <w:szCs w:val="1"/>
                <w:color w:val="auto"/>
              </w:rPr>
            </w:pPr>
          </w:p>
        </w:tc>
      </w:tr>
      <w:tr>
        <w:trPr>
          <w:trHeight w:val="51"/>
        </w:trPr>
        <w:tc>
          <w:tcPr>
            <w:tcW w:w="3200" w:type="dxa"/>
            <w:vAlign w:val="bottom"/>
            <w:tcBorders>
              <w:bottom w:val="single" w:sz="8" w:color="auto"/>
            </w:tcBorders>
            <w:vMerge w:val="continue"/>
          </w:tcPr>
          <w:p>
            <w:pPr>
              <w:spacing w:after="0"/>
              <w:rPr>
                <w:sz w:val="4"/>
                <w:szCs w:val="4"/>
                <w:color w:val="auto"/>
              </w:rPr>
            </w:pPr>
          </w:p>
        </w:tc>
        <w:tc>
          <w:tcPr>
            <w:tcW w:w="5980" w:type="dxa"/>
            <w:vAlign w:val="bottom"/>
            <w:vMerge w:val="restart"/>
          </w:tcPr>
          <w:p>
            <w:pPr>
              <w:ind w:left="20"/>
              <w:spacing w:after="0"/>
              <w:rPr>
                <w:sz w:val="20"/>
                <w:szCs w:val="20"/>
                <w:color w:val="auto"/>
              </w:rPr>
            </w:pPr>
            <w:r>
              <w:rPr>
                <w:rFonts w:ascii="Arial" w:cs="Arial" w:eastAsia="Arial" w:hAnsi="Arial"/>
                <w:sz w:val="13"/>
                <w:szCs w:val="13"/>
                <w:color w:val="auto"/>
              </w:rPr>
              <w:t>of Directors</w:t>
            </w:r>
          </w:p>
        </w:tc>
        <w:tc>
          <w:tcPr>
            <w:tcW w:w="1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200" w:type="dxa"/>
            <w:vAlign w:val="bottom"/>
            <w:vMerge w:val="restart"/>
          </w:tcPr>
          <w:p>
            <w:pPr>
              <w:jc w:val="center"/>
              <w:spacing w:after="0"/>
              <w:rPr>
                <w:sz w:val="20"/>
                <w:szCs w:val="20"/>
                <w:color w:val="auto"/>
              </w:rPr>
            </w:pPr>
            <w:r>
              <w:rPr>
                <w:rFonts w:ascii="Arial" w:cs="Arial" w:eastAsia="Arial" w:hAnsi="Arial"/>
                <w:sz w:val="13"/>
                <w:szCs w:val="13"/>
                <w:color w:val="auto"/>
              </w:rPr>
              <w:t>K. Charles Janac</w:t>
            </w:r>
          </w:p>
        </w:tc>
        <w:tc>
          <w:tcPr>
            <w:tcW w:w="598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3200" w:type="dxa"/>
            <w:vAlign w:val="bottom"/>
            <w:vMerge w:val="continue"/>
          </w:tcPr>
          <w:p>
            <w:pPr>
              <w:spacing w:after="0"/>
              <w:rPr>
                <w:sz w:val="5"/>
                <w:szCs w:val="5"/>
                <w:color w:val="auto"/>
              </w:rPr>
            </w:pPr>
          </w:p>
        </w:tc>
        <w:tc>
          <w:tcPr>
            <w:tcW w:w="59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200" w:type="dxa"/>
            <w:vAlign w:val="bottom"/>
          </w:tcPr>
          <w:p>
            <w:pPr>
              <w:jc w:val="center"/>
              <w:spacing w:after="0"/>
              <w:rPr>
                <w:sz w:val="20"/>
                <w:szCs w:val="20"/>
                <w:color w:val="auto"/>
              </w:rPr>
            </w:pPr>
            <w:r>
              <w:rPr>
                <w:rFonts w:ascii="Arial" w:cs="Arial" w:eastAsia="Arial" w:hAnsi="Arial"/>
                <w:sz w:val="13"/>
                <w:szCs w:val="13"/>
                <w:color w:val="auto"/>
              </w:rPr>
              <w:t>/s/ Nicholas B. Hawkins</w:t>
            </w:r>
          </w:p>
        </w:tc>
        <w:tc>
          <w:tcPr>
            <w:tcW w:w="5980" w:type="dxa"/>
            <w:vAlign w:val="bottom"/>
          </w:tcPr>
          <w:p>
            <w:pPr>
              <w:ind w:left="20"/>
              <w:spacing w:after="0"/>
              <w:rPr>
                <w:sz w:val="20"/>
                <w:szCs w:val="20"/>
                <w:color w:val="auto"/>
              </w:rPr>
            </w:pPr>
            <w:r>
              <w:rPr>
                <w:rFonts w:ascii="Arial" w:cs="Arial" w:eastAsia="Arial" w:hAnsi="Arial"/>
                <w:sz w:val="13"/>
                <w:szCs w:val="13"/>
                <w:color w:val="auto"/>
              </w:rPr>
              <w:t>Vice President and Chief Financial Officer</w:t>
            </w:r>
          </w:p>
        </w:tc>
        <w:tc>
          <w:tcPr>
            <w:tcW w:w="1960" w:type="dxa"/>
            <w:vAlign w:val="bottom"/>
          </w:tcPr>
          <w:p>
            <w:pPr>
              <w:jc w:val="center"/>
              <w:ind w:right="234"/>
              <w:spacing w:after="0"/>
              <w:rPr>
                <w:sz w:val="20"/>
                <w:szCs w:val="20"/>
                <w:color w:val="auto"/>
              </w:rPr>
            </w:pPr>
            <w:r>
              <w:rPr>
                <w:rFonts w:ascii="Arial" w:cs="Arial" w:eastAsia="Arial" w:hAnsi="Arial"/>
                <w:sz w:val="13"/>
                <w:szCs w:val="13"/>
                <w:color w:val="auto"/>
              </w:rPr>
              <w:t>March 7, 2022</w:t>
            </w:r>
          </w:p>
        </w:tc>
        <w:tc>
          <w:tcPr>
            <w:tcW w:w="0" w:type="dxa"/>
            <w:vAlign w:val="bottom"/>
          </w:tcPr>
          <w:p>
            <w:pPr>
              <w:spacing w:after="0"/>
              <w:rPr>
                <w:sz w:val="1"/>
                <w:szCs w:val="1"/>
                <w:color w:val="auto"/>
              </w:rPr>
            </w:pPr>
          </w:p>
        </w:tc>
      </w:tr>
      <w:tr>
        <w:trPr>
          <w:trHeight w:val="42"/>
        </w:trPr>
        <w:tc>
          <w:tcPr>
            <w:tcW w:w="3200" w:type="dxa"/>
            <w:vAlign w:val="bottom"/>
            <w:tcBorders>
              <w:bottom w:val="single" w:sz="8" w:color="auto"/>
            </w:tcBorders>
          </w:tcPr>
          <w:p>
            <w:pPr>
              <w:spacing w:after="0"/>
              <w:rPr>
                <w:sz w:val="3"/>
                <w:szCs w:val="3"/>
                <w:color w:val="auto"/>
              </w:rPr>
            </w:pPr>
          </w:p>
        </w:tc>
        <w:tc>
          <w:tcPr>
            <w:tcW w:w="59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(Principal Financial and Accounting Officer)</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3200" w:type="dxa"/>
            <w:vAlign w:val="bottom"/>
            <w:vMerge w:val="restart"/>
          </w:tcPr>
          <w:p>
            <w:pPr>
              <w:jc w:val="center"/>
              <w:spacing w:after="0"/>
              <w:rPr>
                <w:sz w:val="20"/>
                <w:szCs w:val="20"/>
                <w:color w:val="auto"/>
              </w:rPr>
            </w:pPr>
            <w:r>
              <w:rPr>
                <w:rFonts w:ascii="Arial" w:cs="Arial" w:eastAsia="Arial" w:hAnsi="Arial"/>
                <w:sz w:val="13"/>
                <w:szCs w:val="13"/>
                <w:color w:val="auto"/>
              </w:rPr>
              <w:t>Nicholas B. Hawkins</w:t>
            </w:r>
          </w:p>
        </w:tc>
        <w:tc>
          <w:tcPr>
            <w:tcW w:w="5980" w:type="dxa"/>
            <w:vAlign w:val="bottom"/>
            <w:vMerge w:val="continue"/>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3200" w:type="dxa"/>
            <w:vAlign w:val="bottom"/>
            <w:vMerge w:val="continue"/>
          </w:tcPr>
          <w:p>
            <w:pPr>
              <w:spacing w:after="0"/>
              <w:rPr>
                <w:sz w:val="3"/>
                <w:szCs w:val="3"/>
                <w:color w:val="auto"/>
              </w:rPr>
            </w:pPr>
          </w:p>
        </w:tc>
        <w:tc>
          <w:tcPr>
            <w:tcW w:w="59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Wayne C. Cantwell</w:t>
            </w:r>
          </w:p>
        </w:tc>
        <w:tc>
          <w:tcPr>
            <w:tcW w:w="5980" w:type="dxa"/>
            <w:vAlign w:val="bottom"/>
          </w:tcPr>
          <w:p>
            <w:pPr>
              <w:ind w:left="20"/>
              <w:spacing w:after="0"/>
              <w:rPr>
                <w:sz w:val="20"/>
                <w:szCs w:val="20"/>
                <w:color w:val="auto"/>
              </w:rPr>
            </w:pPr>
            <w:r>
              <w:rPr>
                <w:rFonts w:ascii="Arial" w:cs="Arial" w:eastAsia="Arial" w:hAnsi="Arial"/>
                <w:sz w:val="13"/>
                <w:szCs w:val="13"/>
                <w:color w:val="auto"/>
              </w:rPr>
              <w:t>Director</w:t>
            </w:r>
          </w:p>
        </w:tc>
        <w:tc>
          <w:tcPr>
            <w:tcW w:w="1960" w:type="dxa"/>
            <w:vAlign w:val="bottom"/>
          </w:tcPr>
          <w:p>
            <w:pPr>
              <w:jc w:val="center"/>
              <w:ind w:right="234"/>
              <w:spacing w:after="0"/>
              <w:rPr>
                <w:sz w:val="20"/>
                <w:szCs w:val="20"/>
                <w:color w:val="auto"/>
              </w:rPr>
            </w:pPr>
            <w:r>
              <w:rPr>
                <w:rFonts w:ascii="Arial" w:cs="Arial" w:eastAsia="Arial" w:hAnsi="Arial"/>
                <w:sz w:val="13"/>
                <w:szCs w:val="13"/>
                <w:color w:val="auto"/>
              </w:rPr>
              <w:t>March 7, 2022</w:t>
            </w:r>
          </w:p>
        </w:tc>
        <w:tc>
          <w:tcPr>
            <w:tcW w:w="0" w:type="dxa"/>
            <w:vAlign w:val="bottom"/>
          </w:tcPr>
          <w:p>
            <w:pPr>
              <w:spacing w:after="0"/>
              <w:rPr>
                <w:sz w:val="1"/>
                <w:szCs w:val="1"/>
                <w:color w:val="auto"/>
              </w:rPr>
            </w:pPr>
          </w:p>
        </w:tc>
      </w:tr>
      <w:tr>
        <w:trPr>
          <w:trHeight w:val="159"/>
        </w:trPr>
        <w:tc>
          <w:tcPr>
            <w:tcW w:w="3200" w:type="dxa"/>
            <w:vAlign w:val="bottom"/>
          </w:tcPr>
          <w:p>
            <w:pPr>
              <w:jc w:val="center"/>
              <w:spacing w:after="0"/>
              <w:rPr>
                <w:sz w:val="20"/>
                <w:szCs w:val="20"/>
                <w:color w:val="auto"/>
              </w:rPr>
            </w:pPr>
            <w:r>
              <w:rPr>
                <w:rFonts w:ascii="Arial" w:cs="Arial" w:eastAsia="Arial" w:hAnsi="Arial"/>
                <w:sz w:val="13"/>
                <w:szCs w:val="13"/>
                <w:color w:val="auto"/>
              </w:rPr>
              <w:t>Wayne C. Cantwell</w:t>
            </w:r>
          </w:p>
        </w:tc>
        <w:tc>
          <w:tcPr>
            <w:tcW w:w="59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Christian Claussen</w:t>
            </w:r>
          </w:p>
        </w:tc>
        <w:tc>
          <w:tcPr>
            <w:tcW w:w="5980" w:type="dxa"/>
            <w:vAlign w:val="bottom"/>
          </w:tcPr>
          <w:p>
            <w:pPr>
              <w:ind w:left="20"/>
              <w:spacing w:after="0"/>
              <w:rPr>
                <w:sz w:val="20"/>
                <w:szCs w:val="20"/>
                <w:color w:val="auto"/>
              </w:rPr>
            </w:pPr>
            <w:r>
              <w:rPr>
                <w:rFonts w:ascii="Arial" w:cs="Arial" w:eastAsia="Arial" w:hAnsi="Arial"/>
                <w:sz w:val="13"/>
                <w:szCs w:val="13"/>
                <w:color w:val="auto"/>
              </w:rPr>
              <w:t>Director</w:t>
            </w:r>
          </w:p>
        </w:tc>
        <w:tc>
          <w:tcPr>
            <w:tcW w:w="1960" w:type="dxa"/>
            <w:vAlign w:val="bottom"/>
          </w:tcPr>
          <w:p>
            <w:pPr>
              <w:jc w:val="center"/>
              <w:ind w:right="234"/>
              <w:spacing w:after="0"/>
              <w:rPr>
                <w:sz w:val="20"/>
                <w:szCs w:val="20"/>
                <w:color w:val="auto"/>
              </w:rPr>
            </w:pPr>
            <w:r>
              <w:rPr>
                <w:rFonts w:ascii="Arial" w:cs="Arial" w:eastAsia="Arial" w:hAnsi="Arial"/>
                <w:sz w:val="13"/>
                <w:szCs w:val="13"/>
                <w:color w:val="auto"/>
              </w:rPr>
              <w:t>March 7, 2022</w:t>
            </w:r>
          </w:p>
        </w:tc>
        <w:tc>
          <w:tcPr>
            <w:tcW w:w="0" w:type="dxa"/>
            <w:vAlign w:val="bottom"/>
          </w:tcPr>
          <w:p>
            <w:pPr>
              <w:spacing w:after="0"/>
              <w:rPr>
                <w:sz w:val="1"/>
                <w:szCs w:val="1"/>
                <w:color w:val="auto"/>
              </w:rPr>
            </w:pPr>
          </w:p>
        </w:tc>
      </w:tr>
      <w:tr>
        <w:trPr>
          <w:trHeight w:val="159"/>
        </w:trPr>
        <w:tc>
          <w:tcPr>
            <w:tcW w:w="3200" w:type="dxa"/>
            <w:vAlign w:val="bottom"/>
          </w:tcPr>
          <w:p>
            <w:pPr>
              <w:jc w:val="center"/>
              <w:spacing w:after="0"/>
              <w:rPr>
                <w:sz w:val="20"/>
                <w:szCs w:val="20"/>
                <w:color w:val="auto"/>
              </w:rPr>
            </w:pPr>
            <w:r>
              <w:rPr>
                <w:rFonts w:ascii="Arial" w:cs="Arial" w:eastAsia="Arial" w:hAnsi="Arial"/>
                <w:sz w:val="13"/>
                <w:szCs w:val="13"/>
                <w:color w:val="auto"/>
              </w:rPr>
              <w:t>Christian Claussen</w:t>
            </w:r>
          </w:p>
        </w:tc>
        <w:tc>
          <w:tcPr>
            <w:tcW w:w="59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Raman K. Chitkara</w:t>
            </w:r>
          </w:p>
        </w:tc>
        <w:tc>
          <w:tcPr>
            <w:tcW w:w="5980" w:type="dxa"/>
            <w:vAlign w:val="bottom"/>
          </w:tcPr>
          <w:p>
            <w:pPr>
              <w:ind w:left="20"/>
              <w:spacing w:after="0"/>
              <w:rPr>
                <w:sz w:val="20"/>
                <w:szCs w:val="20"/>
                <w:color w:val="auto"/>
              </w:rPr>
            </w:pPr>
            <w:r>
              <w:rPr>
                <w:rFonts w:ascii="Arial" w:cs="Arial" w:eastAsia="Arial" w:hAnsi="Arial"/>
                <w:sz w:val="13"/>
                <w:szCs w:val="13"/>
                <w:color w:val="auto"/>
              </w:rPr>
              <w:t>Director</w:t>
            </w:r>
          </w:p>
        </w:tc>
        <w:tc>
          <w:tcPr>
            <w:tcW w:w="1960" w:type="dxa"/>
            <w:vAlign w:val="bottom"/>
          </w:tcPr>
          <w:p>
            <w:pPr>
              <w:jc w:val="center"/>
              <w:ind w:right="234"/>
              <w:spacing w:after="0"/>
              <w:rPr>
                <w:sz w:val="20"/>
                <w:szCs w:val="20"/>
                <w:color w:val="auto"/>
              </w:rPr>
            </w:pPr>
            <w:r>
              <w:rPr>
                <w:rFonts w:ascii="Arial" w:cs="Arial" w:eastAsia="Arial" w:hAnsi="Arial"/>
                <w:sz w:val="13"/>
                <w:szCs w:val="13"/>
                <w:color w:val="auto"/>
              </w:rPr>
              <w:t>March 7, 2022</w:t>
            </w:r>
          </w:p>
        </w:tc>
        <w:tc>
          <w:tcPr>
            <w:tcW w:w="0" w:type="dxa"/>
            <w:vAlign w:val="bottom"/>
          </w:tcPr>
          <w:p>
            <w:pPr>
              <w:spacing w:after="0"/>
              <w:rPr>
                <w:sz w:val="1"/>
                <w:szCs w:val="1"/>
                <w:color w:val="auto"/>
              </w:rPr>
            </w:pPr>
          </w:p>
        </w:tc>
      </w:tr>
      <w:tr>
        <w:trPr>
          <w:trHeight w:val="159"/>
        </w:trPr>
        <w:tc>
          <w:tcPr>
            <w:tcW w:w="3200" w:type="dxa"/>
            <w:vAlign w:val="bottom"/>
          </w:tcPr>
          <w:p>
            <w:pPr>
              <w:jc w:val="center"/>
              <w:spacing w:after="0"/>
              <w:rPr>
                <w:sz w:val="20"/>
                <w:szCs w:val="20"/>
                <w:color w:val="auto"/>
              </w:rPr>
            </w:pPr>
            <w:r>
              <w:rPr>
                <w:rFonts w:ascii="Arial" w:cs="Arial" w:eastAsia="Arial" w:hAnsi="Arial"/>
                <w:sz w:val="13"/>
                <w:szCs w:val="13"/>
                <w:color w:val="auto"/>
              </w:rPr>
              <w:t>Raman K. Chitkara</w:t>
            </w:r>
          </w:p>
        </w:tc>
        <w:tc>
          <w:tcPr>
            <w:tcW w:w="59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Isabelle F. Geday</w:t>
            </w:r>
          </w:p>
        </w:tc>
        <w:tc>
          <w:tcPr>
            <w:tcW w:w="5980" w:type="dxa"/>
            <w:vAlign w:val="bottom"/>
          </w:tcPr>
          <w:p>
            <w:pPr>
              <w:ind w:left="20"/>
              <w:spacing w:after="0"/>
              <w:rPr>
                <w:sz w:val="20"/>
                <w:szCs w:val="20"/>
                <w:color w:val="auto"/>
              </w:rPr>
            </w:pPr>
            <w:r>
              <w:rPr>
                <w:rFonts w:ascii="Arial" w:cs="Arial" w:eastAsia="Arial" w:hAnsi="Arial"/>
                <w:sz w:val="13"/>
                <w:szCs w:val="13"/>
                <w:color w:val="auto"/>
              </w:rPr>
              <w:t>Director</w:t>
            </w:r>
          </w:p>
        </w:tc>
        <w:tc>
          <w:tcPr>
            <w:tcW w:w="1960" w:type="dxa"/>
            <w:vAlign w:val="bottom"/>
          </w:tcPr>
          <w:p>
            <w:pPr>
              <w:jc w:val="center"/>
              <w:ind w:right="234"/>
              <w:spacing w:after="0"/>
              <w:rPr>
                <w:sz w:val="20"/>
                <w:szCs w:val="20"/>
                <w:color w:val="auto"/>
              </w:rPr>
            </w:pPr>
            <w:r>
              <w:rPr>
                <w:rFonts w:ascii="Arial" w:cs="Arial" w:eastAsia="Arial" w:hAnsi="Arial"/>
                <w:sz w:val="13"/>
                <w:szCs w:val="13"/>
                <w:color w:val="auto"/>
              </w:rPr>
              <w:t>March 7, 2022</w:t>
            </w:r>
          </w:p>
        </w:tc>
        <w:tc>
          <w:tcPr>
            <w:tcW w:w="0" w:type="dxa"/>
            <w:vAlign w:val="bottom"/>
          </w:tcPr>
          <w:p>
            <w:pPr>
              <w:spacing w:after="0"/>
              <w:rPr>
                <w:sz w:val="1"/>
                <w:szCs w:val="1"/>
                <w:color w:val="auto"/>
              </w:rPr>
            </w:pPr>
          </w:p>
        </w:tc>
      </w:tr>
      <w:tr>
        <w:trPr>
          <w:trHeight w:val="159"/>
        </w:trPr>
        <w:tc>
          <w:tcPr>
            <w:tcW w:w="3200" w:type="dxa"/>
            <w:vAlign w:val="bottom"/>
          </w:tcPr>
          <w:p>
            <w:pPr>
              <w:jc w:val="center"/>
              <w:spacing w:after="0"/>
              <w:rPr>
                <w:sz w:val="20"/>
                <w:szCs w:val="20"/>
                <w:color w:val="auto"/>
              </w:rPr>
            </w:pPr>
            <w:r>
              <w:rPr>
                <w:rFonts w:ascii="Arial" w:cs="Arial" w:eastAsia="Arial" w:hAnsi="Arial"/>
                <w:sz w:val="13"/>
                <w:szCs w:val="13"/>
                <w:color w:val="auto"/>
              </w:rPr>
              <w:t>Isabelle F. Geday</w:t>
            </w:r>
          </w:p>
        </w:tc>
        <w:tc>
          <w:tcPr>
            <w:tcW w:w="59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 Atiq Raza</w:t>
            </w:r>
          </w:p>
        </w:tc>
        <w:tc>
          <w:tcPr>
            <w:tcW w:w="5980" w:type="dxa"/>
            <w:vAlign w:val="bottom"/>
          </w:tcPr>
          <w:p>
            <w:pPr>
              <w:ind w:left="20"/>
              <w:spacing w:after="0"/>
              <w:rPr>
                <w:sz w:val="20"/>
                <w:szCs w:val="20"/>
                <w:color w:val="auto"/>
              </w:rPr>
            </w:pPr>
            <w:r>
              <w:rPr>
                <w:rFonts w:ascii="Arial" w:cs="Arial" w:eastAsia="Arial" w:hAnsi="Arial"/>
                <w:sz w:val="13"/>
                <w:szCs w:val="13"/>
                <w:color w:val="auto"/>
              </w:rPr>
              <w:t>Director</w:t>
            </w:r>
          </w:p>
        </w:tc>
        <w:tc>
          <w:tcPr>
            <w:tcW w:w="1960" w:type="dxa"/>
            <w:vAlign w:val="bottom"/>
          </w:tcPr>
          <w:p>
            <w:pPr>
              <w:jc w:val="center"/>
              <w:ind w:right="234"/>
              <w:spacing w:after="0"/>
              <w:rPr>
                <w:sz w:val="20"/>
                <w:szCs w:val="20"/>
                <w:color w:val="auto"/>
              </w:rPr>
            </w:pPr>
            <w:r>
              <w:rPr>
                <w:rFonts w:ascii="Arial" w:cs="Arial" w:eastAsia="Arial" w:hAnsi="Arial"/>
                <w:sz w:val="13"/>
                <w:szCs w:val="13"/>
                <w:color w:val="auto"/>
              </w:rPr>
              <w:t>March 7, 2022</w:t>
            </w:r>
          </w:p>
        </w:tc>
        <w:tc>
          <w:tcPr>
            <w:tcW w:w="0" w:type="dxa"/>
            <w:vAlign w:val="bottom"/>
          </w:tcPr>
          <w:p>
            <w:pPr>
              <w:spacing w:after="0"/>
              <w:rPr>
                <w:sz w:val="1"/>
                <w:szCs w:val="1"/>
                <w:color w:val="auto"/>
              </w:rPr>
            </w:pPr>
          </w:p>
        </w:tc>
      </w:tr>
      <w:tr>
        <w:trPr>
          <w:trHeight w:val="159"/>
        </w:trPr>
        <w:tc>
          <w:tcPr>
            <w:tcW w:w="3200" w:type="dxa"/>
            <w:vAlign w:val="bottom"/>
          </w:tcPr>
          <w:p>
            <w:pPr>
              <w:jc w:val="center"/>
              <w:spacing w:after="0"/>
              <w:rPr>
                <w:sz w:val="20"/>
                <w:szCs w:val="20"/>
                <w:color w:val="auto"/>
              </w:rPr>
            </w:pPr>
            <w:r>
              <w:rPr>
                <w:rFonts w:ascii="Arial" w:cs="Arial" w:eastAsia="Arial" w:hAnsi="Arial"/>
                <w:sz w:val="13"/>
                <w:szCs w:val="13"/>
                <w:color w:val="auto"/>
              </w:rPr>
              <w:t>S. Atiq Raza</w:t>
            </w:r>
          </w:p>
        </w:tc>
        <w:tc>
          <w:tcPr>
            <w:tcW w:w="59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Antonio J. Viana</w:t>
            </w:r>
          </w:p>
        </w:tc>
        <w:tc>
          <w:tcPr>
            <w:tcW w:w="5980" w:type="dxa"/>
            <w:vAlign w:val="bottom"/>
          </w:tcPr>
          <w:p>
            <w:pPr>
              <w:ind w:left="20"/>
              <w:spacing w:after="0"/>
              <w:rPr>
                <w:sz w:val="20"/>
                <w:szCs w:val="20"/>
                <w:color w:val="auto"/>
              </w:rPr>
            </w:pPr>
            <w:r>
              <w:rPr>
                <w:rFonts w:ascii="Arial" w:cs="Arial" w:eastAsia="Arial" w:hAnsi="Arial"/>
                <w:sz w:val="13"/>
                <w:szCs w:val="13"/>
                <w:color w:val="auto"/>
              </w:rPr>
              <w:t>Director</w:t>
            </w:r>
          </w:p>
        </w:tc>
        <w:tc>
          <w:tcPr>
            <w:tcW w:w="1960" w:type="dxa"/>
            <w:vAlign w:val="bottom"/>
          </w:tcPr>
          <w:p>
            <w:pPr>
              <w:jc w:val="center"/>
              <w:ind w:right="234"/>
              <w:spacing w:after="0"/>
              <w:rPr>
                <w:sz w:val="20"/>
                <w:szCs w:val="20"/>
                <w:color w:val="auto"/>
              </w:rPr>
            </w:pPr>
            <w:r>
              <w:rPr>
                <w:rFonts w:ascii="Arial" w:cs="Arial" w:eastAsia="Arial" w:hAnsi="Arial"/>
                <w:sz w:val="13"/>
                <w:szCs w:val="13"/>
                <w:color w:val="auto"/>
              </w:rPr>
              <w:t>March 7, 2022</w:t>
            </w:r>
          </w:p>
        </w:tc>
        <w:tc>
          <w:tcPr>
            <w:tcW w:w="0" w:type="dxa"/>
            <w:vAlign w:val="bottom"/>
          </w:tcPr>
          <w:p>
            <w:pPr>
              <w:spacing w:after="0"/>
              <w:rPr>
                <w:sz w:val="1"/>
                <w:szCs w:val="1"/>
                <w:color w:val="auto"/>
              </w:rPr>
            </w:pPr>
          </w:p>
        </w:tc>
      </w:tr>
      <w:tr>
        <w:trPr>
          <w:trHeight w:val="159"/>
        </w:trPr>
        <w:tc>
          <w:tcPr>
            <w:tcW w:w="3200" w:type="dxa"/>
            <w:vAlign w:val="bottom"/>
          </w:tcPr>
          <w:p>
            <w:pPr>
              <w:jc w:val="center"/>
              <w:spacing w:after="0"/>
              <w:rPr>
                <w:sz w:val="20"/>
                <w:szCs w:val="20"/>
                <w:color w:val="auto"/>
              </w:rPr>
            </w:pPr>
            <w:r>
              <w:rPr>
                <w:rFonts w:ascii="Arial" w:cs="Arial" w:eastAsia="Arial" w:hAnsi="Arial"/>
                <w:sz w:val="13"/>
                <w:szCs w:val="13"/>
                <w:color w:val="auto"/>
              </w:rPr>
              <w:t>Antonio J. Viana</w:t>
            </w:r>
          </w:p>
        </w:tc>
        <w:tc>
          <w:tcPr>
            <w:tcW w:w="59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9"/>
        </w:trPr>
        <w:tc>
          <w:tcPr>
            <w:tcW w:w="3200" w:type="dxa"/>
            <w:vAlign w:val="bottom"/>
          </w:tcPr>
          <w:p>
            <w:pPr>
              <w:spacing w:after="0"/>
              <w:rPr>
                <w:sz w:val="24"/>
                <w:szCs w:val="24"/>
                <w:color w:val="auto"/>
              </w:rPr>
            </w:pPr>
          </w:p>
        </w:tc>
        <w:tc>
          <w:tcPr>
            <w:tcW w:w="5980" w:type="dxa"/>
            <w:vAlign w:val="bottom"/>
          </w:tcPr>
          <w:p>
            <w:pPr>
              <w:ind w:left="2340"/>
              <w:spacing w:after="0"/>
              <w:rPr>
                <w:sz w:val="20"/>
                <w:szCs w:val="20"/>
                <w:color w:val="auto"/>
              </w:rPr>
            </w:pPr>
            <w:r>
              <w:rPr>
                <w:rFonts w:ascii="Arial" w:cs="Arial" w:eastAsia="Arial" w:hAnsi="Arial"/>
                <w:sz w:val="13"/>
                <w:szCs w:val="13"/>
                <w:color w:val="auto"/>
              </w:rPr>
              <w:t>115</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Subsidiaries of Arteris, Inc.</w:t>
      </w:r>
    </w:p>
    <w:p>
      <w:pPr>
        <w:sectPr>
          <w:pgSz w:w="11900" w:h="16838" w:orient="portrait"/>
          <w:cols w:equalWidth="0" w:num="1">
            <w:col w:w="10800"/>
          </w:cols>
          <w:pgMar w:left="780" w:top="145" w:right="31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Name of Subsidiary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Arteris Semiconductor Technology (Nanjing) Co., Ltd.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Transchip Technology (Nanjing) Co., Ltd.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Arteris IP Korea Limited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Arteris K.K.</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Arteris IP, SAS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Resident Representative Office of Foreign (Region) Enterprise in China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Arteris HK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Jurisdiction of Organization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Korea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Japan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Hong Kong</w:t>
      </w:r>
    </w:p>
    <w:p>
      <w:pPr>
        <w:sectPr>
          <w:pgSz w:w="11900" w:h="16838" w:orient="portrait"/>
          <w:cols w:equalWidth="0" w:num="2">
            <w:col w:w="6560" w:space="720"/>
            <w:col w:w="3520"/>
          </w:cols>
          <w:pgMar w:left="780" w:top="145" w:right="31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4"/>
          <w:szCs w:val="14"/>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We consent to the incorporation by reference in the Registration Statement on Form S-8 (No. 333-260620) of Arteris, Inc. of our report dated March 7, 2022, relating to the consolidated financial statements of Arteris, Inc. which appears in this Annual Report on Form 10-K for the year ended December 31, 2021.</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/s/ Moss Adams LLP</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rPr>
          <w:sz w:val="20"/>
          <w:szCs w:val="20"/>
          <w:color w:val="auto"/>
        </w:rPr>
      </w:pPr>
      <w:r>
        <w:rPr>
          <w:rFonts w:ascii="Arial" w:cs="Arial" w:eastAsia="Arial" w:hAnsi="Arial"/>
          <w:sz w:val="14"/>
          <w:szCs w:val="14"/>
          <w:color w:val="auto"/>
        </w:rPr>
        <w:t>March 7, 2022</w:t>
      </w:r>
    </w:p>
    <w:p>
      <w:pPr>
        <w:sectPr>
          <w:pgSz w:w="11900" w:h="16838" w:orient="portrait"/>
          <w:cols w:equalWidth="0" w:num="1">
            <w:col w:w="11280"/>
          </w:cols>
          <w:pgMar w:left="300" w:top="140" w:right="3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jc w:val="center"/>
        <w:spacing w:after="0" w:line="205" w:lineRule="auto"/>
        <w:rPr>
          <w:sz w:val="20"/>
          <w:szCs w:val="20"/>
          <w:color w:val="auto"/>
        </w:rPr>
      </w:pPr>
      <w:r>
        <w:rPr>
          <w:rFonts w:ascii="Arial" w:cs="Arial" w:eastAsia="Arial" w:hAnsi="Arial"/>
          <w:sz w:val="14"/>
          <w:szCs w:val="14"/>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4"/>
          <w:szCs w:val="14"/>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I, K. Charles Janac, certify that:</w:t>
      </w:r>
    </w:p>
    <w:p>
      <w:pPr>
        <w:spacing w:after="0" w:line="41" w:lineRule="exact"/>
        <w:rPr>
          <w:sz w:val="20"/>
          <w:szCs w:val="20"/>
          <w:color w:val="auto"/>
        </w:rPr>
      </w:pPr>
    </w:p>
    <w:p>
      <w:pPr>
        <w:ind w:left="640" w:hanging="618"/>
        <w:spacing w:after="0"/>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Arteris, Inc.;</w:t>
      </w:r>
    </w:p>
    <w:p>
      <w:pPr>
        <w:spacing w:after="0" w:line="114" w:lineRule="exact"/>
        <w:rPr>
          <w:rFonts w:ascii="Arial" w:cs="Arial" w:eastAsia="Arial" w:hAnsi="Arial"/>
          <w:sz w:val="14"/>
          <w:szCs w:val="14"/>
          <w:color w:val="auto"/>
        </w:rPr>
      </w:pPr>
    </w:p>
    <w:p>
      <w:pPr>
        <w:ind w:left="640" w:right="600" w:hanging="618"/>
        <w:spacing w:after="0" w:line="236"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4"/>
          <w:szCs w:val="14"/>
          <w:color w:val="auto"/>
        </w:rPr>
      </w:pPr>
    </w:p>
    <w:p>
      <w:pPr>
        <w:ind w:left="640" w:right="80" w:hanging="618"/>
        <w:spacing w:after="0" w:line="236"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Arial" w:cs="Arial" w:eastAsia="Arial" w:hAnsi="Arial"/>
          <w:sz w:val="14"/>
          <w:szCs w:val="14"/>
          <w:color w:val="auto"/>
        </w:rPr>
      </w:pPr>
    </w:p>
    <w:p>
      <w:pPr>
        <w:ind w:left="640" w:right="120" w:hanging="618"/>
        <w:spacing w:after="0" w:line="236"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97" w:lineRule="exact"/>
        <w:rPr>
          <w:rFonts w:ascii="Arial" w:cs="Arial" w:eastAsia="Arial" w:hAnsi="Arial"/>
          <w:sz w:val="14"/>
          <w:szCs w:val="14"/>
          <w:color w:val="auto"/>
        </w:rPr>
      </w:pPr>
    </w:p>
    <w:p>
      <w:pPr>
        <w:jc w:val="both"/>
        <w:ind w:left="1260" w:right="120" w:hanging="622"/>
        <w:spacing w:after="0" w:line="226" w:lineRule="auto"/>
        <w:tabs>
          <w:tab w:leader="none" w:pos="12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4"/>
          <w:szCs w:val="14"/>
          <w:color w:val="auto"/>
        </w:rPr>
      </w:pPr>
    </w:p>
    <w:p>
      <w:pPr>
        <w:ind w:left="1260" w:hanging="622"/>
        <w:spacing w:after="0"/>
        <w:tabs>
          <w:tab w:leader="none" w:pos="12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[omitted];</w:t>
      </w:r>
    </w:p>
    <w:p>
      <w:pPr>
        <w:spacing w:after="0" w:line="19" w:lineRule="exact"/>
        <w:rPr>
          <w:rFonts w:ascii="Arial" w:cs="Arial" w:eastAsia="Arial" w:hAnsi="Arial"/>
          <w:sz w:val="14"/>
          <w:szCs w:val="14"/>
          <w:color w:val="auto"/>
        </w:rPr>
      </w:pPr>
    </w:p>
    <w:p>
      <w:pPr>
        <w:ind w:left="1260" w:right="180" w:hanging="622"/>
        <w:spacing w:after="0" w:line="236" w:lineRule="auto"/>
        <w:tabs>
          <w:tab w:leader="none" w:pos="12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4"/>
          <w:szCs w:val="14"/>
          <w:color w:val="auto"/>
        </w:rPr>
      </w:pPr>
    </w:p>
    <w:p>
      <w:pPr>
        <w:ind w:left="1260" w:right="340" w:hanging="622"/>
        <w:spacing w:after="0" w:line="226" w:lineRule="auto"/>
        <w:tabs>
          <w:tab w:leader="none" w:pos="12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4"/>
          <w:szCs w:val="14"/>
          <w:color w:val="auto"/>
        </w:rPr>
      </w:pPr>
    </w:p>
    <w:p>
      <w:pPr>
        <w:ind w:left="640" w:right="280" w:hanging="618"/>
        <w:spacing w:after="0" w:line="236"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4"/>
          <w:szCs w:val="14"/>
          <w:color w:val="auto"/>
        </w:rPr>
      </w:pPr>
    </w:p>
    <w:p>
      <w:pPr>
        <w:ind w:left="1260" w:right="280" w:hanging="622"/>
        <w:spacing w:after="0" w:line="236" w:lineRule="auto"/>
        <w:tabs>
          <w:tab w:leader="none" w:pos="12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4"/>
          <w:szCs w:val="14"/>
          <w:color w:val="auto"/>
        </w:rPr>
      </w:pPr>
    </w:p>
    <w:p>
      <w:pPr>
        <w:ind w:left="1260" w:hanging="622"/>
        <w:spacing w:after="0"/>
        <w:tabs>
          <w:tab w:leader="none" w:pos="1260" w:val="left"/>
        </w:tabs>
        <w:numPr>
          <w:ilvl w:val="1"/>
          <w:numId w:val="4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4860" w:val="left"/>
          <w:tab w:leader="none" w:pos="7680" w:val="left"/>
        </w:tabs>
        <w:rPr>
          <w:sz w:val="20"/>
          <w:szCs w:val="20"/>
          <w:color w:val="auto"/>
        </w:rPr>
      </w:pPr>
      <w:r>
        <w:rPr>
          <w:rFonts w:ascii="Arial" w:cs="Arial" w:eastAsia="Arial" w:hAnsi="Arial"/>
          <w:sz w:val="14"/>
          <w:szCs w:val="14"/>
          <w:color w:val="auto"/>
        </w:rPr>
        <w:t>Date: March 7,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K. Charles Janac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12065</wp:posOffset>
            </wp:positionV>
            <wp:extent cx="341566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3415665" cy="6985"/>
                    </a:xfrm>
                    <a:prstGeom prst="rect">
                      <a:avLst/>
                    </a:prstGeom>
                    <a:noFill/>
                  </pic:spPr>
                </pic:pic>
              </a:graphicData>
            </a:graphic>
          </wp:anchor>
        </w:drawing>
      </w:r>
    </w:p>
    <w:p>
      <w:pPr>
        <w:spacing w:after="0" w:line="10"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K. Charles Janac</w:t>
      </w:r>
    </w:p>
    <w:p>
      <w:pPr>
        <w:spacing w:after="0" w:line="8" w:lineRule="exact"/>
        <w:rPr>
          <w:sz w:val="20"/>
          <w:szCs w:val="20"/>
          <w:color w:val="auto"/>
        </w:rPr>
      </w:pPr>
    </w:p>
    <w:p>
      <w:pPr>
        <w:ind w:left="7180"/>
        <w:spacing w:after="0"/>
        <w:rPr>
          <w:sz w:val="20"/>
          <w:szCs w:val="20"/>
          <w:color w:val="auto"/>
        </w:rPr>
      </w:pPr>
      <w:r>
        <w:rPr>
          <w:rFonts w:ascii="Arial" w:cs="Arial" w:eastAsia="Arial" w:hAnsi="Arial"/>
          <w:sz w:val="14"/>
          <w:szCs w:val="14"/>
          <w:color w:val="auto"/>
        </w:rPr>
        <w:t>President and Chief Executive Officer</w:t>
      </w:r>
    </w:p>
    <w:p>
      <w:pPr>
        <w:ind w:left="744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114" w:right="3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jc w:val="center"/>
        <w:spacing w:after="0" w:line="205" w:lineRule="auto"/>
        <w:rPr>
          <w:sz w:val="20"/>
          <w:szCs w:val="20"/>
          <w:color w:val="auto"/>
        </w:rPr>
      </w:pPr>
      <w:r>
        <w:rPr>
          <w:rFonts w:ascii="Arial" w:cs="Arial" w:eastAsia="Arial" w:hAnsi="Arial"/>
          <w:sz w:val="14"/>
          <w:szCs w:val="14"/>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4"/>
          <w:szCs w:val="14"/>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I, Nicholas B. Hawkins, certify that:</w:t>
      </w:r>
    </w:p>
    <w:p>
      <w:pPr>
        <w:spacing w:after="0" w:line="41" w:lineRule="exact"/>
        <w:rPr>
          <w:sz w:val="20"/>
          <w:szCs w:val="20"/>
          <w:color w:val="auto"/>
        </w:rPr>
      </w:pPr>
    </w:p>
    <w:p>
      <w:pPr>
        <w:ind w:left="640" w:hanging="618"/>
        <w:spacing w:after="0"/>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Arteris, Inc.;</w:t>
      </w:r>
    </w:p>
    <w:p>
      <w:pPr>
        <w:spacing w:after="0" w:line="114" w:lineRule="exact"/>
        <w:rPr>
          <w:rFonts w:ascii="Arial" w:cs="Arial" w:eastAsia="Arial" w:hAnsi="Arial"/>
          <w:sz w:val="14"/>
          <w:szCs w:val="14"/>
          <w:color w:val="auto"/>
        </w:rPr>
      </w:pPr>
    </w:p>
    <w:p>
      <w:pPr>
        <w:ind w:left="640" w:right="600" w:hanging="618"/>
        <w:spacing w:after="0" w:line="236"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4"/>
          <w:szCs w:val="14"/>
          <w:color w:val="auto"/>
        </w:rPr>
      </w:pPr>
    </w:p>
    <w:p>
      <w:pPr>
        <w:ind w:left="640" w:right="80" w:hanging="618"/>
        <w:spacing w:after="0" w:line="236"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Arial" w:cs="Arial" w:eastAsia="Arial" w:hAnsi="Arial"/>
          <w:sz w:val="14"/>
          <w:szCs w:val="14"/>
          <w:color w:val="auto"/>
        </w:rPr>
      </w:pPr>
    </w:p>
    <w:p>
      <w:pPr>
        <w:ind w:left="640" w:right="120" w:hanging="618"/>
        <w:spacing w:after="0" w:line="236"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97" w:lineRule="exact"/>
        <w:rPr>
          <w:rFonts w:ascii="Arial" w:cs="Arial" w:eastAsia="Arial" w:hAnsi="Arial"/>
          <w:sz w:val="14"/>
          <w:szCs w:val="14"/>
          <w:color w:val="auto"/>
        </w:rPr>
      </w:pPr>
    </w:p>
    <w:p>
      <w:pPr>
        <w:jc w:val="both"/>
        <w:ind w:left="1260" w:right="120" w:hanging="622"/>
        <w:spacing w:after="0" w:line="226" w:lineRule="auto"/>
        <w:tabs>
          <w:tab w:leader="none" w:pos="1260" w:val="left"/>
        </w:tabs>
        <w:numPr>
          <w:ilvl w:val="1"/>
          <w:numId w:val="4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4"/>
          <w:szCs w:val="14"/>
          <w:color w:val="auto"/>
        </w:rPr>
      </w:pPr>
    </w:p>
    <w:p>
      <w:pPr>
        <w:ind w:left="1260" w:hanging="622"/>
        <w:spacing w:after="0"/>
        <w:tabs>
          <w:tab w:leader="none" w:pos="1260" w:val="left"/>
        </w:tabs>
        <w:numPr>
          <w:ilvl w:val="1"/>
          <w:numId w:val="47"/>
        </w:numPr>
        <w:rPr>
          <w:rFonts w:ascii="Arial" w:cs="Arial" w:eastAsia="Arial" w:hAnsi="Arial"/>
          <w:sz w:val="14"/>
          <w:szCs w:val="14"/>
          <w:color w:val="auto"/>
        </w:rPr>
      </w:pPr>
      <w:r>
        <w:rPr>
          <w:rFonts w:ascii="Arial" w:cs="Arial" w:eastAsia="Arial" w:hAnsi="Arial"/>
          <w:sz w:val="14"/>
          <w:szCs w:val="14"/>
          <w:color w:val="auto"/>
        </w:rPr>
        <w:t>[omitted];</w:t>
      </w:r>
    </w:p>
    <w:p>
      <w:pPr>
        <w:spacing w:after="0" w:line="19" w:lineRule="exact"/>
        <w:rPr>
          <w:rFonts w:ascii="Arial" w:cs="Arial" w:eastAsia="Arial" w:hAnsi="Arial"/>
          <w:sz w:val="14"/>
          <w:szCs w:val="14"/>
          <w:color w:val="auto"/>
        </w:rPr>
      </w:pPr>
    </w:p>
    <w:p>
      <w:pPr>
        <w:ind w:left="1260" w:right="180" w:hanging="622"/>
        <w:spacing w:after="0" w:line="236" w:lineRule="auto"/>
        <w:tabs>
          <w:tab w:leader="none" w:pos="1260" w:val="left"/>
        </w:tabs>
        <w:numPr>
          <w:ilvl w:val="1"/>
          <w:numId w:val="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4"/>
          <w:szCs w:val="14"/>
          <w:color w:val="auto"/>
        </w:rPr>
      </w:pPr>
    </w:p>
    <w:p>
      <w:pPr>
        <w:ind w:left="1260" w:right="340" w:hanging="622"/>
        <w:spacing w:after="0" w:line="226" w:lineRule="auto"/>
        <w:tabs>
          <w:tab w:leader="none" w:pos="1260" w:val="left"/>
        </w:tabs>
        <w:numPr>
          <w:ilvl w:val="1"/>
          <w:numId w:val="4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4"/>
          <w:szCs w:val="14"/>
          <w:color w:val="auto"/>
        </w:rPr>
      </w:pPr>
    </w:p>
    <w:p>
      <w:pPr>
        <w:ind w:left="640" w:right="280" w:hanging="618"/>
        <w:spacing w:after="0" w:line="236"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4"/>
          <w:szCs w:val="14"/>
          <w:color w:val="auto"/>
        </w:rPr>
      </w:pPr>
    </w:p>
    <w:p>
      <w:pPr>
        <w:ind w:left="1260" w:right="280" w:hanging="622"/>
        <w:spacing w:after="0" w:line="236" w:lineRule="auto"/>
        <w:tabs>
          <w:tab w:leader="none" w:pos="1260" w:val="left"/>
        </w:tabs>
        <w:numPr>
          <w:ilvl w:val="1"/>
          <w:numId w:val="4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4"/>
          <w:szCs w:val="14"/>
          <w:color w:val="auto"/>
        </w:rPr>
      </w:pPr>
    </w:p>
    <w:p>
      <w:pPr>
        <w:ind w:left="1260" w:hanging="622"/>
        <w:spacing w:after="0"/>
        <w:tabs>
          <w:tab w:leader="none" w:pos="1260" w:val="left"/>
        </w:tabs>
        <w:numPr>
          <w:ilvl w:val="1"/>
          <w:numId w:val="4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40"/>
        <w:spacing w:after="0"/>
        <w:tabs>
          <w:tab w:leader="none" w:pos="5220" w:val="left"/>
          <w:tab w:leader="none" w:pos="7740" w:val="left"/>
        </w:tabs>
        <w:rPr>
          <w:sz w:val="20"/>
          <w:szCs w:val="20"/>
          <w:color w:val="auto"/>
        </w:rPr>
      </w:pPr>
      <w:r>
        <w:rPr>
          <w:rFonts w:ascii="Arial" w:cs="Arial" w:eastAsia="Arial" w:hAnsi="Arial"/>
          <w:sz w:val="14"/>
          <w:szCs w:val="14"/>
          <w:color w:val="auto"/>
        </w:rPr>
        <w:t>Date: March 7,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Nicholas B.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12065</wp:posOffset>
            </wp:positionV>
            <wp:extent cx="343598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3435985" cy="6985"/>
                    </a:xfrm>
                    <a:prstGeom prst="rect">
                      <a:avLst/>
                    </a:prstGeom>
                    <a:noFill/>
                  </pic:spPr>
                </pic:pic>
              </a:graphicData>
            </a:graphic>
          </wp:anchor>
        </w:drawing>
      </w:r>
    </w:p>
    <w:p>
      <w:pPr>
        <w:spacing w:after="0" w:line="10" w:lineRule="exact"/>
        <w:rPr>
          <w:sz w:val="20"/>
          <w:szCs w:val="20"/>
          <w:color w:val="auto"/>
        </w:rPr>
      </w:pPr>
    </w:p>
    <w:p>
      <w:pPr>
        <w:ind w:left="7840"/>
        <w:spacing w:after="0"/>
        <w:rPr>
          <w:sz w:val="20"/>
          <w:szCs w:val="20"/>
          <w:color w:val="auto"/>
        </w:rPr>
      </w:pPr>
      <w:r>
        <w:rPr>
          <w:rFonts w:ascii="Arial" w:cs="Arial" w:eastAsia="Arial" w:hAnsi="Arial"/>
          <w:sz w:val="14"/>
          <w:szCs w:val="14"/>
          <w:color w:val="auto"/>
        </w:rPr>
        <w:t>Nicholas B. Hawkins</w:t>
      </w:r>
    </w:p>
    <w:p>
      <w:pPr>
        <w:spacing w:after="0" w:line="62"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Vice President and Chief Financial Officer</w:t>
      </w:r>
    </w:p>
    <w:p>
      <w:pPr>
        <w:spacing w:after="0" w:line="19" w:lineRule="exact"/>
        <w:rPr>
          <w:sz w:val="20"/>
          <w:szCs w:val="20"/>
          <w:color w:val="auto"/>
        </w:rPr>
      </w:pPr>
    </w:p>
    <w:p>
      <w:pPr>
        <w:ind w:left="7180"/>
        <w:spacing w:after="0"/>
        <w:rPr>
          <w:sz w:val="20"/>
          <w:szCs w:val="20"/>
          <w:color w:val="auto"/>
        </w:rPr>
      </w:pPr>
      <w:r>
        <w:rPr>
          <w:rFonts w:ascii="Arial" w:cs="Arial" w:eastAsia="Arial" w:hAnsi="Arial"/>
          <w:sz w:val="14"/>
          <w:szCs w:val="14"/>
          <w:color w:val="auto"/>
        </w:rPr>
        <w:t>(Principal Financial and Accounting Officer)</w:t>
      </w:r>
    </w:p>
    <w:p>
      <w:pPr>
        <w:sectPr>
          <w:pgSz w:w="11900" w:h="16838" w:orient="portrait"/>
          <w:cols w:equalWidth="0" w:num="1">
            <w:col w:w="11280"/>
          </w:cols>
          <w:pgMar w:left="300" w:top="115" w:right="3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ind w:left="3860"/>
        <w:spacing w:after="0" w:line="205" w:lineRule="auto"/>
        <w:rPr>
          <w:sz w:val="20"/>
          <w:szCs w:val="20"/>
          <w:color w:val="auto"/>
        </w:rPr>
      </w:pPr>
      <w:r>
        <w:rPr>
          <w:rFonts w:ascii="Arial" w:cs="Arial" w:eastAsia="Arial" w:hAnsi="Arial"/>
          <w:sz w:val="14"/>
          <w:szCs w:val="14"/>
          <w:b w:val="1"/>
          <w:bCs w:val="1"/>
          <w:color w:val="auto"/>
        </w:rPr>
        <w:t>18 U.S.C. SECTION 1350, AS ADOPTED PURSUANT TO</w:t>
      </w:r>
    </w:p>
    <w:p>
      <w:pPr>
        <w:ind w:left="380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92" w:lineRule="exact"/>
        <w:rPr>
          <w:sz w:val="20"/>
          <w:szCs w:val="20"/>
          <w:color w:val="auto"/>
        </w:rPr>
      </w:pPr>
    </w:p>
    <w:p>
      <w:pPr>
        <w:ind w:right="320"/>
        <w:spacing w:after="0" w:line="236" w:lineRule="auto"/>
        <w:rPr>
          <w:sz w:val="20"/>
          <w:szCs w:val="20"/>
          <w:color w:val="auto"/>
        </w:rPr>
      </w:pPr>
      <w:r>
        <w:rPr>
          <w:rFonts w:ascii="Arial" w:cs="Arial" w:eastAsia="Arial" w:hAnsi="Arial"/>
          <w:sz w:val="14"/>
          <w:szCs w:val="14"/>
          <w:color w:val="auto"/>
        </w:rPr>
        <w:t>In connection with the Annual Report of Arteris, Inc. (the “Company”) on Form 10-K for the period ended December 31, 2021 as filed with the Securities and Exchange Commission on the date hereof (the “Report”), I certify, pursuant to 18 U.S.C. § 1350, as adopted pursuant to § 906 of the Sarbanes-Oxley Act of 2002, that:</w:t>
      </w:r>
    </w:p>
    <w:p>
      <w:pPr>
        <w:spacing w:after="0" w:line="129" w:lineRule="exact"/>
        <w:rPr>
          <w:sz w:val="20"/>
          <w:szCs w:val="20"/>
          <w:color w:val="auto"/>
        </w:rPr>
      </w:pPr>
    </w:p>
    <w:p>
      <w:pPr>
        <w:ind w:left="900" w:hanging="443"/>
        <w:spacing w:after="0"/>
        <w:tabs>
          <w:tab w:leader="none" w:pos="9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14" w:lineRule="exact"/>
        <w:rPr>
          <w:rFonts w:ascii="Arial" w:cs="Arial" w:eastAsia="Arial" w:hAnsi="Arial"/>
          <w:sz w:val="14"/>
          <w:szCs w:val="14"/>
          <w:color w:val="auto"/>
        </w:rPr>
      </w:pPr>
    </w:p>
    <w:p>
      <w:pPr>
        <w:ind w:left="900" w:hanging="443"/>
        <w:spacing w:after="0"/>
        <w:tabs>
          <w:tab w:leader="none" w:pos="9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March 7, 2022</w:t>
      </w:r>
    </w:p>
    <w:p>
      <w:pPr>
        <w:spacing w:after="0" w:line="19" w:lineRule="exact"/>
        <w:rPr>
          <w:sz w:val="20"/>
          <w:szCs w:val="20"/>
          <w:color w:val="auto"/>
        </w:rPr>
      </w:pPr>
    </w:p>
    <w:p>
      <w:pPr>
        <w:ind w:left="6060"/>
        <w:spacing w:after="0"/>
        <w:tabs>
          <w:tab w:leader="none" w:pos="84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K. Charles Janac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12065</wp:posOffset>
            </wp:positionV>
            <wp:extent cx="287655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2876550" cy="6985"/>
                    </a:xfrm>
                    <a:prstGeom prst="rect">
                      <a:avLst/>
                    </a:prstGeom>
                    <a:noFill/>
                  </pic:spPr>
                </pic:pic>
              </a:graphicData>
            </a:graphic>
          </wp:anchor>
        </w:drawing>
      </w:r>
    </w:p>
    <w:p>
      <w:pPr>
        <w:spacing w:after="0" w:line="10" w:lineRule="exact"/>
        <w:rPr>
          <w:sz w:val="20"/>
          <w:szCs w:val="20"/>
          <w:color w:val="auto"/>
        </w:rPr>
      </w:pPr>
    </w:p>
    <w:p>
      <w:pPr>
        <w:jc w:val="center"/>
        <w:ind w:left="6720"/>
        <w:spacing w:after="0"/>
        <w:rPr>
          <w:sz w:val="20"/>
          <w:szCs w:val="20"/>
          <w:color w:val="auto"/>
        </w:rPr>
      </w:pPr>
      <w:r>
        <w:rPr>
          <w:rFonts w:ascii="Arial" w:cs="Arial" w:eastAsia="Arial" w:hAnsi="Arial"/>
          <w:sz w:val="14"/>
          <w:szCs w:val="14"/>
          <w:color w:val="auto"/>
        </w:rPr>
        <w:t>K. Charles Janac</w:t>
      </w:r>
    </w:p>
    <w:p>
      <w:pPr>
        <w:spacing w:after="0" w:line="19" w:lineRule="exact"/>
        <w:rPr>
          <w:sz w:val="20"/>
          <w:szCs w:val="20"/>
          <w:color w:val="auto"/>
        </w:rPr>
      </w:pPr>
    </w:p>
    <w:p>
      <w:pPr>
        <w:jc w:val="center"/>
        <w:ind w:left="6720"/>
        <w:spacing w:after="0"/>
        <w:rPr>
          <w:sz w:val="20"/>
          <w:szCs w:val="20"/>
          <w:color w:val="auto"/>
        </w:rPr>
      </w:pPr>
      <w:r>
        <w:rPr>
          <w:rFonts w:ascii="Arial" w:cs="Arial" w:eastAsia="Arial" w:hAnsi="Arial"/>
          <w:sz w:val="14"/>
          <w:szCs w:val="14"/>
          <w:color w:val="auto"/>
        </w:rPr>
        <w:t>President and Chief Executive Officer</w:t>
      </w:r>
    </w:p>
    <w:p>
      <w:pPr>
        <w:spacing w:after="0" w:line="19" w:lineRule="exact"/>
        <w:rPr>
          <w:sz w:val="20"/>
          <w:szCs w:val="20"/>
          <w:color w:val="auto"/>
        </w:rPr>
      </w:pPr>
    </w:p>
    <w:p>
      <w:pPr>
        <w:jc w:val="center"/>
        <w:ind w:left="672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114" w:right="3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ind w:left="3860"/>
        <w:spacing w:after="0" w:line="205" w:lineRule="auto"/>
        <w:rPr>
          <w:sz w:val="20"/>
          <w:szCs w:val="20"/>
          <w:color w:val="auto"/>
        </w:rPr>
      </w:pPr>
      <w:r>
        <w:rPr>
          <w:rFonts w:ascii="Arial" w:cs="Arial" w:eastAsia="Arial" w:hAnsi="Arial"/>
          <w:sz w:val="14"/>
          <w:szCs w:val="14"/>
          <w:b w:val="1"/>
          <w:bCs w:val="1"/>
          <w:color w:val="auto"/>
        </w:rPr>
        <w:t>18 U.S.C. SECTION 1350, AS ADOPTED PURSUANT TO</w:t>
      </w:r>
    </w:p>
    <w:p>
      <w:pPr>
        <w:ind w:left="380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92" w:lineRule="exact"/>
        <w:rPr>
          <w:sz w:val="20"/>
          <w:szCs w:val="20"/>
          <w:color w:val="auto"/>
        </w:rPr>
      </w:pPr>
    </w:p>
    <w:p>
      <w:pPr>
        <w:ind w:right="320"/>
        <w:spacing w:after="0" w:line="236" w:lineRule="auto"/>
        <w:rPr>
          <w:sz w:val="20"/>
          <w:szCs w:val="20"/>
          <w:color w:val="auto"/>
        </w:rPr>
      </w:pPr>
      <w:r>
        <w:rPr>
          <w:rFonts w:ascii="Arial" w:cs="Arial" w:eastAsia="Arial" w:hAnsi="Arial"/>
          <w:sz w:val="14"/>
          <w:szCs w:val="14"/>
          <w:color w:val="auto"/>
        </w:rPr>
        <w:t>In connection with the Annual Report of Arteris, Inc. (the “Company”) on Form 10-K for the period ended December 31, 2021 as filed with the Securities and Exchange Commission on the date hereof (the “Report”), I certify, pursuant to 18 U.S.C. § 1350, as adopted pursuant to § 906 of the Sarbanes-Oxley Act of 2002, that:</w:t>
      </w:r>
    </w:p>
    <w:p>
      <w:pPr>
        <w:spacing w:after="0" w:line="129" w:lineRule="exact"/>
        <w:rPr>
          <w:sz w:val="20"/>
          <w:szCs w:val="20"/>
          <w:color w:val="auto"/>
        </w:rPr>
      </w:pPr>
    </w:p>
    <w:p>
      <w:pPr>
        <w:ind w:left="900" w:hanging="443"/>
        <w:spacing w:after="0"/>
        <w:tabs>
          <w:tab w:leader="none" w:pos="9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14" w:lineRule="exact"/>
        <w:rPr>
          <w:rFonts w:ascii="Arial" w:cs="Arial" w:eastAsia="Arial" w:hAnsi="Arial"/>
          <w:sz w:val="14"/>
          <w:szCs w:val="14"/>
          <w:color w:val="auto"/>
        </w:rPr>
      </w:pPr>
    </w:p>
    <w:p>
      <w:pPr>
        <w:ind w:left="900" w:hanging="443"/>
        <w:spacing w:after="0"/>
        <w:tabs>
          <w:tab w:leader="none" w:pos="9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March 7, 2022</w:t>
      </w:r>
    </w:p>
    <w:p>
      <w:pPr>
        <w:spacing w:after="0" w:line="19" w:lineRule="exact"/>
        <w:rPr>
          <w:sz w:val="20"/>
          <w:szCs w:val="20"/>
          <w:color w:val="auto"/>
        </w:rPr>
      </w:pPr>
    </w:p>
    <w:p>
      <w:pPr>
        <w:ind w:left="6060"/>
        <w:spacing w:after="0"/>
        <w:tabs>
          <w:tab w:leader="none" w:pos="82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Nicholas B.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4247515</wp:posOffset>
            </wp:positionH>
            <wp:positionV relativeFrom="paragraph">
              <wp:posOffset>12065</wp:posOffset>
            </wp:positionV>
            <wp:extent cx="287655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2876550" cy="6985"/>
                    </a:xfrm>
                    <a:prstGeom prst="rect">
                      <a:avLst/>
                    </a:prstGeom>
                    <a:noFill/>
                  </pic:spPr>
                </pic:pic>
              </a:graphicData>
            </a:graphic>
          </wp:anchor>
        </w:drawing>
      </w:r>
    </w:p>
    <w:p>
      <w:pPr>
        <w:spacing w:after="0" w:line="10" w:lineRule="exact"/>
        <w:rPr>
          <w:sz w:val="20"/>
          <w:szCs w:val="20"/>
          <w:color w:val="auto"/>
        </w:rPr>
      </w:pPr>
    </w:p>
    <w:p>
      <w:pPr>
        <w:jc w:val="center"/>
        <w:ind w:left="6600"/>
        <w:spacing w:after="0"/>
        <w:rPr>
          <w:sz w:val="20"/>
          <w:szCs w:val="20"/>
          <w:color w:val="auto"/>
        </w:rPr>
      </w:pPr>
      <w:r>
        <w:rPr>
          <w:rFonts w:ascii="Arial" w:cs="Arial" w:eastAsia="Arial" w:hAnsi="Arial"/>
          <w:sz w:val="14"/>
          <w:szCs w:val="14"/>
          <w:color w:val="auto"/>
        </w:rPr>
        <w:t>Nicholas B. Hawkins</w:t>
      </w:r>
    </w:p>
    <w:p>
      <w:pPr>
        <w:spacing w:after="0" w:line="19" w:lineRule="exact"/>
        <w:rPr>
          <w:sz w:val="20"/>
          <w:szCs w:val="20"/>
          <w:color w:val="auto"/>
        </w:rPr>
      </w:pPr>
    </w:p>
    <w:p>
      <w:pPr>
        <w:jc w:val="center"/>
        <w:ind w:left="6600"/>
        <w:spacing w:after="0"/>
        <w:rPr>
          <w:sz w:val="20"/>
          <w:szCs w:val="20"/>
          <w:color w:val="auto"/>
        </w:rPr>
      </w:pPr>
      <w:r>
        <w:rPr>
          <w:rFonts w:ascii="Arial" w:cs="Arial" w:eastAsia="Arial" w:hAnsi="Arial"/>
          <w:sz w:val="14"/>
          <w:szCs w:val="14"/>
          <w:color w:val="auto"/>
        </w:rPr>
        <w:t>Vice President and Chief Financial Officer</w:t>
      </w:r>
    </w:p>
    <w:p>
      <w:pPr>
        <w:spacing w:after="0" w:line="19" w:lineRule="exact"/>
        <w:rPr>
          <w:sz w:val="20"/>
          <w:szCs w:val="20"/>
          <w:color w:val="auto"/>
        </w:rPr>
      </w:pPr>
    </w:p>
    <w:p>
      <w:pPr>
        <w:jc w:val="center"/>
        <w:ind w:left="6600"/>
        <w:spacing w:after="0"/>
        <w:rPr>
          <w:sz w:val="20"/>
          <w:szCs w:val="20"/>
          <w:color w:val="auto"/>
        </w:rPr>
      </w:pPr>
      <w:r>
        <w:rPr>
          <w:rFonts w:ascii="Arial" w:cs="Arial" w:eastAsia="Arial" w:hAnsi="Arial"/>
          <w:sz w:val="14"/>
          <w:szCs w:val="14"/>
          <w:color w:val="auto"/>
        </w:rPr>
        <w:t>(Principal Financial and Accounting Officer)</w:t>
      </w:r>
    </w:p>
    <w:sectPr>
      <w:pgSz w:w="11900" w:h="16838" w:orient="portrait"/>
      <w:cols w:equalWidth="0" w:num="1">
        <w:col w:w="11280"/>
      </w:cols>
      <w:pgMar w:left="300" w:top="1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lowerRoman"/>
      <w:start w:val="3"/>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66" Type="http://schemas.openxmlformats.org/officeDocument/2006/relationships/hyperlink" Target="http://www.sec.gov/Archives/edgar/data/0001667011/000119312521289866/d52087dex31.htm" TargetMode="External"/><Relationship Id="rId167" Type="http://schemas.openxmlformats.org/officeDocument/2006/relationships/hyperlink" Target="http://www.sec.gov/Archives/edgar/data/0001667011/000119312521289866/d52087dex33.htm" TargetMode="External"/><Relationship Id="rId168" Type="http://schemas.openxmlformats.org/officeDocument/2006/relationships/hyperlink" Target="https://www.sec.gov/Archives/edgar/data/1667011/000119312521300473/d52087dex41.htm" TargetMode="External"/><Relationship Id="rId169" Type="http://schemas.openxmlformats.org/officeDocument/2006/relationships/hyperlink" Target="http://www.sec.gov/Archives/edgar/data/0001667011/000119312521289866/d52087dex101.htm" TargetMode="External"/><Relationship Id="rId170" Type="http://schemas.openxmlformats.org/officeDocument/2006/relationships/hyperlink" Target="http://www.sec.gov/Archives/edgar/data/0001667011/000119312521289866/d52087dex102.htm" TargetMode="External"/><Relationship Id="rId171" Type="http://schemas.openxmlformats.org/officeDocument/2006/relationships/hyperlink" Target="http://www.sec.gov/Archives/edgar/data/0001667011/000119312521289866/d52087dex103.htm" TargetMode="External"/><Relationship Id="rId172" Type="http://schemas.openxmlformats.org/officeDocument/2006/relationships/hyperlink" Target="http://www.sec.gov/Archives/edgar/data/0001667011/000119312521289866/d52087dex104.htm" TargetMode="External"/><Relationship Id="rId173" Type="http://schemas.openxmlformats.org/officeDocument/2006/relationships/hyperlink" Target="http://www.sec.gov/Archives/edgar/data/0001667011/000119312521289866/d52087dex105.htm" TargetMode="External"/><Relationship Id="rId174" Type="http://schemas.openxmlformats.org/officeDocument/2006/relationships/hyperlink" Target="http://www.sec.gov/Archives/edgar/data/0001667011/000119312521289866/d52087dex106.htm" TargetMode="External"/><Relationship Id="rId175" Type="http://schemas.openxmlformats.org/officeDocument/2006/relationships/hyperlink" Target="http://www.sec.gov/Archives/edgar/data/0001667011/000119312521289866/d52087dex107.htm" TargetMode="External"/><Relationship Id="rId176" Type="http://schemas.openxmlformats.org/officeDocument/2006/relationships/hyperlink" Target="http://www.sec.gov/Archives/edgar/data/0001667011/000119312521289866/d52087dex108.htm" TargetMode="External"/><Relationship Id="rId177" Type="http://schemas.openxmlformats.org/officeDocument/2006/relationships/hyperlink" Target="http://www.sec.gov/Archives/edgar/data/0001667011/000119312521289866/d52087dex109.htm" TargetMode="External"/><Relationship Id="rId178" Type="http://schemas.openxmlformats.org/officeDocument/2006/relationships/hyperlink" Target="http://www.sec.gov/Archives/edgar/data/0001667011/000119312521289866/d52087dex1010.htm" TargetMode="External"/><Relationship Id="rId179" Type="http://schemas.openxmlformats.org/officeDocument/2006/relationships/hyperlink" Target="http://www.sec.gov/Archives/edgar/data/1667011/000119312521313603/d210056dex991a.htm" TargetMode="External"/><Relationship Id="rId180" Type="http://schemas.openxmlformats.org/officeDocument/2006/relationships/hyperlink" Target="http://www.sec.gov/Archives/edgar/data/0001667011/000119312521289866/d52087dex1012.htm" TargetMode="External"/><Relationship Id="rId181" Type="http://schemas.openxmlformats.org/officeDocument/2006/relationships/hyperlink" Target="https://www.sec.gov/Archives/edgar/data/1667011/000119312521300473/d52087dex1013.htm" TargetMode="External"/><Relationship Id="rId182" Type="http://schemas.openxmlformats.org/officeDocument/2006/relationships/hyperlink" Target="https://www.sec.gov/Archives/edgar/data/1667011/000119312521300473/d52087dex1014.htm" TargetMode="External"/><Relationship Id="rId183" Type="http://schemas.openxmlformats.org/officeDocument/2006/relationships/hyperlink" Target="https://www.sec.gov/Archives/edgar/data/1667011/000119312521300473/d52087dex1015.htm" TargetMode="External"/><Relationship Id="rId186" Type="http://schemas.openxmlformats.org/officeDocument/2006/relationships/hyperlink" Target="https://www.sec.gov/Archives/edgar/data/1667011/000119312521300473/d52087dex1016.htm" TargetMode="External"/><Relationship Id="rId187" Type="http://schemas.openxmlformats.org/officeDocument/2006/relationships/hyperlink" Target="https://www.sec.gov/Archives/edgar/data/1667011/000119312521300473/d52087dex1017.htm" TargetMode="External"/><Relationship Id="rId188" Type="http://schemas.openxmlformats.org/officeDocument/2006/relationships/hyperlink" Target="https://www.sec.gov/Archives/edgar/data/1667011/000119312521300473/d52087dex1018.htm" TargetMode="External"/><Relationship Id="rId189" Type="http://schemas.openxmlformats.org/officeDocument/2006/relationships/hyperlink" Target="https://www.sec.gov/Archives/edgar/data/1667011/000119312521300473/d52087dex1019.htm" TargetMode="External"/><Relationship Id="rId190" Type="http://schemas.openxmlformats.org/officeDocument/2006/relationships/hyperlink" Target="http://www.sec.gov/Archives/edgar/data/1667011/000119312521353839/d25176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2022-03-07T15:18:04Z</dcterms:created>
  <dcterms:modified xsi:type="dcterms:W3CDTF">2022-03-07T15:18:04Z</dcterms:modified>
</cp:coreProperties>
</file>