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0" w:lineRule="exact"/>
        <w:rPr>
          <w:sz w:val="24"/>
          <w:szCs w:val="24"/>
          <w:color w:val="auto"/>
        </w:rPr>
      </w:pPr>
    </w:p>
    <w:p>
      <w:pPr>
        <w:ind w:left="540" w:hanging="343"/>
        <w:spacing w:after="0"/>
        <w:tabs>
          <w:tab w:leader="none" w:pos="540" w:val="left"/>
        </w:tabs>
        <w:numPr>
          <w:ilvl w:val="0"/>
          <w:numId w:val="1"/>
        </w:numPr>
        <w:rPr>
          <w:rFonts w:ascii="Arial" w:cs="Arial" w:eastAsia="Arial" w:hAnsi="Arial"/>
          <w:sz w:val="14"/>
          <w:szCs w:val="14"/>
          <w:b w:val="1"/>
          <w:bCs w:val="1"/>
          <w:color w:val="auto"/>
        </w:rPr>
      </w:pPr>
      <w:r>
        <w:rPr>
          <w:rFonts w:ascii="Arial" w:cs="Arial" w:eastAsia="Arial" w:hAnsi="Arial"/>
          <w:sz w:val="14"/>
          <w:szCs w:val="14"/>
          <w:color w:val="auto"/>
        </w:rPr>
        <w:t>QUARTERLY REPORT PURSUANT TO SECTION 13 OR 15(d) OF THE SECURITIES EXCHANGE ACT OF 1934</w:t>
      </w: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282" w:lineRule="exact"/>
        <w:rPr>
          <w:sz w:val="24"/>
          <w:szCs w:val="24"/>
          <w:color w:val="auto"/>
        </w:rPr>
      </w:pPr>
    </w:p>
    <w:p>
      <w:pPr>
        <w:ind w:left="540" w:hanging="343"/>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334" w:lineRule="exact"/>
        <w:rPr>
          <w:sz w:val="24"/>
          <w:szCs w:val="24"/>
          <w:color w:val="auto"/>
        </w:rPr>
      </w:pPr>
    </w:p>
    <w:tbl>
      <w:tblPr>
        <w:tblLayout w:type="fixed"/>
        <w:tblInd w:w="34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6880" w:type="dxa"/>
            <w:vAlign w:val="bottom"/>
          </w:tcPr>
          <w:p>
            <w:pPr>
              <w:jc w:val="center"/>
              <w:ind w:right="2516"/>
              <w:spacing w:after="0"/>
              <w:rPr>
                <w:sz w:val="20"/>
                <w:szCs w:val="20"/>
                <w:color w:val="auto"/>
              </w:rPr>
            </w:pPr>
            <w:r>
              <w:rPr>
                <w:rFonts w:ascii="Arial" w:cs="Arial" w:eastAsia="Arial" w:hAnsi="Arial"/>
                <w:sz w:val="14"/>
                <w:szCs w:val="14"/>
                <w:b w:val="1"/>
                <w:bCs w:val="1"/>
                <w:color w:val="auto"/>
              </w:rPr>
              <w:t>For the transition period from to</w:t>
            </w:r>
          </w:p>
        </w:tc>
      </w:tr>
      <w:tr>
        <w:trPr>
          <w:trHeight w:val="390"/>
        </w:trPr>
        <w:tc>
          <w:tcPr>
            <w:tcW w:w="3140" w:type="dxa"/>
            <w:vAlign w:val="bottom"/>
          </w:tcPr>
          <w:p>
            <w:pPr>
              <w:spacing w:after="0"/>
              <w:rPr>
                <w:sz w:val="24"/>
                <w:szCs w:val="24"/>
                <w:color w:val="auto"/>
              </w:rPr>
            </w:pPr>
          </w:p>
        </w:tc>
        <w:tc>
          <w:tcPr>
            <w:tcW w:w="6880" w:type="dxa"/>
            <w:vAlign w:val="bottom"/>
          </w:tcPr>
          <w:p>
            <w:pPr>
              <w:jc w:val="center"/>
              <w:ind w:right="2516"/>
              <w:spacing w:after="0"/>
              <w:rPr>
                <w:sz w:val="20"/>
                <w:szCs w:val="20"/>
                <w:color w:val="auto"/>
              </w:rPr>
            </w:pPr>
            <w:r>
              <w:rPr>
                <w:rFonts w:ascii="Arial" w:cs="Arial" w:eastAsia="Arial" w:hAnsi="Arial"/>
                <w:sz w:val="18"/>
                <w:szCs w:val="18"/>
                <w:b w:val="1"/>
                <w:bCs w:val="1"/>
                <w:color w:val="auto"/>
                <w:w w:val="99"/>
              </w:rPr>
              <w:t>Commission file number 001-40960</w:t>
            </w:r>
          </w:p>
        </w:tc>
      </w:tr>
      <w:tr>
        <w:trPr>
          <w:trHeight w:val="568"/>
        </w:trPr>
        <w:tc>
          <w:tcPr>
            <w:tcW w:w="3140" w:type="dxa"/>
            <w:vAlign w:val="bottom"/>
          </w:tcPr>
          <w:p>
            <w:pPr>
              <w:spacing w:after="0"/>
              <w:rPr>
                <w:sz w:val="24"/>
                <w:szCs w:val="24"/>
                <w:color w:val="auto"/>
              </w:rPr>
            </w:pPr>
          </w:p>
        </w:tc>
        <w:tc>
          <w:tcPr>
            <w:tcW w:w="6880" w:type="dxa"/>
            <w:vAlign w:val="bottom"/>
          </w:tcPr>
          <w:p>
            <w:pPr>
              <w:jc w:val="center"/>
              <w:ind w:right="2496"/>
              <w:spacing w:after="0"/>
              <w:rPr>
                <w:sz w:val="20"/>
                <w:szCs w:val="20"/>
                <w:color w:val="auto"/>
              </w:rPr>
            </w:pPr>
            <w:r>
              <w:rPr>
                <w:rFonts w:ascii="Arial" w:cs="Arial" w:eastAsia="Arial" w:hAnsi="Arial"/>
                <w:sz w:val="32"/>
                <w:szCs w:val="32"/>
                <w:b w:val="1"/>
                <w:bCs w:val="1"/>
                <w:color w:val="auto"/>
              </w:rPr>
              <w:t>Arteris, Inc.</w:t>
            </w:r>
          </w:p>
        </w:tc>
      </w:tr>
      <w:tr>
        <w:trPr>
          <w:trHeight w:val="195"/>
        </w:trPr>
        <w:tc>
          <w:tcPr>
            <w:tcW w:w="3140" w:type="dxa"/>
            <w:vAlign w:val="bottom"/>
          </w:tcPr>
          <w:p>
            <w:pPr>
              <w:spacing w:after="0"/>
              <w:rPr>
                <w:sz w:val="16"/>
                <w:szCs w:val="16"/>
                <w:color w:val="auto"/>
              </w:rPr>
            </w:pPr>
          </w:p>
        </w:tc>
        <w:tc>
          <w:tcPr>
            <w:tcW w:w="6880" w:type="dxa"/>
            <w:vAlign w:val="bottom"/>
          </w:tcPr>
          <w:p>
            <w:pPr>
              <w:jc w:val="center"/>
              <w:ind w:right="2516"/>
              <w:spacing w:after="0"/>
              <w:rPr>
                <w:sz w:val="20"/>
                <w:szCs w:val="20"/>
                <w:color w:val="auto"/>
              </w:rPr>
            </w:pPr>
            <w:r>
              <w:rPr>
                <w:rFonts w:ascii="Arial" w:cs="Arial" w:eastAsia="Arial" w:hAnsi="Arial"/>
                <w:sz w:val="16"/>
                <w:szCs w:val="16"/>
                <w:color w:val="auto"/>
              </w:rPr>
              <w:t>(Exact name of registrant as specified in its charter)</w:t>
            </w:r>
          </w:p>
        </w:tc>
      </w:tr>
      <w:tr>
        <w:trPr>
          <w:trHeight w:val="439"/>
        </w:trPr>
        <w:tc>
          <w:tcPr>
            <w:tcW w:w="3140" w:type="dxa"/>
            <w:vAlign w:val="bottom"/>
          </w:tcPr>
          <w:p>
            <w:pPr>
              <w:jc w:val="center"/>
              <w:ind w:right="228"/>
              <w:spacing w:after="0"/>
              <w:rPr>
                <w:sz w:val="20"/>
                <w:szCs w:val="20"/>
                <w:color w:val="auto"/>
              </w:rPr>
            </w:pPr>
            <w:r>
              <w:rPr>
                <w:rFonts w:ascii="Arial" w:cs="Arial" w:eastAsia="Arial" w:hAnsi="Arial"/>
                <w:sz w:val="14"/>
                <w:szCs w:val="14"/>
                <w:b w:val="1"/>
                <w:bCs w:val="1"/>
                <w:color w:val="auto"/>
              </w:rPr>
              <w:t>Delaware</w:t>
            </w:r>
          </w:p>
        </w:tc>
        <w:tc>
          <w:tcPr>
            <w:tcW w:w="6880" w:type="dxa"/>
            <w:vAlign w:val="bottom"/>
          </w:tcPr>
          <w:p>
            <w:pPr>
              <w:jc w:val="center"/>
              <w:ind w:left="5696"/>
              <w:spacing w:after="0"/>
              <w:rPr>
                <w:sz w:val="20"/>
                <w:szCs w:val="20"/>
                <w:color w:val="auto"/>
              </w:rPr>
            </w:pPr>
            <w:r>
              <w:rPr>
                <w:rFonts w:ascii="Arial" w:cs="Arial" w:eastAsia="Arial" w:hAnsi="Arial"/>
                <w:sz w:val="14"/>
                <w:szCs w:val="14"/>
                <w:b w:val="1"/>
                <w:bCs w:val="1"/>
                <w:color w:val="auto"/>
              </w:rPr>
              <w:t>27-0117058</w:t>
            </w:r>
          </w:p>
        </w:tc>
      </w:tr>
      <w:tr>
        <w:trPr>
          <w:trHeight w:val="297"/>
        </w:trPr>
        <w:tc>
          <w:tcPr>
            <w:tcW w:w="3140" w:type="dxa"/>
            <w:vAlign w:val="bottom"/>
          </w:tcPr>
          <w:p>
            <w:pPr>
              <w:jc w:val="center"/>
              <w:ind w:right="228"/>
              <w:spacing w:after="0"/>
              <w:rPr>
                <w:sz w:val="20"/>
                <w:szCs w:val="20"/>
                <w:color w:val="auto"/>
              </w:rPr>
            </w:pPr>
            <w:r>
              <w:rPr>
                <w:rFonts w:ascii="Arial" w:cs="Arial" w:eastAsia="Arial" w:hAnsi="Arial"/>
                <w:sz w:val="14"/>
                <w:szCs w:val="14"/>
                <w:color w:val="auto"/>
              </w:rPr>
              <w:t>(State or other jurisdiction of incorporation or</w:t>
            </w:r>
          </w:p>
        </w:tc>
        <w:tc>
          <w:tcPr>
            <w:tcW w:w="6880" w:type="dxa"/>
            <w:vAlign w:val="bottom"/>
          </w:tcPr>
          <w:p>
            <w:pPr>
              <w:jc w:val="center"/>
              <w:ind w:left="5696"/>
              <w:spacing w:after="0"/>
              <w:rPr>
                <w:sz w:val="20"/>
                <w:szCs w:val="20"/>
                <w:color w:val="auto"/>
              </w:rPr>
            </w:pPr>
            <w:r>
              <w:rPr>
                <w:rFonts w:ascii="Arial" w:cs="Arial" w:eastAsia="Arial" w:hAnsi="Arial"/>
                <w:sz w:val="14"/>
                <w:szCs w:val="14"/>
                <w:color w:val="auto"/>
              </w:rPr>
              <w:t>(I.R.S. Employer</w:t>
            </w:r>
          </w:p>
        </w:tc>
      </w:tr>
      <w:tr>
        <w:trPr>
          <w:trHeight w:val="216"/>
        </w:trPr>
        <w:tc>
          <w:tcPr>
            <w:tcW w:w="3140" w:type="dxa"/>
            <w:vAlign w:val="bottom"/>
          </w:tcPr>
          <w:p>
            <w:pPr>
              <w:jc w:val="center"/>
              <w:ind w:right="228"/>
              <w:spacing w:after="0"/>
              <w:rPr>
                <w:sz w:val="20"/>
                <w:szCs w:val="20"/>
                <w:color w:val="auto"/>
              </w:rPr>
            </w:pPr>
            <w:r>
              <w:rPr>
                <w:rFonts w:ascii="Arial" w:cs="Arial" w:eastAsia="Arial" w:hAnsi="Arial"/>
                <w:sz w:val="14"/>
                <w:szCs w:val="14"/>
                <w:color w:val="auto"/>
              </w:rPr>
              <w:t>organization)</w:t>
            </w:r>
          </w:p>
        </w:tc>
        <w:tc>
          <w:tcPr>
            <w:tcW w:w="6880" w:type="dxa"/>
            <w:vAlign w:val="bottom"/>
          </w:tcPr>
          <w:p>
            <w:pPr>
              <w:jc w:val="center"/>
              <w:ind w:left="5676"/>
              <w:spacing w:after="0"/>
              <w:rPr>
                <w:sz w:val="20"/>
                <w:szCs w:val="20"/>
                <w:color w:val="auto"/>
              </w:rPr>
            </w:pPr>
            <w:r>
              <w:rPr>
                <w:rFonts w:ascii="Arial" w:cs="Arial" w:eastAsia="Arial" w:hAnsi="Arial"/>
                <w:sz w:val="14"/>
                <w:szCs w:val="14"/>
                <w:color w:val="auto"/>
              </w:rPr>
              <w:t>Identification No.)</w:t>
            </w:r>
          </w:p>
        </w:tc>
      </w:tr>
      <w:tr>
        <w:trPr>
          <w:trHeight w:val="324"/>
        </w:trPr>
        <w:tc>
          <w:tcPr>
            <w:tcW w:w="3140" w:type="dxa"/>
            <w:vAlign w:val="bottom"/>
          </w:tcPr>
          <w:p>
            <w:pPr>
              <w:spacing w:after="0"/>
              <w:rPr>
                <w:sz w:val="24"/>
                <w:szCs w:val="24"/>
                <w:color w:val="auto"/>
              </w:rPr>
            </w:pPr>
          </w:p>
        </w:tc>
        <w:tc>
          <w:tcPr>
            <w:tcW w:w="6880" w:type="dxa"/>
            <w:vAlign w:val="bottom"/>
          </w:tcPr>
          <w:p>
            <w:pPr>
              <w:jc w:val="center"/>
              <w:ind w:right="2516"/>
              <w:spacing w:after="0"/>
              <w:rPr>
                <w:sz w:val="20"/>
                <w:szCs w:val="20"/>
                <w:color w:val="auto"/>
              </w:rPr>
            </w:pPr>
            <w:r>
              <w:rPr>
                <w:rFonts w:ascii="Arial" w:cs="Arial" w:eastAsia="Arial" w:hAnsi="Arial"/>
                <w:sz w:val="14"/>
                <w:szCs w:val="14"/>
                <w:b w:val="1"/>
                <w:bCs w:val="1"/>
                <w:color w:val="auto"/>
              </w:rPr>
              <w:t>595 Millich Dr. Suite 200</w:t>
            </w:r>
          </w:p>
        </w:tc>
      </w:tr>
      <w:tr>
        <w:trPr>
          <w:trHeight w:val="203"/>
        </w:trPr>
        <w:tc>
          <w:tcPr>
            <w:tcW w:w="3140" w:type="dxa"/>
            <w:vAlign w:val="bottom"/>
          </w:tcPr>
          <w:p>
            <w:pPr>
              <w:spacing w:after="0"/>
              <w:rPr>
                <w:sz w:val="17"/>
                <w:szCs w:val="17"/>
                <w:color w:val="auto"/>
              </w:rPr>
            </w:pPr>
          </w:p>
        </w:tc>
        <w:tc>
          <w:tcPr>
            <w:tcW w:w="6880" w:type="dxa"/>
            <w:vAlign w:val="bottom"/>
          </w:tcPr>
          <w:p>
            <w:pPr>
              <w:jc w:val="center"/>
              <w:ind w:right="2496"/>
              <w:spacing w:after="0"/>
              <w:rPr>
                <w:sz w:val="20"/>
                <w:szCs w:val="20"/>
                <w:color w:val="auto"/>
              </w:rPr>
            </w:pPr>
            <w:r>
              <w:rPr>
                <w:rFonts w:ascii="Arial" w:cs="Arial" w:eastAsia="Arial" w:hAnsi="Arial"/>
                <w:sz w:val="14"/>
                <w:szCs w:val="14"/>
                <w:b w:val="1"/>
                <w:bCs w:val="1"/>
                <w:color w:val="auto"/>
              </w:rPr>
              <w:t>Campbell, CA 95008</w:t>
            </w:r>
          </w:p>
        </w:tc>
      </w:tr>
      <w:tr>
        <w:trPr>
          <w:trHeight w:val="203"/>
        </w:trPr>
        <w:tc>
          <w:tcPr>
            <w:tcW w:w="3140" w:type="dxa"/>
            <w:vAlign w:val="bottom"/>
          </w:tcPr>
          <w:p>
            <w:pPr>
              <w:spacing w:after="0"/>
              <w:rPr>
                <w:sz w:val="17"/>
                <w:szCs w:val="17"/>
                <w:color w:val="auto"/>
              </w:rPr>
            </w:pPr>
          </w:p>
        </w:tc>
        <w:tc>
          <w:tcPr>
            <w:tcW w:w="6880" w:type="dxa"/>
            <w:vAlign w:val="bottom"/>
          </w:tcPr>
          <w:p>
            <w:pPr>
              <w:jc w:val="center"/>
              <w:ind w:right="2496"/>
              <w:spacing w:after="0"/>
              <w:rPr>
                <w:sz w:val="20"/>
                <w:szCs w:val="20"/>
                <w:color w:val="auto"/>
              </w:rPr>
            </w:pPr>
            <w:r>
              <w:rPr>
                <w:rFonts w:ascii="Arial" w:cs="Arial" w:eastAsia="Arial" w:hAnsi="Arial"/>
                <w:sz w:val="14"/>
                <w:szCs w:val="14"/>
                <w:b w:val="1"/>
                <w:bCs w:val="1"/>
                <w:color w:val="auto"/>
              </w:rPr>
              <w:t>(408) 470-7300</w:t>
            </w:r>
          </w:p>
        </w:tc>
      </w:tr>
    </w:tbl>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31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6" w:lineRule="exact"/>
        <w:rPr>
          <w:sz w:val="24"/>
          <w:szCs w:val="24"/>
          <w:color w:val="auto"/>
        </w:rPr>
      </w:pPr>
    </w:p>
    <w:tbl>
      <w:tblPr>
        <w:tblLayout w:type="fixed"/>
        <w:tblInd w:w="10" w:type="dxa"/>
        <w:tblCellMar>
          <w:top w:w="0" w:type="dxa"/>
          <w:left w:w="0" w:type="dxa"/>
          <w:bottom w:w="0" w:type="dxa"/>
          <w:right w:w="0" w:type="dxa"/>
        </w:tblCellMar>
      </w:tblPr>
      <w:tr>
        <w:trPr>
          <w:trHeight w:val="185"/>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66"/>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Common stock, $0.001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AIP</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The Nasdaq Stock Market LLC</w:t>
            </w:r>
          </w:p>
        </w:tc>
      </w:tr>
    </w:tbl>
    <w:p>
      <w:pPr>
        <w:spacing w:after="0" w:line="264" w:lineRule="exact"/>
        <w:rPr>
          <w:sz w:val="24"/>
          <w:szCs w:val="24"/>
          <w:color w:val="auto"/>
        </w:rPr>
      </w:pPr>
    </w:p>
    <w:p>
      <w:pPr>
        <w:ind w:right="360"/>
        <w:spacing w:after="0" w:line="24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1" w:lineRule="exact"/>
        <w:rPr>
          <w:sz w:val="24"/>
          <w:szCs w:val="24"/>
          <w:color w:val="auto"/>
        </w:rPr>
      </w:pPr>
    </w:p>
    <w:p>
      <w:pPr>
        <w:ind w:right="160"/>
        <w:spacing w:after="0" w:line="24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5" w:lineRule="exact"/>
        <w:rPr>
          <w:sz w:val="24"/>
          <w:szCs w:val="24"/>
          <w:color w:val="auto"/>
        </w:rPr>
      </w:pPr>
    </w:p>
    <w:p>
      <w:pPr>
        <w:ind w:right="42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60"/>
          </w:cols>
          <w:pgMar w:left="320" w:top="247" w:right="319" w:bottom="1440" w:gutter="0" w:footer="0" w:header="0"/>
        </w:sectPr>
      </w:pPr>
    </w:p>
    <w:p>
      <w:pPr>
        <w:spacing w:after="0" w:line="225" w:lineRule="exact"/>
        <w:rPr>
          <w:sz w:val="24"/>
          <w:szCs w:val="24"/>
          <w:color w:val="auto"/>
        </w:rPr>
      </w:pPr>
    </w:p>
    <w:p>
      <w:pPr>
        <w:ind w:left="20"/>
        <w:spacing w:after="0"/>
        <w:tabs>
          <w:tab w:leader="none" w:pos="3060" w:val="left"/>
          <w:tab w:leader="none" w:pos="720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Arial" w:cs="Arial" w:eastAsia="Arial" w:hAnsi="Arial"/>
          <w:sz w:val="13"/>
          <w:szCs w:val="13"/>
          <w:color w:val="auto"/>
        </w:rPr>
        <w:t>o</w:t>
      </w:r>
      <w:r>
        <w:rPr>
          <w:sz w:val="20"/>
          <w:szCs w:val="20"/>
          <w:color w:val="auto"/>
        </w:rPr>
        <w:tab/>
      </w:r>
      <w:r>
        <w:rPr>
          <w:rFonts w:ascii="Arial" w:cs="Arial" w:eastAsia="Arial" w:hAnsi="Arial"/>
          <w:sz w:val="12"/>
          <w:szCs w:val="12"/>
          <w:color w:val="auto"/>
        </w:rPr>
        <w:t>Accelerated filer</w:t>
      </w:r>
    </w:p>
    <w:p>
      <w:pPr>
        <w:spacing w:after="0" w:line="134" w:lineRule="exact"/>
        <w:rPr>
          <w:sz w:val="24"/>
          <w:szCs w:val="24"/>
          <w:color w:val="auto"/>
        </w:rPr>
      </w:pPr>
    </w:p>
    <w:p>
      <w:pPr>
        <w:ind w:left="20"/>
        <w:spacing w:after="0"/>
        <w:tabs>
          <w:tab w:leader="none" w:pos="3060" w:val="left"/>
          <w:tab w:leader="none" w:pos="7200" w:val="left"/>
        </w:tabs>
        <w:rPr>
          <w:sz w:val="20"/>
          <w:szCs w:val="20"/>
          <w:color w:val="auto"/>
        </w:rPr>
      </w:pPr>
      <w:r>
        <w:rPr>
          <w:rFonts w:ascii="Arial" w:cs="Arial" w:eastAsia="Arial" w:hAnsi="Arial"/>
          <w:sz w:val="13"/>
          <w:szCs w:val="13"/>
          <w:color w:val="auto"/>
        </w:rPr>
        <w:t>Non-accelerated filer</w:t>
      </w:r>
      <w:r>
        <w:rPr>
          <w:sz w:val="20"/>
          <w:szCs w:val="20"/>
          <w:color w:val="auto"/>
        </w:rPr>
        <w:tab/>
      </w:r>
      <w:r>
        <w:rPr>
          <w:rFonts w:ascii="Arial" w:cs="Arial" w:eastAsia="Arial" w:hAnsi="Arial"/>
          <w:sz w:val="13"/>
          <w:szCs w:val="13"/>
          <w:color w:val="auto"/>
        </w:rPr>
        <w:t>x</w:t>
      </w:r>
      <w:r>
        <w:rPr>
          <w:sz w:val="20"/>
          <w:szCs w:val="20"/>
          <w:color w:val="auto"/>
        </w:rPr>
        <w:tab/>
      </w:r>
      <w:r>
        <w:rPr>
          <w:rFonts w:ascii="Arial" w:cs="Arial" w:eastAsia="Arial" w:hAnsi="Arial"/>
          <w:sz w:val="12"/>
          <w:szCs w:val="12"/>
          <w:color w:val="auto"/>
        </w:rPr>
        <w:t>Smaller reporting company</w:t>
      </w:r>
    </w:p>
    <w:p>
      <w:pPr>
        <w:spacing w:after="0" w:line="242" w:lineRule="exact"/>
        <w:rPr>
          <w:sz w:val="24"/>
          <w:szCs w:val="24"/>
          <w:color w:val="auto"/>
        </w:rPr>
      </w:pPr>
    </w:p>
    <w:p>
      <w:pPr>
        <w:ind w:left="7220"/>
        <w:spacing w:after="0"/>
        <w:rPr>
          <w:sz w:val="20"/>
          <w:szCs w:val="20"/>
          <w:color w:val="auto"/>
        </w:rPr>
      </w:pPr>
      <w:r>
        <w:rPr>
          <w:rFonts w:ascii="Arial" w:cs="Arial" w:eastAsia="Arial" w:hAnsi="Arial"/>
          <w:sz w:val="13"/>
          <w:szCs w:val="13"/>
          <w:color w:val="auto"/>
        </w:rPr>
        <w:t>Emerging growth company</w:t>
      </w:r>
    </w:p>
    <w:p>
      <w:pPr>
        <w:spacing w:after="0" w:line="391"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1" w:lineRule="exact"/>
        <w:rPr>
          <w:sz w:val="24"/>
          <w:szCs w:val="24"/>
          <w:color w:val="auto"/>
        </w:rPr>
      </w:pPr>
    </w:p>
    <w:p>
      <w:pPr>
        <w:spacing w:after="0"/>
        <w:tabs>
          <w:tab w:leader="none" w:pos="5840" w:val="left"/>
          <w:tab w:leader="none" w:pos="63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Yes  o</w:t>
        <w:tab/>
        <w:t>No x</w:t>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As of November 1, 2022, there were 33,425,197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813435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50" w:lineRule="exact"/>
        <w:rPr>
          <w:sz w:val="24"/>
          <w:szCs w:val="24"/>
          <w:color w:val="auto"/>
        </w:rPr>
      </w:pPr>
    </w:p>
    <w:p>
      <w:pPr>
        <w:jc w:val="right"/>
        <w:ind w:right="40"/>
        <w:spacing w:after="0"/>
        <w:rPr>
          <w:sz w:val="20"/>
          <w:szCs w:val="20"/>
          <w:color w:val="auto"/>
        </w:rPr>
      </w:pPr>
      <w:r>
        <w:rPr>
          <w:rFonts w:ascii="Arial" w:cs="Arial" w:eastAsia="Arial" w:hAnsi="Arial"/>
          <w:sz w:val="12"/>
          <w:szCs w:val="12"/>
          <w:color w:val="auto"/>
        </w:rPr>
        <w:t>x</w:t>
      </w:r>
    </w:p>
    <w:p>
      <w:pPr>
        <w:spacing w:after="0" w:line="254" w:lineRule="exact"/>
        <w:rPr>
          <w:sz w:val="24"/>
          <w:szCs w:val="24"/>
          <w:color w:val="auto"/>
        </w:rPr>
      </w:pPr>
    </w:p>
    <w:p>
      <w:pPr>
        <w:jc w:val="right"/>
        <w:ind w:right="40"/>
        <w:spacing w:after="0"/>
        <w:rPr>
          <w:sz w:val="20"/>
          <w:szCs w:val="20"/>
          <w:color w:val="auto"/>
        </w:rPr>
      </w:pPr>
      <w:r>
        <w:rPr>
          <w:rFonts w:ascii="Arial" w:cs="Arial" w:eastAsia="Arial" w:hAnsi="Arial"/>
          <w:sz w:val="12"/>
          <w:szCs w:val="12"/>
          <w:color w:val="auto"/>
        </w:rPr>
        <w:t>x</w:t>
      </w:r>
    </w:p>
    <w:p>
      <w:pPr>
        <w:sectPr>
          <w:pgSz w:w="11900" w:h="16838" w:orient="portrait"/>
          <w:cols w:equalWidth="0" w:num="2">
            <w:col w:w="10800" w:space="360"/>
            <w:col w:w="100"/>
          </w:cols>
          <w:pgMar w:left="320" w:top="24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8"/>
        </w:trPr>
        <w:tc>
          <w:tcPr>
            <w:tcW w:w="10600" w:type="dxa"/>
            <w:vAlign w:val="bottom"/>
            <w:gridSpan w:val="24"/>
          </w:tcPr>
          <w:p>
            <w:pPr>
              <w:spacing w:after="0"/>
              <w:rPr>
                <w:sz w:val="20"/>
                <w:szCs w:val="20"/>
                <w:color w:val="auto"/>
              </w:rPr>
            </w:pPr>
            <w:r>
              <w:rPr>
                <w:rFonts w:ascii="Arial" w:cs="Arial" w:eastAsia="Arial" w:hAnsi="Arial"/>
                <w:sz w:val="14"/>
                <w:szCs w:val="14"/>
                <w:b w:val="1"/>
                <w:bCs w:val="1"/>
                <w:color w:val="0000FF"/>
              </w:rPr>
              <w:t>Part I. Financial Information</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10020" w:type="dxa"/>
            <w:vAlign w:val="bottom"/>
            <w:gridSpan w:val="21"/>
          </w:tcPr>
          <w:p>
            <w:pPr>
              <w:spacing w:after="0"/>
              <w:rPr>
                <w:sz w:val="20"/>
                <w:szCs w:val="20"/>
                <w:color w:val="auto"/>
              </w:rPr>
            </w:pPr>
            <w:r>
              <w:rPr>
                <w:rFonts w:ascii="Arial" w:cs="Arial" w:eastAsia="Arial" w:hAnsi="Arial"/>
                <w:sz w:val="14"/>
                <w:szCs w:val="14"/>
                <w:color w:val="0000FF"/>
              </w:rPr>
              <w:t>Financial Statements (unaudited)</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1"/>
          </w:tcPr>
          <w:p>
            <w:pPr>
              <w:spacing w:after="0"/>
              <w:rPr>
                <w:sz w:val="20"/>
                <w:szCs w:val="20"/>
                <w:color w:val="auto"/>
              </w:rPr>
            </w:pPr>
            <w:r>
              <w:rPr>
                <w:rFonts w:ascii="Arial" w:cs="Arial" w:eastAsia="Arial" w:hAnsi="Arial"/>
                <w:sz w:val="14"/>
                <w:szCs w:val="14"/>
                <w:color w:val="0000FF"/>
              </w:rPr>
              <w:t>Condensed Consolidated Balance Sheets as of September 30, 2022 and December 31, 2021</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1"/>
          </w:tcPr>
          <w:p>
            <w:pPr>
              <w:spacing w:after="0"/>
              <w:rPr>
                <w:sz w:val="20"/>
                <w:szCs w:val="20"/>
                <w:color w:val="auto"/>
              </w:rPr>
            </w:pPr>
            <w:r>
              <w:rPr>
                <w:rFonts w:ascii="Arial" w:cs="Arial" w:eastAsia="Arial" w:hAnsi="Arial"/>
                <w:sz w:val="14"/>
                <w:szCs w:val="14"/>
                <w:color w:val="0000FF"/>
              </w:rPr>
              <w:t>Condensed Consolidated Statements of Loss for the Three and Nine Months Ended September 30, 2022 and 2021</w:t>
            </w: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8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rPr>
              <w:t>Condensed Consolidated Statements of Comprehensive Loss for the Three and Nine Months Ended September 30, 2022 and 2021</w:t>
            </w:r>
          </w:p>
        </w:tc>
        <w:tc>
          <w:tcPr>
            <w:tcW w:w="1640" w:type="dxa"/>
            <w:vAlign w:val="bottom"/>
            <w:gridSpan w:val="2"/>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rPr>
              <w:t>Condensed Consolidated Statements of Redeemable Convertible Preferred Stock and Stockholders' Equity (Deficit) for the Three and Nine Months Ended</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42"/>
        </w:trPr>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Borders>
              <w:bottom w:val="single" w:sz="8" w:color="0000FF"/>
            </w:tcBorders>
            <w:gridSpan w:val="9"/>
          </w:tcPr>
          <w:p>
            <w:pPr>
              <w:spacing w:after="0" w:line="142" w:lineRule="exact"/>
              <w:rPr>
                <w:sz w:val="20"/>
                <w:szCs w:val="20"/>
                <w:color w:val="auto"/>
              </w:rPr>
            </w:pPr>
            <w:r>
              <w:rPr>
                <w:rFonts w:ascii="Arial" w:cs="Arial" w:eastAsia="Arial" w:hAnsi="Arial"/>
                <w:sz w:val="14"/>
                <w:szCs w:val="14"/>
                <w:color w:val="0000FF"/>
              </w:rPr>
              <w:t>September 30, 2022 and 2021</w:t>
            </w:r>
          </w:p>
        </w:tc>
        <w:tc>
          <w:tcPr>
            <w:tcW w:w="8060" w:type="dxa"/>
            <w:vAlign w:val="bottom"/>
            <w:gridSpan w:val="12"/>
          </w:tcPr>
          <w:p>
            <w:pPr>
              <w:spacing w:after="0"/>
              <w:rPr>
                <w:sz w:val="12"/>
                <w:szCs w:val="12"/>
                <w:color w:val="auto"/>
              </w:rPr>
            </w:pPr>
          </w:p>
        </w:tc>
        <w:tc>
          <w:tcPr>
            <w:tcW w:w="600" w:type="dxa"/>
            <w:vAlign w:val="bottom"/>
          </w:tcPr>
          <w:p>
            <w:pPr>
              <w:spacing w:after="0"/>
              <w:rPr>
                <w:sz w:val="12"/>
                <w:szCs w:val="12"/>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80" w:type="dxa"/>
            <w:vAlign w:val="bottom"/>
            <w:tcBorders>
              <w:bottom w:val="single" w:sz="8" w:color="0000FF"/>
            </w:tcBorders>
            <w:gridSpan w:val="17"/>
          </w:tcPr>
          <w:p>
            <w:pPr>
              <w:spacing w:after="0"/>
              <w:rPr>
                <w:sz w:val="20"/>
                <w:szCs w:val="20"/>
                <w:color w:val="auto"/>
              </w:rPr>
            </w:pPr>
            <w:r>
              <w:rPr>
                <w:rFonts w:ascii="Arial" w:cs="Arial" w:eastAsia="Arial" w:hAnsi="Arial"/>
                <w:sz w:val="14"/>
                <w:szCs w:val="14"/>
                <w:color w:val="0000FF"/>
              </w:rPr>
              <w:t>Condensed Consolidated Statements of Cash Flows for the Nine Months Ended September 30, 2022 and 2021</w:t>
            </w:r>
          </w:p>
        </w:tc>
        <w:tc>
          <w:tcPr>
            <w:tcW w:w="2940" w:type="dxa"/>
            <w:vAlign w:val="bottom"/>
            <w:gridSpan w:val="4"/>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1"/>
          </w:tcPr>
          <w:p>
            <w:pPr>
              <w:spacing w:after="0"/>
              <w:rPr>
                <w:sz w:val="20"/>
                <w:szCs w:val="20"/>
                <w:color w:val="auto"/>
              </w:rPr>
            </w:pPr>
            <w:r>
              <w:rPr>
                <w:rFonts w:ascii="Arial" w:cs="Arial" w:eastAsia="Arial" w:hAnsi="Arial"/>
                <w:sz w:val="14"/>
                <w:szCs w:val="14"/>
                <w:color w:val="0000FF"/>
              </w:rPr>
              <w:t>Notes to Condensed Consolidated Financial Statements</w:t>
            </w: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2.</w:t>
            </w:r>
          </w:p>
        </w:tc>
        <w:tc>
          <w:tcPr>
            <w:tcW w:w="10020" w:type="dxa"/>
            <w:vAlign w:val="bottom"/>
            <w:gridSpan w:val="21"/>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10020" w:type="dxa"/>
            <w:vAlign w:val="bottom"/>
            <w:gridSpan w:val="21"/>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6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10020" w:type="dxa"/>
            <w:vAlign w:val="bottom"/>
            <w:gridSpan w:val="21"/>
          </w:tcPr>
          <w:p>
            <w:pPr>
              <w:spacing w:after="0"/>
              <w:rPr>
                <w:sz w:val="20"/>
                <w:szCs w:val="20"/>
                <w:color w:val="auto"/>
              </w:rPr>
            </w:pPr>
            <w:r>
              <w:rPr>
                <w:rFonts w:ascii="Arial" w:cs="Arial" w:eastAsia="Arial" w:hAnsi="Arial"/>
                <w:sz w:val="14"/>
                <w:szCs w:val="14"/>
                <w:color w:val="0000FF"/>
              </w:rPr>
              <w:t>Controls and Procedures</w:t>
            </w:r>
          </w:p>
        </w:tc>
        <w:tc>
          <w:tcPr>
            <w:tcW w:w="6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600" w:type="dxa"/>
            <w:vAlign w:val="bottom"/>
            <w:gridSpan w:val="24"/>
          </w:tcPr>
          <w:p>
            <w:pPr>
              <w:spacing w:after="0"/>
              <w:rPr>
                <w:sz w:val="20"/>
                <w:szCs w:val="20"/>
                <w:color w:val="auto"/>
              </w:rPr>
            </w:pPr>
            <w:r>
              <w:rPr>
                <w:rFonts w:ascii="Arial" w:cs="Arial" w:eastAsia="Arial" w:hAnsi="Arial"/>
                <w:sz w:val="14"/>
                <w:szCs w:val="14"/>
                <w:b w:val="1"/>
                <w:bCs w:val="1"/>
                <w:color w:val="0000FF"/>
              </w:rPr>
              <w:t>Part II. Other Information</w:t>
            </w: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1.</w:t>
            </w:r>
          </w:p>
        </w:tc>
        <w:tc>
          <w:tcPr>
            <w:tcW w:w="40" w:type="dxa"/>
            <w:vAlign w:val="bottom"/>
          </w:tcPr>
          <w:p>
            <w:pPr>
              <w:spacing w:after="0"/>
              <w:rPr>
                <w:sz w:val="17"/>
                <w:szCs w:val="17"/>
                <w:color w:val="auto"/>
              </w:rPr>
            </w:pPr>
          </w:p>
        </w:tc>
        <w:tc>
          <w:tcPr>
            <w:tcW w:w="10020" w:type="dxa"/>
            <w:vAlign w:val="bottom"/>
            <w:gridSpan w:val="21"/>
          </w:tcPr>
          <w:p>
            <w:pPr>
              <w:spacing w:after="0"/>
              <w:rPr>
                <w:sz w:val="20"/>
                <w:szCs w:val="20"/>
                <w:color w:val="auto"/>
              </w:rPr>
            </w:pPr>
            <w:r>
              <w:rPr>
                <w:rFonts w:ascii="Arial" w:cs="Arial" w:eastAsia="Arial" w:hAnsi="Arial"/>
                <w:sz w:val="14"/>
                <w:szCs w:val="14"/>
                <w:color w:val="0000FF"/>
              </w:rPr>
              <w:t>Legal Proceedings</w:t>
            </w: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1A.</w:t>
            </w:r>
          </w:p>
        </w:tc>
        <w:tc>
          <w:tcPr>
            <w:tcW w:w="10020" w:type="dxa"/>
            <w:vAlign w:val="bottom"/>
            <w:gridSpan w:val="21"/>
          </w:tcPr>
          <w:p>
            <w:pPr>
              <w:spacing w:after="0"/>
              <w:rPr>
                <w:sz w:val="20"/>
                <w:szCs w:val="20"/>
                <w:color w:val="auto"/>
              </w:rPr>
            </w:pPr>
            <w:r>
              <w:rPr>
                <w:rFonts w:ascii="Arial" w:cs="Arial" w:eastAsia="Arial" w:hAnsi="Arial"/>
                <w:sz w:val="14"/>
                <w:szCs w:val="14"/>
                <w:color w:val="0000FF"/>
              </w:rPr>
              <w:t>Risk Factors</w:t>
            </w: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40" w:type="dxa"/>
            <w:vAlign w:val="bottom"/>
          </w:tcPr>
          <w:p>
            <w:pPr>
              <w:spacing w:after="0"/>
              <w:rPr>
                <w:sz w:val="17"/>
                <w:szCs w:val="17"/>
                <w:color w:val="auto"/>
              </w:rPr>
            </w:pPr>
          </w:p>
        </w:tc>
        <w:tc>
          <w:tcPr>
            <w:tcW w:w="10020" w:type="dxa"/>
            <w:vAlign w:val="bottom"/>
            <w:gridSpan w:val="21"/>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60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10020" w:type="dxa"/>
            <w:vAlign w:val="bottom"/>
            <w:gridSpan w:val="21"/>
          </w:tcPr>
          <w:p>
            <w:pPr>
              <w:spacing w:after="0"/>
              <w:rPr>
                <w:sz w:val="20"/>
                <w:szCs w:val="20"/>
                <w:color w:val="auto"/>
              </w:rPr>
            </w:pPr>
            <w:r>
              <w:rPr>
                <w:rFonts w:ascii="Arial" w:cs="Arial" w:eastAsia="Arial" w:hAnsi="Arial"/>
                <w:sz w:val="14"/>
                <w:szCs w:val="14"/>
                <w:color w:val="0000FF"/>
              </w:rPr>
              <w:t>Defaults Upon Senior Securities</w:t>
            </w:r>
          </w:p>
        </w:tc>
        <w:tc>
          <w:tcPr>
            <w:tcW w:w="6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798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10020" w:type="dxa"/>
            <w:vAlign w:val="bottom"/>
            <w:gridSpan w:val="21"/>
          </w:tcPr>
          <w:p>
            <w:pPr>
              <w:spacing w:after="0"/>
              <w:rPr>
                <w:sz w:val="20"/>
                <w:szCs w:val="20"/>
                <w:color w:val="auto"/>
              </w:rPr>
            </w:pPr>
            <w:r>
              <w:rPr>
                <w:rFonts w:ascii="Arial" w:cs="Arial" w:eastAsia="Arial" w:hAnsi="Arial"/>
                <w:sz w:val="14"/>
                <w:szCs w:val="14"/>
                <w:color w:val="0000FF"/>
              </w:rPr>
              <w:t>Mine Safety Disclosures</w:t>
            </w:r>
          </w:p>
        </w:tc>
        <w:tc>
          <w:tcPr>
            <w:tcW w:w="6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5.</w:t>
            </w:r>
          </w:p>
        </w:tc>
        <w:tc>
          <w:tcPr>
            <w:tcW w:w="10020" w:type="dxa"/>
            <w:vAlign w:val="bottom"/>
            <w:gridSpan w:val="21"/>
          </w:tcPr>
          <w:p>
            <w:pPr>
              <w:spacing w:after="0"/>
              <w:rPr>
                <w:sz w:val="20"/>
                <w:szCs w:val="20"/>
                <w:color w:val="auto"/>
              </w:rPr>
            </w:pPr>
            <w:r>
              <w:rPr>
                <w:rFonts w:ascii="Arial" w:cs="Arial" w:eastAsia="Arial" w:hAnsi="Arial"/>
                <w:sz w:val="14"/>
                <w:szCs w:val="14"/>
                <w:color w:val="0000FF"/>
              </w:rPr>
              <w:t>Other Information</w:t>
            </w:r>
          </w:p>
        </w:tc>
        <w:tc>
          <w:tcPr>
            <w:tcW w:w="6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90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4"/>
                <w:szCs w:val="14"/>
                <w:color w:val="0000FF"/>
              </w:rPr>
              <w:t>Item 6.</w:t>
            </w:r>
          </w:p>
        </w:tc>
        <w:tc>
          <w:tcPr>
            <w:tcW w:w="10020" w:type="dxa"/>
            <w:vAlign w:val="bottom"/>
            <w:gridSpan w:val="21"/>
          </w:tcPr>
          <w:p>
            <w:pPr>
              <w:spacing w:after="0"/>
              <w:rPr>
                <w:sz w:val="20"/>
                <w:szCs w:val="20"/>
                <w:color w:val="auto"/>
              </w:rPr>
            </w:pPr>
            <w:r>
              <w:rPr>
                <w:rFonts w:ascii="Arial" w:cs="Arial" w:eastAsia="Arial" w:hAnsi="Arial"/>
                <w:sz w:val="14"/>
                <w:szCs w:val="14"/>
                <w:color w:val="0000FF"/>
              </w:rPr>
              <w:t>Exhibits</w:t>
            </w:r>
          </w:p>
        </w:tc>
        <w:tc>
          <w:tcPr>
            <w:tcW w:w="60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4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520" w:type="dxa"/>
            <w:vAlign w:val="bottom"/>
            <w:gridSpan w:val="1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0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Signatures</w:t>
            </w:r>
          </w:p>
        </w:tc>
        <w:tc>
          <w:tcPr>
            <w:tcW w:w="9900" w:type="dxa"/>
            <w:vAlign w:val="bottom"/>
            <w:gridSpan w:val="19"/>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As of</w:t>
            </w: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tcPr>
          <w:p>
            <w:pPr>
              <w:spacing w:after="0"/>
              <w:rPr>
                <w:sz w:val="17"/>
                <w:szCs w:val="17"/>
                <w:color w:val="auto"/>
              </w:rPr>
            </w:pPr>
          </w:p>
        </w:tc>
        <w:tc>
          <w:tcPr>
            <w:tcW w:w="172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40"/>
        </w:trPr>
        <w:tc>
          <w:tcPr>
            <w:tcW w:w="72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85,825</w:t>
            </w:r>
          </w:p>
        </w:tc>
        <w:tc>
          <w:tcPr>
            <w:tcW w:w="0" w:type="dxa"/>
            <w:vAlign w:val="bottom"/>
          </w:tcPr>
          <w:p>
            <w:pPr>
              <w:spacing w:after="0"/>
              <w:rPr>
                <w:sz w:val="1"/>
                <w:szCs w:val="1"/>
                <w:color w:val="auto"/>
              </w:rPr>
            </w:pPr>
          </w:p>
        </w:tc>
      </w:tr>
      <w:tr>
        <w:trPr>
          <w:trHeight w:val="197"/>
        </w:trPr>
        <w:tc>
          <w:tcPr>
            <w:tcW w:w="728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4,400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13,873</w:t>
            </w:r>
          </w:p>
        </w:tc>
        <w:tc>
          <w:tcPr>
            <w:tcW w:w="0" w:type="dxa"/>
            <w:vAlign w:val="bottom"/>
          </w:tcPr>
          <w:p>
            <w:pPr>
              <w:spacing w:after="0"/>
              <w:rPr>
                <w:sz w:val="1"/>
                <w:szCs w:val="1"/>
                <w:color w:val="auto"/>
              </w:rPr>
            </w:pPr>
          </w:p>
        </w:tc>
      </w:tr>
      <w:tr>
        <w:trPr>
          <w:trHeight w:val="197"/>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6,949</w:t>
            </w: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106,647</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3,502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2,438</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investments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rPr>
                <w:sz w:val="20"/>
                <w:szCs w:val="20"/>
                <w:color w:val="auto"/>
              </w:rPr>
            </w:pPr>
            <w:r>
              <w:rPr>
                <w:rFonts w:ascii="Arial" w:cs="Arial" w:eastAsia="Arial" w:hAnsi="Arial"/>
                <w:sz w:val="14"/>
                <w:szCs w:val="14"/>
                <w:color w:val="auto"/>
              </w:rPr>
              <w:t>Equity method investment</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12,181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rPr>
                <w:sz w:val="20"/>
                <w:szCs w:val="20"/>
                <w:color w:val="auto"/>
              </w:rPr>
            </w:pPr>
            <w:r>
              <w:rPr>
                <w:rFonts w:ascii="Arial" w:cs="Arial" w:eastAsia="Arial" w:hAnsi="Arial"/>
                <w:sz w:val="14"/>
                <w:szCs w:val="14"/>
                <w:color w:val="auto"/>
              </w:rPr>
              <w:t>Intangibles, net</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2,575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w:t>
            </w:r>
          </w:p>
        </w:tc>
        <w:tc>
          <w:tcPr>
            <w:tcW w:w="0" w:type="dxa"/>
            <w:vAlign w:val="bottom"/>
          </w:tcPr>
          <w:p>
            <w:pPr>
              <w:spacing w:after="0"/>
              <w:rPr>
                <w:sz w:val="1"/>
                <w:szCs w:val="1"/>
                <w:color w:val="auto"/>
              </w:rPr>
            </w:pPr>
          </w:p>
        </w:tc>
      </w:tr>
      <w:tr>
        <w:trPr>
          <w:trHeight w:val="221"/>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118,822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120,443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1,984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10,573</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rPr>
                <w:sz w:val="20"/>
                <w:szCs w:val="20"/>
                <w:color w:val="auto"/>
              </w:rPr>
            </w:pPr>
            <w:r>
              <w:rPr>
                <w:rFonts w:ascii="Arial" w:cs="Arial" w:eastAsia="Arial" w:hAnsi="Arial"/>
                <w:sz w:val="14"/>
                <w:szCs w:val="14"/>
                <w:color w:val="auto"/>
              </w:rPr>
              <w:t>Operating lease liabilities, current</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 current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28,403</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Vendor financing arrangements, current</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42,492</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22,046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20,773</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noncurrent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67,539</w:t>
            </w:r>
          </w:p>
        </w:tc>
        <w:tc>
          <w:tcPr>
            <w:tcW w:w="0" w:type="dxa"/>
            <w:vAlign w:val="bottom"/>
          </w:tcPr>
          <w:p>
            <w:pPr>
              <w:spacing w:after="0"/>
              <w:rPr>
                <w:sz w:val="1"/>
                <w:szCs w:val="1"/>
                <w:color w:val="auto"/>
              </w:rPr>
            </w:pPr>
          </w:p>
        </w:tc>
      </w:tr>
      <w:tr>
        <w:trPr>
          <w:trHeight w:val="197"/>
        </w:trPr>
        <w:tc>
          <w:tcPr>
            <w:tcW w:w="7280" w:type="dxa"/>
            <w:vAlign w:val="bottom"/>
          </w:tcPr>
          <w:p>
            <w:pPr>
              <w:ind w:left="20"/>
              <w:spacing w:after="0"/>
              <w:rPr>
                <w:sz w:val="20"/>
                <w:szCs w:val="20"/>
                <w:color w:val="auto"/>
              </w:rPr>
            </w:pPr>
            <w:r>
              <w:rPr>
                <w:rFonts w:ascii="Arial" w:cs="Arial" w:eastAsia="Arial" w:hAnsi="Arial"/>
                <w:sz w:val="14"/>
                <w:szCs w:val="14"/>
                <w:color w:val="auto"/>
              </w:rPr>
              <w:t>Commitments and contingencies (Note 10)</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280" w:type="dxa"/>
            <w:vAlign w:val="bottom"/>
          </w:tcPr>
          <w:p>
            <w:pPr>
              <w:ind w:left="140"/>
              <w:spacing w:after="0"/>
              <w:rPr>
                <w:sz w:val="20"/>
                <w:szCs w:val="20"/>
                <w:color w:val="auto"/>
              </w:rPr>
            </w:pPr>
            <w:r>
              <w:rPr>
                <w:rFonts w:ascii="Arial" w:cs="Arial" w:eastAsia="Arial" w:hAnsi="Arial"/>
                <w:sz w:val="14"/>
                <w:szCs w:val="14"/>
                <w:color w:val="auto"/>
              </w:rPr>
              <w:t>Preferred stock, par value of $0.001 - 10,000,000 shares authorized and no shares issued and outstanding as</w:t>
            </w:r>
          </w:p>
        </w:tc>
        <w:tc>
          <w:tcPr>
            <w:tcW w:w="180" w:type="dxa"/>
            <w:vAlign w:val="bottom"/>
          </w:tcPr>
          <w:p>
            <w:pPr>
              <w:spacing w:after="0"/>
              <w:rPr>
                <w:sz w:val="14"/>
                <w:szCs w:val="14"/>
                <w:color w:val="auto"/>
              </w:rPr>
            </w:pPr>
          </w:p>
        </w:tc>
        <w:tc>
          <w:tcPr>
            <w:tcW w:w="1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280" w:type="dxa"/>
            <w:vAlign w:val="bottom"/>
          </w:tcPr>
          <w:p>
            <w:pPr>
              <w:ind w:left="140"/>
              <w:spacing w:after="0"/>
              <w:rPr>
                <w:sz w:val="20"/>
                <w:szCs w:val="20"/>
                <w:color w:val="auto"/>
              </w:rPr>
            </w:pPr>
            <w:r>
              <w:rPr>
                <w:rFonts w:ascii="Arial" w:cs="Arial" w:eastAsia="Arial" w:hAnsi="Arial"/>
                <w:sz w:val="14"/>
                <w:szCs w:val="14"/>
                <w:color w:val="auto"/>
              </w:rPr>
              <w:t>of September 30, 2022 and December 31, 2021</w:t>
            </w:r>
          </w:p>
        </w:tc>
        <w:tc>
          <w:tcPr>
            <w:tcW w:w="18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par value of $0.001 - 300,000,000 shares authorized as of September 30, 2022 and</w:t>
            </w: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December 31, 2021; 33,320,891 and 31,530,682 shares issued and outstanding as of September 30, 2022 and</w:t>
            </w:r>
          </w:p>
        </w:tc>
        <w:tc>
          <w:tcPr>
            <w:tcW w:w="1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1"/>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 2021, respectively</w:t>
            </w:r>
          </w:p>
        </w:tc>
        <w:tc>
          <w:tcPr>
            <w:tcW w:w="18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2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99,589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91,945</w:t>
            </w:r>
          </w:p>
        </w:tc>
        <w:tc>
          <w:tcPr>
            <w:tcW w:w="0" w:type="dxa"/>
            <w:vAlign w:val="bottom"/>
          </w:tcPr>
          <w:p>
            <w:pPr>
              <w:spacing w:after="0"/>
              <w:rPr>
                <w:sz w:val="1"/>
                <w:szCs w:val="1"/>
                <w:color w:val="auto"/>
              </w:rPr>
            </w:pPr>
          </w:p>
        </w:tc>
      </w:tr>
      <w:tr>
        <w:trPr>
          <w:trHeight w:val="208"/>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7"/>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(59,163)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(38,991)</w:t>
            </w: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40,357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52,904</w:t>
            </w:r>
          </w:p>
        </w:tc>
        <w:tc>
          <w:tcPr>
            <w:tcW w:w="0" w:type="dxa"/>
            <w:vAlign w:val="bottom"/>
          </w:tcPr>
          <w:p>
            <w:pPr>
              <w:spacing w:after="0"/>
              <w:rPr>
                <w:sz w:val="1"/>
                <w:szCs w:val="1"/>
                <w:color w:val="auto"/>
              </w:rPr>
            </w:pPr>
          </w:p>
        </w:tc>
      </w:tr>
      <w:tr>
        <w:trPr>
          <w:trHeight w:val="190"/>
        </w:trPr>
        <w:tc>
          <w:tcPr>
            <w:tcW w:w="72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118,822</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120,443</w:t>
            </w:r>
          </w:p>
        </w:tc>
        <w:tc>
          <w:tcPr>
            <w:tcW w:w="0" w:type="dxa"/>
            <w:vAlign w:val="bottom"/>
          </w:tcPr>
          <w:p>
            <w:pPr>
              <w:spacing w:after="0"/>
              <w:rPr>
                <w:sz w:val="1"/>
                <w:szCs w:val="1"/>
                <w:color w:val="auto"/>
              </w:rPr>
            </w:pPr>
          </w:p>
        </w:tc>
      </w:tr>
      <w:tr>
        <w:trPr>
          <w:trHeight w:val="26"/>
        </w:trPr>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Arteris, Inc.</w:t>
      </w:r>
    </w:p>
    <w:p>
      <w:pPr>
        <w:spacing w:after="0" w:line="29"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Condensed Consolidated Statements of Loss</w:t>
      </w:r>
    </w:p>
    <w:p>
      <w:pPr>
        <w:spacing w:after="0" w:line="18" w:lineRule="exact"/>
        <w:rPr>
          <w:sz w:val="20"/>
          <w:szCs w:val="20"/>
          <w:color w:val="auto"/>
        </w:rPr>
      </w:pPr>
    </w:p>
    <w:p>
      <w:pPr>
        <w:ind w:left="4080"/>
        <w:spacing w:after="0"/>
        <w:rPr>
          <w:sz w:val="20"/>
          <w:szCs w:val="20"/>
          <w:color w:val="auto"/>
        </w:rPr>
      </w:pPr>
      <w:r>
        <w:rPr>
          <w:rFonts w:ascii="Arial" w:cs="Arial" w:eastAsia="Arial" w:hAnsi="Arial"/>
          <w:sz w:val="14"/>
          <w:szCs w:val="14"/>
          <w:color w:val="auto"/>
        </w:rPr>
        <w:t>(In thousands, except share and per share data)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0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0"/>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r>
      <w:tr>
        <w:trPr>
          <w:trHeight w:val="135"/>
        </w:trPr>
        <w:tc>
          <w:tcPr>
            <w:tcW w:w="5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6"/>
        </w:trPr>
        <w:tc>
          <w:tcPr>
            <w:tcW w:w="5880" w:type="dxa"/>
            <w:vAlign w:val="bottom"/>
          </w:tcPr>
          <w:p>
            <w:pPr>
              <w:ind w:left="140"/>
              <w:spacing w:after="0"/>
              <w:rPr>
                <w:sz w:val="20"/>
                <w:szCs w:val="20"/>
                <w:color w:val="auto"/>
              </w:rPr>
            </w:pPr>
            <w:r>
              <w:rPr>
                <w:rFonts w:ascii="Arial" w:cs="Arial" w:eastAsia="Arial" w:hAnsi="Arial"/>
                <w:sz w:val="14"/>
                <w:szCs w:val="14"/>
                <w:color w:val="auto"/>
              </w:rPr>
              <w:t>Licensing, support and maintenance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11,135</w:t>
            </w:r>
          </w:p>
        </w:tc>
        <w:tc>
          <w:tcPr>
            <w:tcW w:w="8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8,136</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35,743</w:t>
            </w:r>
          </w:p>
        </w:tc>
        <w:tc>
          <w:tcPr>
            <w:tcW w:w="8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24,353</w:t>
            </w:r>
          </w:p>
        </w:tc>
      </w:tr>
      <w:tr>
        <w:trPr>
          <w:trHeight w:val="208"/>
        </w:trPr>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Variable royalties and other</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1,463</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3,432</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w:t>
            </w:r>
          </w:p>
        </w:tc>
      </w:tr>
      <w:tr>
        <w:trPr>
          <w:trHeight w:val="190"/>
        </w:trPr>
        <w:tc>
          <w:tcPr>
            <w:tcW w:w="58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12,598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8,959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39,175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26,430</w:t>
            </w:r>
          </w:p>
        </w:tc>
      </w:tr>
      <w:tr>
        <w:trPr>
          <w:trHeight w:val="208"/>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928</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3,196</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w:t>
            </w:r>
          </w:p>
        </w:tc>
      </w:tr>
      <w:tr>
        <w:trPr>
          <w:trHeight w:val="19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11,670</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35,979</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23,812</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6"/>
        </w:trPr>
        <w:tc>
          <w:tcPr>
            <w:tcW w:w="588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11,022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7,609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30,849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20,572</w:t>
            </w:r>
          </w:p>
        </w:tc>
      </w:tr>
      <w:tr>
        <w:trPr>
          <w:trHeight w:val="209"/>
        </w:trPr>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4,411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7,971</w:t>
            </w:r>
          </w:p>
        </w:tc>
      </w:tr>
      <w:tr>
        <w:trPr>
          <w:trHeight w:val="196"/>
        </w:trPr>
        <w:tc>
          <w:tcPr>
            <w:tcW w:w="5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3,991</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12,138</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9,754</w:t>
            </w:r>
          </w:p>
        </w:tc>
      </w:tr>
      <w:tr>
        <w:trPr>
          <w:trHeight w:val="20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19,424</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12,593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55,775</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38,297</w:t>
            </w:r>
          </w:p>
        </w:tc>
      </w:tr>
      <w:tr>
        <w:trPr>
          <w:trHeight w:val="190"/>
        </w:trPr>
        <w:tc>
          <w:tcPr>
            <w:tcW w:w="58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(7,754)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(4,517)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(19,796)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(14,485)</w:t>
            </w:r>
          </w:p>
        </w:tc>
      </w:tr>
      <w:tr>
        <w:trPr>
          <w:trHeight w:val="20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318</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w:t>
            </w:r>
          </w:p>
        </w:tc>
      </w:tr>
      <w:tr>
        <w:trPr>
          <w:trHeight w:val="190"/>
        </w:trPr>
        <w:tc>
          <w:tcPr>
            <w:tcW w:w="5880" w:type="dxa"/>
            <w:vAlign w:val="bottom"/>
          </w:tcPr>
          <w:p>
            <w:pPr>
              <w:ind w:left="20"/>
              <w:spacing w:after="0"/>
              <w:rPr>
                <w:sz w:val="20"/>
                <w:szCs w:val="20"/>
                <w:color w:val="auto"/>
              </w:rPr>
            </w:pPr>
            <w:r>
              <w:rPr>
                <w:rFonts w:ascii="Arial" w:cs="Arial" w:eastAsia="Arial" w:hAnsi="Arial"/>
                <w:sz w:val="14"/>
                <w:szCs w:val="14"/>
                <w:color w:val="auto"/>
              </w:rPr>
              <w:t>Loss before provision for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(7,436)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(19,450)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(14,982)</w:t>
            </w:r>
          </w:p>
        </w:tc>
      </w:tr>
      <w:tr>
        <w:trPr>
          <w:trHeight w:val="20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w:t>
            </w: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(7,684)</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(4,968)</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(20,172)</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(15,594)</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0"/>
        </w:trPr>
        <w:tc>
          <w:tcPr>
            <w:tcW w:w="5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7"/>
        </w:trPr>
        <w:tc>
          <w:tcPr>
            <w:tcW w:w="5880" w:type="dxa"/>
            <w:vAlign w:val="bottom"/>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(0.23)</w:t>
            </w:r>
          </w:p>
        </w:tc>
        <w:tc>
          <w:tcPr>
            <w:tcW w:w="8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(0.24)</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(0.63)</w:t>
            </w:r>
          </w:p>
        </w:tc>
        <w:tc>
          <w:tcPr>
            <w:tcW w:w="8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(0.79)</w:t>
            </w:r>
          </w:p>
        </w:tc>
      </w:tr>
      <w:tr>
        <w:trPr>
          <w:trHeight w:val="208"/>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used in computing per share amounts, basic and diluted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32,836,014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20,578,386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32,228,429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19,768,574</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Arteris, Inc.</w:t>
      </w:r>
    </w:p>
    <w:p>
      <w:pPr>
        <w:spacing w:after="0" w:line="29"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Condensed Consolidated Statements of Comprehensive Loss</w:t>
      </w:r>
    </w:p>
    <w:p>
      <w:pPr>
        <w:spacing w:after="0" w:line="18"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(In thousands)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0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0"/>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r>
      <w:tr>
        <w:trPr>
          <w:trHeight w:val="135"/>
        </w:trPr>
        <w:tc>
          <w:tcPr>
            <w:tcW w:w="5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(20,172)</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(15,594)</w:t>
            </w:r>
          </w:p>
        </w:tc>
      </w:tr>
      <w:tr>
        <w:trPr>
          <w:trHeight w:val="197"/>
        </w:trPr>
        <w:tc>
          <w:tcPr>
            <w:tcW w:w="59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5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Unrealized loss on available-for-sale securities, net of tax</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590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(7,705)</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(4,968)</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(20,193)</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(15,594)</w:t>
            </w:r>
          </w:p>
        </w:tc>
      </w:tr>
      <w:tr>
        <w:trPr>
          <w:trHeight w:val="27"/>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Arteris, Inc.</w:t>
      </w:r>
    </w:p>
    <w:p>
      <w:pPr>
        <w:spacing w:after="0" w:line="29"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Equity (Deficit)</w:t>
      </w:r>
    </w:p>
    <w:p>
      <w:pPr>
        <w:spacing w:after="0" w:line="18"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11"/>
          </w:tcPr>
          <w:p>
            <w:pPr>
              <w:ind w:left="700"/>
              <w:spacing w:after="0"/>
              <w:rPr>
                <w:sz w:val="20"/>
                <w:szCs w:val="20"/>
                <w:color w:val="auto"/>
              </w:rPr>
            </w:pPr>
            <w:r>
              <w:rPr>
                <w:rFonts w:ascii="Arial" w:cs="Arial" w:eastAsia="Arial" w:hAnsi="Arial"/>
                <w:sz w:val="13"/>
                <w:szCs w:val="13"/>
                <w:b w:val="1"/>
                <w:bCs w:val="1"/>
                <w:color w:val="auto"/>
              </w:rPr>
              <w:t>Three Months Ended September 30, 2022</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27"/>
        </w:trPr>
        <w:tc>
          <w:tcPr>
            <w:tcW w:w="3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Borders>
              <w:right w:val="single" w:sz="8" w:color="auto"/>
            </w:tcBorders>
            <w:gridSpan w:val="5"/>
          </w:tcPr>
          <w:p>
            <w:pPr>
              <w:jc w:val="center"/>
              <w:ind w:right="80"/>
              <w:spacing w:after="0" w:line="127" w:lineRule="exact"/>
              <w:rPr>
                <w:sz w:val="20"/>
                <w:szCs w:val="20"/>
                <w:color w:val="auto"/>
              </w:rPr>
            </w:pPr>
            <w:r>
              <w:rPr>
                <w:rFonts w:ascii="Arial" w:cs="Arial" w:eastAsia="Arial" w:hAnsi="Arial"/>
                <w:sz w:val="13"/>
                <w:szCs w:val="13"/>
                <w:b w:val="1"/>
                <w:bCs w:val="1"/>
                <w:color w:val="auto"/>
                <w:w w:val="96"/>
              </w:rPr>
              <w:t>Redeemable Convertible</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7"/>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97"/>
              </w:rPr>
              <w:t>Preferred Stock</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ind w:left="300"/>
              <w:spacing w:after="0"/>
              <w:rPr>
                <w:sz w:val="20"/>
                <w:szCs w:val="20"/>
                <w:color w:val="auto"/>
              </w:rPr>
            </w:pPr>
            <w:r>
              <w:rPr>
                <w:rFonts w:ascii="Arial" w:cs="Arial" w:eastAsia="Arial" w:hAnsi="Arial"/>
                <w:sz w:val="13"/>
                <w:szCs w:val="13"/>
                <w:b w:val="1"/>
                <w:bCs w:val="1"/>
                <w:color w:val="auto"/>
              </w:rPr>
              <w:t>Stockholders’ Equity</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27"/>
        </w:trPr>
        <w:tc>
          <w:tcPr>
            <w:tcW w:w="3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8"/>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5"/>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2"/>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gridSpan w:val="2"/>
          </w:tcPr>
          <w:p>
            <w:pPr>
              <w:ind w:left="160"/>
              <w:spacing w:after="0" w:line="146"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gridSpan w:val="2"/>
          </w:tcPr>
          <w:p>
            <w:pPr>
              <w:ind w:left="20"/>
              <w:spacing w:after="0" w:line="146"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line="146" w:lineRule="exact"/>
              <w:rPr>
                <w:sz w:val="20"/>
                <w:szCs w:val="20"/>
                <w:color w:val="auto"/>
              </w:rPr>
            </w:pPr>
            <w:r>
              <w:rPr>
                <w:rFonts w:ascii="Arial" w:cs="Arial" w:eastAsia="Arial" w:hAnsi="Arial"/>
                <w:sz w:val="13"/>
                <w:szCs w:val="13"/>
                <w:b w:val="1"/>
                <w:bCs w:val="1"/>
                <w:color w:val="auto"/>
              </w:rPr>
              <w:t>Total</w:t>
            </w:r>
          </w:p>
        </w:tc>
      </w:tr>
      <w:tr>
        <w:trPr>
          <w:trHeight w:val="38"/>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7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BALANCE—June 30, 2022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32,622,817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(51,479)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45,710</w:t>
            </w:r>
          </w:p>
        </w:tc>
      </w:tr>
      <w:tr>
        <w:trPr>
          <w:trHeight w:val="168"/>
        </w:trPr>
        <w:tc>
          <w:tcPr>
            <w:tcW w:w="3920" w:type="dxa"/>
            <w:vAlign w:val="bottom"/>
            <w:gridSpan w:val="2"/>
          </w:tcPr>
          <w:p>
            <w:pPr>
              <w:ind w:left="140"/>
              <w:spacing w:after="0"/>
              <w:rPr>
                <w:sz w:val="20"/>
                <w:szCs w:val="20"/>
                <w:color w:val="auto"/>
              </w:rPr>
            </w:pPr>
            <w:r>
              <w:rPr>
                <w:rFonts w:ascii="Arial" w:cs="Arial" w:eastAsia="Arial" w:hAnsi="Arial"/>
                <w:sz w:val="13"/>
                <w:szCs w:val="13"/>
                <w:color w:val="auto"/>
                <w:w w:val="98"/>
              </w:rPr>
              <w:t>Issuance of common stock for cash upon exercise of stock options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255,108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173</w:t>
            </w:r>
          </w:p>
        </w:tc>
      </w:tr>
      <w:tr>
        <w:trPr>
          <w:trHeight w:val="183"/>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614,184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Tax withholding on RSUs settlement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(171,218)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(1,210)</w:t>
            </w:r>
          </w:p>
        </w:tc>
      </w:tr>
      <w:tr>
        <w:trPr>
          <w:trHeight w:val="183"/>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3,389</w:t>
            </w:r>
          </w:p>
        </w:tc>
      </w:tr>
      <w:tr>
        <w:trPr>
          <w:trHeight w:val="197"/>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Unrealized loss on available-for-sale securities, net of tax</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5"/>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(7,684)</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3"/>
                <w:szCs w:val="13"/>
                <w:color w:val="auto"/>
              </w:rPr>
              <w:t>BALANCE—September 30, 2022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33,320,891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99,589</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(59,163)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40,357</w:t>
            </w:r>
          </w:p>
        </w:tc>
      </w:tr>
      <w:tr>
        <w:trPr>
          <w:trHeight w:val="501"/>
        </w:trPr>
        <w:tc>
          <w:tcPr>
            <w:tcW w:w="3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1"/>
          </w:tcPr>
          <w:p>
            <w:pPr>
              <w:ind w:left="680"/>
              <w:spacing w:after="0"/>
              <w:rPr>
                <w:sz w:val="20"/>
                <w:szCs w:val="20"/>
                <w:color w:val="auto"/>
              </w:rPr>
            </w:pPr>
            <w:r>
              <w:rPr>
                <w:rFonts w:ascii="Arial" w:cs="Arial" w:eastAsia="Arial" w:hAnsi="Arial"/>
                <w:sz w:val="13"/>
                <w:szCs w:val="13"/>
                <w:b w:val="1"/>
                <w:bCs w:val="1"/>
                <w:color w:val="auto"/>
              </w:rPr>
              <w:t>Three Months Ended September 30, 2021</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121"/>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Borders>
              <w:right w:val="single" w:sz="8" w:color="auto"/>
            </w:tcBorders>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83"/>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4"/>
              </w:rPr>
              <w:t>Preferred Stock</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ind w:left="300"/>
              <w:spacing w:after="0"/>
              <w:rPr>
                <w:sz w:val="20"/>
                <w:szCs w:val="20"/>
                <w:color w:val="auto"/>
              </w:rPr>
            </w:pPr>
            <w:r>
              <w:rPr>
                <w:rFonts w:ascii="Arial" w:cs="Arial" w:eastAsia="Arial" w:hAnsi="Arial"/>
                <w:sz w:val="13"/>
                <w:szCs w:val="13"/>
                <w:b w:val="1"/>
                <w:bCs w:val="1"/>
                <w:color w:val="auto"/>
              </w:rPr>
              <w:t>Stockholders’ Deficit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22"/>
        </w:trPr>
        <w:tc>
          <w:tcPr>
            <w:tcW w:w="39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r>
      <w:tr>
        <w:trPr>
          <w:trHeight w:val="173"/>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5"/>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2"/>
        </w:trPr>
        <w:tc>
          <w:tcPr>
            <w:tcW w:w="39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160"/>
              <w:spacing w:after="0" w:line="146"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gridSpan w:val="2"/>
          </w:tcPr>
          <w:p>
            <w:pPr>
              <w:ind w:left="20"/>
              <w:spacing w:after="0" w:line="146"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line="146" w:lineRule="exact"/>
              <w:rPr>
                <w:sz w:val="20"/>
                <w:szCs w:val="20"/>
                <w:color w:val="auto"/>
              </w:rPr>
            </w:pPr>
            <w:r>
              <w:rPr>
                <w:rFonts w:ascii="Arial" w:cs="Arial" w:eastAsia="Arial" w:hAnsi="Arial"/>
                <w:sz w:val="13"/>
                <w:szCs w:val="13"/>
                <w:b w:val="1"/>
                <w:bCs w:val="1"/>
                <w:color w:val="auto"/>
              </w:rPr>
              <w:t>Total</w:t>
            </w:r>
          </w:p>
        </w:tc>
      </w:tr>
      <w:tr>
        <w:trPr>
          <w:trHeight w:val="38"/>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7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BALANCE—June 30, 2021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20,525,254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(16,189)</w:t>
            </w:r>
          </w:p>
        </w:tc>
      </w:tr>
      <w:tr>
        <w:trPr>
          <w:trHeight w:val="168"/>
        </w:trPr>
        <w:tc>
          <w:tcPr>
            <w:tcW w:w="3920" w:type="dxa"/>
            <w:vAlign w:val="bottom"/>
            <w:gridSpan w:val="2"/>
          </w:tcPr>
          <w:p>
            <w:pPr>
              <w:ind w:left="140"/>
              <w:spacing w:after="0"/>
              <w:rPr>
                <w:sz w:val="20"/>
                <w:szCs w:val="20"/>
                <w:color w:val="auto"/>
              </w:rPr>
            </w:pPr>
            <w:r>
              <w:rPr>
                <w:rFonts w:ascii="Arial" w:cs="Arial" w:eastAsia="Arial" w:hAnsi="Arial"/>
                <w:sz w:val="13"/>
                <w:szCs w:val="13"/>
                <w:color w:val="auto"/>
                <w:w w:val="98"/>
              </w:rPr>
              <w:t>Issuance of common stock for cash upon exercise of stock options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60,395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84"/>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433</w:t>
            </w:r>
          </w:p>
        </w:tc>
      </w:tr>
      <w:tr>
        <w:trPr>
          <w:trHeight w:val="177"/>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(4,968)</w:t>
            </w:r>
          </w:p>
        </w:tc>
      </w:tr>
      <w:tr>
        <w:trPr>
          <w:trHeight w:val="215"/>
        </w:trPr>
        <w:tc>
          <w:tcPr>
            <w:tcW w:w="3900" w:type="dxa"/>
            <w:vAlign w:val="bottom"/>
          </w:tcPr>
          <w:p>
            <w:pPr>
              <w:ind w:left="20"/>
              <w:spacing w:after="0"/>
              <w:rPr>
                <w:sz w:val="20"/>
                <w:szCs w:val="20"/>
                <w:color w:val="auto"/>
              </w:rPr>
            </w:pPr>
            <w:r>
              <w:rPr>
                <w:rFonts w:ascii="Arial" w:cs="Arial" w:eastAsia="Arial" w:hAnsi="Arial"/>
                <w:sz w:val="13"/>
                <w:szCs w:val="13"/>
                <w:color w:val="auto"/>
              </w:rPr>
              <w:t>BALANCE—September 30, 2021</w:t>
            </w: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20,607,851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10,518</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(31,201)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(20,693)</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Arteris, Inc.</w:t>
      </w:r>
    </w:p>
    <w:p>
      <w:pPr>
        <w:spacing w:after="0" w:line="29"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Equity (Deficit)</w:t>
      </w:r>
    </w:p>
    <w:p>
      <w:pPr>
        <w:spacing w:after="0" w:line="18"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11"/>
          </w:tcPr>
          <w:p>
            <w:pPr>
              <w:ind w:left="720"/>
              <w:spacing w:after="0"/>
              <w:rPr>
                <w:sz w:val="20"/>
                <w:szCs w:val="20"/>
                <w:color w:val="auto"/>
              </w:rPr>
            </w:pPr>
            <w:r>
              <w:rPr>
                <w:rFonts w:ascii="Arial" w:cs="Arial" w:eastAsia="Arial" w:hAnsi="Arial"/>
                <w:sz w:val="13"/>
                <w:szCs w:val="13"/>
                <w:b w:val="1"/>
                <w:bCs w:val="1"/>
                <w:color w:val="auto"/>
              </w:rPr>
              <w:t>Nine Months Ended September 30, 2022</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27"/>
        </w:trPr>
        <w:tc>
          <w:tcPr>
            <w:tcW w:w="3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Borders>
              <w:right w:val="single" w:sz="8" w:color="auto"/>
            </w:tcBorders>
            <w:gridSpan w:val="5"/>
          </w:tcPr>
          <w:p>
            <w:pPr>
              <w:jc w:val="center"/>
              <w:ind w:right="80"/>
              <w:spacing w:after="0" w:line="127" w:lineRule="exact"/>
              <w:rPr>
                <w:sz w:val="20"/>
                <w:szCs w:val="20"/>
                <w:color w:val="auto"/>
              </w:rPr>
            </w:pPr>
            <w:r>
              <w:rPr>
                <w:rFonts w:ascii="Arial" w:cs="Arial" w:eastAsia="Arial" w:hAnsi="Arial"/>
                <w:sz w:val="13"/>
                <w:szCs w:val="13"/>
                <w:b w:val="1"/>
                <w:bCs w:val="1"/>
                <w:color w:val="auto"/>
                <w:w w:val="96"/>
              </w:rPr>
              <w:t>Redeemable Convertible</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7"/>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97"/>
              </w:rPr>
              <w:t>Preferred Stock</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ind w:left="300"/>
              <w:spacing w:after="0"/>
              <w:rPr>
                <w:sz w:val="20"/>
                <w:szCs w:val="20"/>
                <w:color w:val="auto"/>
              </w:rPr>
            </w:pPr>
            <w:r>
              <w:rPr>
                <w:rFonts w:ascii="Arial" w:cs="Arial" w:eastAsia="Arial" w:hAnsi="Arial"/>
                <w:sz w:val="13"/>
                <w:szCs w:val="13"/>
                <w:b w:val="1"/>
                <w:bCs w:val="1"/>
                <w:color w:val="auto"/>
              </w:rPr>
              <w:t>Stockholders’ Equity</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27"/>
        </w:trPr>
        <w:tc>
          <w:tcPr>
            <w:tcW w:w="3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8"/>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5"/>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2"/>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gridSpan w:val="2"/>
          </w:tcPr>
          <w:p>
            <w:pPr>
              <w:ind w:left="160"/>
              <w:spacing w:after="0" w:line="146"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gridSpan w:val="2"/>
          </w:tcPr>
          <w:p>
            <w:pPr>
              <w:ind w:left="20"/>
              <w:spacing w:after="0" w:line="146"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line="146" w:lineRule="exact"/>
              <w:rPr>
                <w:sz w:val="20"/>
                <w:szCs w:val="20"/>
                <w:color w:val="auto"/>
              </w:rPr>
            </w:pPr>
            <w:r>
              <w:rPr>
                <w:rFonts w:ascii="Arial" w:cs="Arial" w:eastAsia="Arial" w:hAnsi="Arial"/>
                <w:sz w:val="13"/>
                <w:szCs w:val="13"/>
                <w:b w:val="1"/>
                <w:bCs w:val="1"/>
                <w:color w:val="auto"/>
              </w:rPr>
              <w:t>Total</w:t>
            </w:r>
          </w:p>
        </w:tc>
      </w:tr>
      <w:tr>
        <w:trPr>
          <w:trHeight w:val="38"/>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7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BALANCE—December 31, 2021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31,530,682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(38,991)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52,904</w:t>
            </w:r>
          </w:p>
        </w:tc>
      </w:tr>
      <w:tr>
        <w:trPr>
          <w:trHeight w:val="168"/>
        </w:trPr>
        <w:tc>
          <w:tcPr>
            <w:tcW w:w="3920" w:type="dxa"/>
            <w:vAlign w:val="bottom"/>
            <w:gridSpan w:val="2"/>
          </w:tcPr>
          <w:p>
            <w:pPr>
              <w:ind w:left="140"/>
              <w:spacing w:after="0"/>
              <w:rPr>
                <w:sz w:val="20"/>
                <w:szCs w:val="20"/>
                <w:color w:val="auto"/>
              </w:rPr>
            </w:pPr>
            <w:r>
              <w:rPr>
                <w:rFonts w:ascii="Arial" w:cs="Arial" w:eastAsia="Arial" w:hAnsi="Arial"/>
                <w:sz w:val="13"/>
                <w:szCs w:val="13"/>
                <w:color w:val="auto"/>
                <w:w w:val="98"/>
              </w:rPr>
              <w:t>Issuance of common stock for cash upon exercise of stock options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1,022,050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617</w:t>
            </w:r>
          </w:p>
        </w:tc>
      </w:tr>
      <w:tr>
        <w:trPr>
          <w:trHeight w:val="183"/>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1,008,620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Tax withholding on RSUs settlement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(240,461)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(2,053)</w:t>
            </w:r>
          </w:p>
        </w:tc>
      </w:tr>
      <w:tr>
        <w:trPr>
          <w:trHeight w:val="183"/>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9,082</w:t>
            </w:r>
          </w:p>
        </w:tc>
      </w:tr>
      <w:tr>
        <w:trPr>
          <w:trHeight w:val="196"/>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Unrealized loss on available-for-sale securities, net of tax</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5"/>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(20,172)</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(20,172)</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3"/>
                <w:szCs w:val="13"/>
                <w:color w:val="auto"/>
              </w:rPr>
              <w:t>BALANCE—September 30, 2022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33,320,891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99,589</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(59,163)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40,357</w:t>
            </w:r>
          </w:p>
        </w:tc>
      </w:tr>
      <w:tr>
        <w:trPr>
          <w:trHeight w:val="500"/>
        </w:trPr>
        <w:tc>
          <w:tcPr>
            <w:tcW w:w="3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1"/>
          </w:tcPr>
          <w:p>
            <w:pPr>
              <w:ind w:left="720"/>
              <w:spacing w:after="0"/>
              <w:rPr>
                <w:sz w:val="20"/>
                <w:szCs w:val="20"/>
                <w:color w:val="auto"/>
              </w:rPr>
            </w:pPr>
            <w:r>
              <w:rPr>
                <w:rFonts w:ascii="Arial" w:cs="Arial" w:eastAsia="Arial" w:hAnsi="Arial"/>
                <w:sz w:val="13"/>
                <w:szCs w:val="13"/>
                <w:b w:val="1"/>
                <w:bCs w:val="1"/>
                <w:color w:val="auto"/>
              </w:rPr>
              <w:t>Nine Months Ended September 30, 2021</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122"/>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Borders>
              <w:right w:val="single" w:sz="8" w:color="auto"/>
            </w:tcBorders>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83"/>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4"/>
              </w:rPr>
              <w:t>Preferred Stock</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ind w:left="300"/>
              <w:spacing w:after="0"/>
              <w:rPr>
                <w:sz w:val="20"/>
                <w:szCs w:val="20"/>
                <w:color w:val="auto"/>
              </w:rPr>
            </w:pPr>
            <w:r>
              <w:rPr>
                <w:rFonts w:ascii="Arial" w:cs="Arial" w:eastAsia="Arial" w:hAnsi="Arial"/>
                <w:sz w:val="13"/>
                <w:szCs w:val="13"/>
                <w:b w:val="1"/>
                <w:bCs w:val="1"/>
                <w:color w:val="auto"/>
              </w:rPr>
              <w:t>Stockholders’ Deficit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22"/>
        </w:trPr>
        <w:tc>
          <w:tcPr>
            <w:tcW w:w="39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r>
      <w:tr>
        <w:trPr>
          <w:trHeight w:val="173"/>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5"/>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2"/>
        </w:trPr>
        <w:tc>
          <w:tcPr>
            <w:tcW w:w="39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160"/>
              <w:spacing w:after="0" w:line="146"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gridSpan w:val="2"/>
          </w:tcPr>
          <w:p>
            <w:pPr>
              <w:ind w:left="20"/>
              <w:spacing w:after="0" w:line="146"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line="146" w:lineRule="exact"/>
              <w:rPr>
                <w:sz w:val="20"/>
                <w:szCs w:val="20"/>
                <w:color w:val="auto"/>
              </w:rPr>
            </w:pPr>
            <w:r>
              <w:rPr>
                <w:rFonts w:ascii="Arial" w:cs="Arial" w:eastAsia="Arial" w:hAnsi="Arial"/>
                <w:sz w:val="13"/>
                <w:szCs w:val="13"/>
                <w:b w:val="1"/>
                <w:bCs w:val="1"/>
                <w:color w:val="auto"/>
              </w:rPr>
              <w:t>Total</w:t>
            </w:r>
          </w:p>
        </w:tc>
      </w:tr>
      <w:tr>
        <w:trPr>
          <w:trHeight w:val="38"/>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7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BALANCE—December 31, 2020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18,486,989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(12,008)</w:t>
            </w:r>
          </w:p>
        </w:tc>
      </w:tr>
      <w:tr>
        <w:trPr>
          <w:trHeight w:val="168"/>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Issuance of common stock</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5,437</w:t>
            </w:r>
          </w:p>
        </w:tc>
      </w:tr>
      <w:tr>
        <w:trPr>
          <w:trHeight w:val="183"/>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8"/>
              </w:rPr>
              <w:t>Issuance of common stock for cash upon exercise of stock options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832,329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r>
      <w:tr>
        <w:trPr>
          <w:trHeight w:val="168"/>
        </w:trPr>
        <w:tc>
          <w:tcPr>
            <w:tcW w:w="3920" w:type="dxa"/>
            <w:vAlign w:val="bottom"/>
            <w:gridSpan w:val="2"/>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38,533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w:t>
            </w:r>
          </w:p>
        </w:tc>
      </w:tr>
      <w:tr>
        <w:trPr>
          <w:trHeight w:val="169"/>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(15,594)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(15,594)</w:t>
            </w:r>
          </w:p>
        </w:tc>
      </w:tr>
      <w:tr>
        <w:trPr>
          <w:trHeight w:val="19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BALANCE—September 30, 2021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20,607,851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(20,693)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Arteris, Inc.</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8"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53"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4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85"/>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7"/>
        </w:trPr>
        <w:tc>
          <w:tcPr>
            <w:tcW w:w="77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(20,172)</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(15,594)</w:t>
            </w:r>
          </w:p>
        </w:tc>
      </w:tr>
      <w:tr>
        <w:trPr>
          <w:trHeight w:val="208"/>
        </w:trPr>
        <w:tc>
          <w:tcPr>
            <w:tcW w:w="7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97"/>
        </w:trPr>
        <w:tc>
          <w:tcPr>
            <w:tcW w:w="774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1,568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1,107</w:t>
            </w:r>
          </w:p>
        </w:tc>
      </w:tr>
      <w:tr>
        <w:trPr>
          <w:trHeight w:val="208"/>
        </w:trPr>
        <w:tc>
          <w:tcPr>
            <w:tcW w:w="7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w:t>
            </w:r>
          </w:p>
        </w:tc>
      </w:tr>
      <w:tr>
        <w:trPr>
          <w:trHeight w:val="197"/>
        </w:trPr>
        <w:tc>
          <w:tcPr>
            <w:tcW w:w="7740" w:type="dxa"/>
            <w:vAlign w:val="bottom"/>
          </w:tcPr>
          <w:p>
            <w:pPr>
              <w:ind w:left="360"/>
              <w:spacing w:after="0"/>
              <w:rPr>
                <w:sz w:val="20"/>
                <w:szCs w:val="20"/>
                <w:color w:val="auto"/>
              </w:rPr>
            </w:pPr>
            <w:r>
              <w:rPr>
                <w:rFonts w:ascii="Arial" w:cs="Arial" w:eastAsia="Arial" w:hAnsi="Arial"/>
                <w:sz w:val="14"/>
                <w:szCs w:val="14"/>
                <w:color w:val="auto"/>
              </w:rPr>
              <w:t>Operating non-cash lease expense</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8"/>
        </w:trPr>
        <w:tc>
          <w:tcPr>
            <w:tcW w:w="7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deferred income</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740" w:type="dxa"/>
            <w:vAlign w:val="bottom"/>
          </w:tcPr>
          <w:p>
            <w:pPr>
              <w:ind w:left="360"/>
              <w:spacing w:after="0"/>
              <w:rPr>
                <w:sz w:val="20"/>
                <w:szCs w:val="20"/>
                <w:color w:val="auto"/>
              </w:rPr>
            </w:pPr>
            <w:r>
              <w:rPr>
                <w:rFonts w:ascii="Arial" w:cs="Arial" w:eastAsia="Arial" w:hAnsi="Arial"/>
                <w:sz w:val="14"/>
                <w:szCs w:val="14"/>
                <w:color w:val="auto"/>
              </w:rPr>
              <w:t>Gain on deconsolidation of subsidiary (Note 13)</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7"/>
        </w:trPr>
        <w:tc>
          <w:tcPr>
            <w:tcW w:w="774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8"/>
        </w:trPr>
        <w:tc>
          <w:tcPr>
            <w:tcW w:w="7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 net</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6,226</w:t>
            </w:r>
          </w:p>
        </w:tc>
      </w:tr>
      <w:tr>
        <w:trPr>
          <w:trHeight w:val="196"/>
        </w:trPr>
        <w:tc>
          <w:tcPr>
            <w:tcW w:w="774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(1,799)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(3,932)</w:t>
            </w:r>
          </w:p>
        </w:tc>
      </w:tr>
      <w:tr>
        <w:trPr>
          <w:trHeight w:val="209"/>
        </w:trPr>
        <w:tc>
          <w:tcPr>
            <w:tcW w:w="7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r>
      <w:tr>
        <w:trPr>
          <w:trHeight w:val="196"/>
        </w:trPr>
        <w:tc>
          <w:tcPr>
            <w:tcW w:w="7740" w:type="dxa"/>
            <w:vAlign w:val="bottom"/>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1,328</w:t>
            </w:r>
          </w:p>
        </w:tc>
      </w:tr>
      <w:tr>
        <w:trPr>
          <w:trHeight w:val="209"/>
        </w:trPr>
        <w:tc>
          <w:tcPr>
            <w:tcW w:w="7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revenue</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5,340</w:t>
            </w:r>
          </w:p>
        </w:tc>
      </w:tr>
      <w:tr>
        <w:trPr>
          <w:trHeight w:val="190"/>
        </w:trPr>
        <w:tc>
          <w:tcPr>
            <w:tcW w:w="774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used in operating activities</w:t>
            </w: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(4,006)</w:t>
            </w:r>
          </w:p>
        </w:tc>
      </w:tr>
      <w:tr>
        <w:trPr>
          <w:trHeight w:val="18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(488)</w:t>
            </w:r>
          </w:p>
        </w:tc>
      </w:tr>
      <w:tr>
        <w:trPr>
          <w:trHeight w:val="20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relating to investment in equity method investment (Note 13)</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Purchases of available-for-sale securities</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(6,399)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principal portion of related party loan</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74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used in investing activities</w:t>
            </w: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Payments of contingent consideration for business acquisition</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(1,573)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w:t>
            </w: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5,435</w:t>
            </w: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Principal payments under vendor financing arrangements</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(418)</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Payments to tax authorities for shares withheld from employees</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deferred offering costs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Payments of principal portion of term loan</w:t>
            </w:r>
          </w:p>
        </w:tc>
        <w:tc>
          <w:tcPr>
            <w:tcW w:w="10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202"/>
        </w:trPr>
        <w:tc>
          <w:tcPr>
            <w:tcW w:w="77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(used in) provided by financing activities</w:t>
            </w:r>
          </w:p>
        </w:tc>
        <w:tc>
          <w:tcPr>
            <w:tcW w:w="10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(3,916)</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3,991</w:t>
            </w: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(17,625)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(503)</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11,744</w:t>
            </w: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68,200</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11,241</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1"/>
        </w:trPr>
        <w:tc>
          <w:tcPr>
            <w:tcW w:w="77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obtained in equity method investment in exchange for contribution of license agreement (Note 13)</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Purchase of property and equipment through vendor financing and accrued expenses and other current liabilities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20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exchanged for lease liabilities</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r>
      <w:tr>
        <w:trPr>
          <w:trHeight w:val="191"/>
        </w:trPr>
        <w:tc>
          <w:tcPr>
            <w:tcW w:w="7740" w:type="dxa"/>
            <w:vAlign w:val="bottom"/>
          </w:tcPr>
          <w:p>
            <w:pPr>
              <w:ind w:left="20"/>
              <w:spacing w:after="0"/>
              <w:rPr>
                <w:sz w:val="20"/>
                <w:szCs w:val="20"/>
                <w:color w:val="auto"/>
              </w:rPr>
            </w:pPr>
            <w:r>
              <w:rPr>
                <w:rFonts w:ascii="Arial" w:cs="Arial" w:eastAsia="Arial" w:hAnsi="Arial"/>
                <w:sz w:val="14"/>
                <w:szCs w:val="14"/>
                <w:color w:val="auto"/>
              </w:rPr>
              <w:t>Unpaid deferred offering costs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1,749</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3"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Arteris, Inc. and its subsidiaries (collectively, the “Company” or “Arteris”) was incorporated in Delaware on April 12, 2004. The Company develops, licenses, and supports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South Korea and China.</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2021, the Company completed its initial public offering (IPO), in which it issued and sold 5,750,000 shares of its common stock at the public offering price of $14.00 per share, including 750,000 shares of its common stock upon the full exercise of the underwriters’ option to purchase additional shares. The Company received net proceeds of $71.1 million after deducting underwriting discounts and commissions and offering expenses.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offering costs for the IPO were $3.8 million and consisted primarily of direct incremental accounting, legal and other fees related to the IPO. Prior to the IPO, all deferred offering costs were capitalized and included in other assets, non-current on the condensed consolidated balance sheets. Upon completion of the IPO, deferred offering costs were reclassified into stockholders’ equity (deficit) as a reduction of the IPO proceeds.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6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actions and emergence of new variants, it has already had an adverse effect on the global economy and the lasting effects of the pandemic continue to be unknown. In response to the COVID-19 pandemic, the measures implemented by various authorities have caused us to change the Company’s business practices, including those related to where employees work, the distance between employees in the Company’s facilities, limitations on in-person meetings between employees and</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with customers, suppliers, service providers and stakeholders, as well as restrictions on business travel to domestic and international locations and to attend trade shows, technical conferences and other events.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is unable to accurately predict the full impact that COVID-19 will have on its future results of operations, financial condition, liquidity and cash flows due to numerous uncertainties, including the duration and severity of the pandemic and containment measures. The Company will continue to monitor health orders issued by applicable governments to ensure compliance with evolving domestic and global COVID-19 guidelines.</w:t>
      </w:r>
    </w:p>
    <w:p>
      <w:pPr>
        <w:spacing w:after="0" w:line="19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6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2021 and the related notes included in the Company’s Form 10-K filed on March 7, 2022 (2021 Form 10-K) with the U.S. Securities and Exchange Commission (SEC). The December 31, 2021 condensed consolidated balance sheet was derived from the audited consolidated financial statements as of that date. In management’s opinion, the unaudited interim consolidated financial statements have</w:t>
      </w:r>
    </w:p>
    <w:p>
      <w:pPr>
        <w:spacing w:after="0" w:line="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been prepared on the same basis as the annual financial statements and reflect all adjustments, which include only normal recurring adjustments necessary for the fair statement of the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operating results for the three and nine months ended September 30, 2022 are not necessarily indicative of the results to be expected for the full year or any other future interim or annual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Arteris, Inc. and its wholly-owned subsidiaries. All inter-company transactions and accounts have been eliminated.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allowances for doubtful accounts, deferred tax assets and related valuation allowance, stock-based compensation, potential reserves relating to litigation and tax matters, collectability of certain receivables, fair value and amortization of deferred income, as well as other accruals or reserves. Actual results could differ from those estimates and such differences may be material to the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As of September 30, 2022, cash and cash equivalents consisted of primarily checking, savings, money market accounts and highly liquid investments with original maturities of three months or less. As of December 31, 2021, cash consisted primarily of checking and savings deposits. Interest earned on cash and cash equivalents is included in interest and other income (expense), net in the consolidated statements of loss.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Financial instruments that potentially subject us to concentration of credit risk consist of cash and cash equivalents, investments and accounts receivable. Cash is currently held in three financial institutions and, at times, may exceed federally insured limits.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accounts receivable are derived principally from revenue earned from customers located in Americas, Europe, Middle East and Asia Pacific regions.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53"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As of</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540" w:type="dxa"/>
            <w:vAlign w:val="bottom"/>
          </w:tcPr>
          <w:p>
            <w:pPr>
              <w:spacing w:after="0"/>
              <w:rPr>
                <w:sz w:val="13"/>
                <w:szCs w:val="13"/>
                <w:color w:val="auto"/>
              </w:rPr>
            </w:pPr>
          </w:p>
        </w:tc>
        <w:tc>
          <w:tcPr>
            <w:tcW w:w="1420" w:type="dxa"/>
            <w:vAlign w:val="bottom"/>
            <w:tcBorders>
              <w:top w:val="single" w:sz="8" w:color="auto"/>
            </w:tcBorders>
          </w:tcPr>
          <w:p>
            <w:pPr>
              <w:jc w:val="center"/>
              <w:ind w:left="308"/>
              <w:spacing w:after="0" w:line="154" w:lineRule="exact"/>
              <w:rPr>
                <w:sz w:val="20"/>
                <w:szCs w:val="20"/>
                <w:color w:val="auto"/>
              </w:rPr>
            </w:pPr>
            <w:r>
              <w:rPr>
                <w:rFonts w:ascii="Arial" w:cs="Arial" w:eastAsia="Arial" w:hAnsi="Arial"/>
                <w:sz w:val="14"/>
                <w:szCs w:val="14"/>
                <w:b w:val="1"/>
                <w:bCs w:val="1"/>
                <w:color w:val="auto"/>
              </w:rPr>
              <w:t>September 30,</w:t>
            </w: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right"/>
              <w:ind w:right="368"/>
              <w:spacing w:after="0" w:line="154"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5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r>
      <w:tr>
        <w:trPr>
          <w:trHeight w:val="196"/>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97"/>
        </w:trPr>
        <w:tc>
          <w:tcPr>
            <w:tcW w:w="896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33 %</w:t>
            </w:r>
          </w:p>
        </w:tc>
      </w:tr>
      <w:tr>
        <w:trPr>
          <w:trHeight w:val="208"/>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bl>
    <w:p>
      <w:pPr>
        <w:spacing w:after="0" w:line="9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Customer accounted for less than 10% of total accounts receivable at period end.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6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02"/>
        </w:trPr>
        <w:tc>
          <w:tcPr>
            <w:tcW w:w="4860" w:type="dxa"/>
            <w:vAlign w:val="bottom"/>
            <w:gridSpan w:val="2"/>
            <w:shd w:val="clear" w:color="auto" w:fill="CCEEFF"/>
          </w:tcPr>
          <w:p>
            <w:pPr>
              <w:jc w:val="right"/>
              <w:ind w:right="4008"/>
              <w:spacing w:after="0"/>
              <w:rPr>
                <w:sz w:val="20"/>
                <w:szCs w:val="20"/>
                <w:color w:val="auto"/>
              </w:rPr>
            </w:pPr>
            <w:r>
              <w:rPr>
                <w:rFonts w:ascii="Arial" w:cs="Arial" w:eastAsia="Arial" w:hAnsi="Arial"/>
                <w:sz w:val="14"/>
                <w:szCs w:val="14"/>
                <w:color w:val="auto"/>
              </w:rPr>
              <w:t>Customer B</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significant changes to the Company’s significant accounting policies during the nine months ended September 30, 2022 from those disclosed in the annual consolidated financial statements for the year ended December 31, 2021, except for those disclosed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investments in debt securities have been classified as “available-for-sale” and are carried at estimated fair value as determined based upon quoted market prices or pricing models for similar securities. Management determines the appropriate classification of its investments in debt securities at the time of purchase and reevaluates such designation as of each balance sheet date. Short-term investments have original maturities of greater than three months but one year or less as of the consolidated balance sheet dates. Long-term investments have maturities greater than one year as of the consolidated balance sheet dates. If the Company expects to sell a debt security within one year, it will classify the investment as a short-term investment regardless of its stated maturity date.</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available-for-sale securities are reported at fair value with unrealized gains and losses included in accumulated other comprehensive income (loss). A decline in the fair value of the available-for-sale securities is recognized directly to net income (loss) if judged to be other than temporary. Interest earned on investments in debt securities, realized gains and losses and impairment losses, if any, on investments in debt securities are included in interest and other income (expense), net in the consolidated statements of loss. The cost of securities sold is based on the specific-identification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uses the equity method to account for its investments in companies which the Company does not control but is deemed to have the ability to exercise significant influence over operating and financial decisions of the investee.</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generally measures an investment in the common stock of an investee initially at cost. The carrying value of the Company’s equity method investments is reported in equity method investment on the condensed consolidated balance sheets. The Company records its proportionate share of the income or loss in its equity method investments on a one-quarter lag. The cost is adjusted to recognize the Company's proportionate share of the investee’s net income or loss after the date of investment. The Company assesses investments for impairment whenever events or changes in circumstances indicate that the carrying value of an investment may not be recoverable.</w:t>
      </w:r>
    </w:p>
    <w:p>
      <w:pPr>
        <w:spacing w:after="0" w:line="2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Distributions received from an investee reduce the carrying value of an investment and are recorded in the consolidated statements of cash flows using the nature of distribution approach.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and in May 2019 issued ASU</w:t>
      </w:r>
      <w:r>
        <w:rPr>
          <w:rFonts w:ascii="Arial" w:cs="Arial" w:eastAsia="Arial" w:hAnsi="Arial"/>
          <w:sz w:val="18"/>
          <w:szCs w:val="18"/>
          <w:i w:val="1"/>
          <w:iCs w:val="1"/>
          <w:color w:val="auto"/>
        </w:rPr>
        <w:t xml:space="preserve"> No. 2019</w:t>
      </w:r>
      <w:r>
        <w:rPr>
          <w:rFonts w:ascii="Arial" w:cs="Arial" w:eastAsia="Arial" w:hAnsi="Arial"/>
          <w:sz w:val="18"/>
          <w:szCs w:val="18"/>
          <w:color w:val="auto"/>
        </w:rPr>
        <w:t>-</w:t>
      </w:r>
      <w:r>
        <w:rPr>
          <w:rFonts w:ascii="Arial" w:cs="Arial" w:eastAsia="Arial" w:hAnsi="Arial"/>
          <w:sz w:val="18"/>
          <w:szCs w:val="18"/>
          <w:i w:val="1"/>
          <w:iCs w:val="1"/>
          <w:color w:val="auto"/>
        </w:rPr>
        <w:t xml:space="preserve">05, Credit Losses (Topic 326): Targeted Transition Relief </w:t>
      </w:r>
      <w:r>
        <w:rPr>
          <w:rFonts w:ascii="Arial" w:cs="Arial" w:eastAsia="Arial" w:hAnsi="Arial"/>
          <w:sz w:val="18"/>
          <w:szCs w:val="18"/>
          <w:color w:val="auto"/>
        </w:rPr>
        <w:t>(collectively 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as Topic </w:t>
      </w:r>
      <w:r>
        <w:rPr>
          <w:rFonts w:ascii="Arial" w:cs="Arial" w:eastAsia="Arial" w:hAnsi="Arial"/>
          <w:sz w:val="18"/>
          <w:szCs w:val="18"/>
          <w:i w:val="1"/>
          <w:iCs w:val="1"/>
          <w:color w:val="auto"/>
        </w:rPr>
        <w:t>326</w:t>
      </w:r>
      <w:r>
        <w:rPr>
          <w:rFonts w:ascii="Arial" w:cs="Arial" w:eastAsia="Arial" w:hAnsi="Arial"/>
          <w:sz w:val="18"/>
          <w:szCs w:val="18"/>
          <w:color w:val="auto"/>
        </w:rPr>
        <w:t>), which requires the measurement and recognition of expected credit losses for financial assets held at amortized cost. Topic 326 replaces the existing incurred loss impairment model with a forward-looking expected credit loss model which will result in earlier recognition of credit losses. Topic 326 is effective for the Company for fiscal years beginning after December 15, 2022, and interim periods within those fiscal years. The Company does not expect the adoption of this guidance to have a material impact on its consolidated financial statements and related disclosures.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Contracts with Customers. </w:t>
      </w:r>
      <w:r>
        <w:rPr>
          <w:rFonts w:ascii="Arial" w:cs="Arial" w:eastAsia="Arial" w:hAnsi="Arial"/>
          <w:sz w:val="18"/>
          <w:szCs w:val="18"/>
          <w:color w:val="auto"/>
        </w:rPr>
        <w:t>This standard requires contract assets and contract liabilities acquired in a business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be recognized in accordance with Topic 606 as if the acquirer had originated the contracts. The guidance is effective for fiscal years beginning after December 15, 2022, including interim periods within those years and early adoption is permitted. The Company is currently evaluating the impact that the standard will have on its consolidated financial statements and related disclosures.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 by product and services groups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9"/>
        </w:trPr>
        <w:tc>
          <w:tcPr>
            <w:tcW w:w="42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90"/>
        </w:trPr>
        <w:tc>
          <w:tcPr>
            <w:tcW w:w="4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r>
      <w:tr>
        <w:trPr>
          <w:trHeight w:val="20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35,743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24,353</w:t>
            </w:r>
          </w:p>
        </w:tc>
      </w:tr>
      <w:tr>
        <w:trPr>
          <w:trHeight w:val="196"/>
        </w:trPr>
        <w:tc>
          <w:tcPr>
            <w:tcW w:w="42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2,266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1,913</w:t>
            </w:r>
          </w:p>
        </w:tc>
      </w:tr>
      <w:tr>
        <w:trPr>
          <w:trHeight w:val="209"/>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190"/>
        </w:trPr>
        <w:tc>
          <w:tcPr>
            <w:tcW w:w="424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12,598</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39,175</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26,430</w:t>
            </w:r>
          </w:p>
        </w:tc>
      </w:tr>
      <w:tr>
        <w:trPr>
          <w:trHeight w:val="27"/>
        </w:trPr>
        <w:tc>
          <w:tcPr>
            <w:tcW w:w="4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accounts receivable, net, contract assets and deferred revenue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8"/>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440" w:type="dxa"/>
            <w:vAlign w:val="bottom"/>
          </w:tcPr>
          <w:p>
            <w:pPr>
              <w:jc w:val="right"/>
              <w:ind w:right="308"/>
              <w:spacing w:after="0" w:line="148"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13,873</w:t>
            </w: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Contract 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2,240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1,486</w:t>
            </w:r>
          </w:p>
        </w:tc>
      </w:tr>
      <w:tr>
        <w:trPr>
          <w:trHeight w:val="20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49,176</w:t>
            </w: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recognized revenue of $9.4 million and $6.2 million for the three months ended September 30, 2022 and 2021, respectively, and $22.0 million and $ 14.7 million for the nine months ended September 30, 2022 and 2021, respectively, that was included in the deferred revenue balance at the beginning of the respective periods.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Contracted but unsatisfied performance obligations were $49.7 million and $ 49.3 million as of September 30, 2022 and December 31, 2021, respectively, and included unearned revenue and non-cancelable Flexible Spending Account (FSA) Agreements from customers where actual product selection and quantities of specific products are to be determined by customers at a future period. FSA commitments amounted to nil and $0.2 million as of September 30, 2022 and December 31, 2021, respectively. The Company has elected to exclude the potential future royalty receipts from the remaining performance obligations. The contracted but unsatisfied or partially unsatisfied performance obligations, excluding non-cancelable FSA, expected to be recognized in revenue over the next 12 months as of September 30, 2022 are $28.9 million, with the remainder recognized thereafter.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Obtaining a Contract with a Customer</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Incremental costs of obtaining a contract with a customer consist primarily of direct sales commissions incurred upon execution of the contract. These costs are required to be capitalized under ASC 340-40, </w:t>
      </w:r>
      <w:r>
        <w:rPr>
          <w:rFonts w:ascii="Arial" w:cs="Arial" w:eastAsia="Arial" w:hAnsi="Arial"/>
          <w:sz w:val="18"/>
          <w:szCs w:val="18"/>
          <w:i w:val="1"/>
          <w:iCs w:val="1"/>
          <w:color w:val="auto"/>
        </w:rPr>
        <w:t>Other Assets and Deferred Costs — Contracts With Customers</w:t>
      </w:r>
      <w:r>
        <w:rPr>
          <w:rFonts w:ascii="Arial" w:cs="Arial" w:eastAsia="Arial" w:hAnsi="Arial"/>
          <w:sz w:val="18"/>
          <w:szCs w:val="18"/>
          <w:color w:val="auto"/>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8"/>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44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commissions capitalized in prepaid expenses and other current 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w:t>
            </w:r>
          </w:p>
        </w:tc>
      </w:tr>
      <w:tr>
        <w:trPr>
          <w:trHeight w:val="19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commissions capitalized in other assets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Amortization of capitalized sales commissions was $0.9 million and $0.6 million for the three months ended September 30, 2022 and 2021, respectively, and $2.5 million and $1.5 million for the nine months ended September 30, 2022 and 2021, respectively.</w:t>
      </w:r>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Amortization of capitalized sales commissions are included in sales and marketing expense in the condensed consolidated statements of loss.</w:t>
      </w:r>
    </w:p>
    <w:p>
      <w:pPr>
        <w:spacing w:after="0" w:line="17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r>
      <w:tr>
        <w:trPr>
          <w:trHeight w:val="189"/>
        </w:trPr>
        <w:tc>
          <w:tcPr>
            <w:tcW w:w="4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r>
      <w:tr>
        <w:trPr>
          <w:trHeight w:val="190"/>
        </w:trPr>
        <w:tc>
          <w:tcPr>
            <w:tcW w:w="4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7"/>
        </w:trPr>
        <w:tc>
          <w:tcPr>
            <w:tcW w:w="42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(7,684)</w:t>
            </w:r>
          </w:p>
        </w:tc>
        <w:tc>
          <w:tcPr>
            <w:tcW w:w="80" w:type="dxa"/>
            <w:vAlign w:val="bottom"/>
          </w:tcPr>
          <w:p>
            <w:pPr>
              <w:spacing w:after="0"/>
              <w:rPr>
                <w:sz w:val="17"/>
                <w:szCs w:val="17"/>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(4,968)</w:t>
            </w:r>
          </w:p>
        </w:tc>
        <w:tc>
          <w:tcPr>
            <w:tcW w:w="10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(20,172)</w:t>
            </w:r>
          </w:p>
        </w:tc>
        <w:tc>
          <w:tcPr>
            <w:tcW w:w="80" w:type="dxa"/>
            <w:vAlign w:val="bottom"/>
          </w:tcPr>
          <w:p>
            <w:pPr>
              <w:spacing w:after="0"/>
              <w:rPr>
                <w:sz w:val="17"/>
                <w:szCs w:val="17"/>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(15,594)</w:t>
            </w:r>
          </w:p>
        </w:tc>
      </w:tr>
      <w:tr>
        <w:trPr>
          <w:trHeight w:val="20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7"/>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shares outstanding - basic and diluted</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32,836,014</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20,578,386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32,228,429</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19,768,574</w:t>
            </w:r>
          </w:p>
        </w:tc>
      </w:tr>
      <w:tr>
        <w:trPr>
          <w:trHeight w:val="221"/>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the Company was in a loss position for all periods presented, the diluted earnings per share is equal to the basic earnings per share as the effect of potentially dilutive securities would have been antidilutive.</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potentially dilutive securities that were excluded from the calculation of diluted earnings per share because they would be antidilutive: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196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rPr>
              <w:t>As of</w:t>
            </w:r>
          </w:p>
        </w:tc>
        <w:tc>
          <w:tcPr>
            <w:tcW w:w="154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96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September 30, 2022</w:t>
            </w:r>
          </w:p>
        </w:tc>
        <w:tc>
          <w:tcPr>
            <w:tcW w:w="1540" w:type="dxa"/>
            <w:vAlign w:val="bottom"/>
          </w:tcPr>
          <w:p>
            <w:pPr>
              <w:jc w:val="right"/>
              <w:ind w:right="108"/>
              <w:spacing w:after="0"/>
              <w:rPr>
                <w:sz w:val="20"/>
                <w:szCs w:val="20"/>
                <w:color w:val="auto"/>
              </w:rPr>
            </w:pPr>
            <w:r>
              <w:rPr>
                <w:rFonts w:ascii="Arial" w:cs="Arial" w:eastAsia="Arial" w:hAnsi="Arial"/>
                <w:sz w:val="14"/>
                <w:szCs w:val="14"/>
                <w:b w:val="1"/>
                <w:bCs w:val="1"/>
                <w:color w:val="auto"/>
              </w:rPr>
              <w:t>September 30, 2021</w:t>
            </w:r>
          </w:p>
        </w:tc>
      </w:tr>
      <w:tr>
        <w:trPr>
          <w:trHeight w:val="202"/>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4,037,721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5,964,043</w:t>
            </w: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700" w:type="dxa"/>
            <w:vAlign w:val="bottom"/>
          </w:tcPr>
          <w:p>
            <w:pPr>
              <w:jc w:val="right"/>
              <w:spacing w:after="0"/>
              <w:rPr>
                <w:sz w:val="20"/>
                <w:szCs w:val="20"/>
                <w:color w:val="auto"/>
              </w:rPr>
            </w:pPr>
            <w:r>
              <w:rPr>
                <w:rFonts w:ascii="Arial" w:cs="Arial" w:eastAsia="Arial" w:hAnsi="Arial"/>
                <w:sz w:val="14"/>
                <w:szCs w:val="14"/>
                <w:color w:val="auto"/>
              </w:rPr>
              <w:t>5,104,347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3,935,229</w:t>
            </w:r>
          </w:p>
        </w:tc>
      </w:tr>
      <w:tr>
        <w:trPr>
          <w:trHeight w:val="20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9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4,471,316</w:t>
            </w: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9,142,068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14,370,588</w:t>
            </w:r>
          </w:p>
        </w:tc>
      </w:tr>
      <w:tr>
        <w:trPr>
          <w:trHeight w:val="27"/>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4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tables summarize the fair value and amortized cost of the Company’s cash equivalents and available-for-sale securities by major security type: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Unrealized Gain/(Loss)</w:t>
            </w:r>
          </w:p>
        </w:tc>
        <w:tc>
          <w:tcPr>
            <w:tcW w:w="120" w:type="dxa"/>
            <w:vAlign w:val="bottom"/>
          </w:tcPr>
          <w:p>
            <w:pPr>
              <w:spacing w:after="0"/>
              <w:rPr>
                <w:sz w:val="17"/>
                <w:szCs w:val="17"/>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b w:val="1"/>
                <w:bCs w:val="1"/>
                <w:color w:val="auto"/>
              </w:rPr>
              <w:t>Aggregate Fair Value</w:t>
            </w:r>
          </w:p>
        </w:tc>
      </w:tr>
      <w:tr>
        <w:trPr>
          <w:trHeight w:val="195"/>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4"/>
        </w:trPr>
        <w:tc>
          <w:tcPr>
            <w:tcW w:w="594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43,334</w:t>
            </w:r>
          </w:p>
        </w:tc>
        <w:tc>
          <w:tcPr>
            <w:tcW w:w="100" w:type="dxa"/>
            <w:vAlign w:val="bottom"/>
          </w:tcPr>
          <w:p>
            <w:pPr>
              <w:spacing w:after="0"/>
              <w:rPr>
                <w:sz w:val="19"/>
                <w:szCs w:val="19"/>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43,334</w:t>
            </w:r>
          </w:p>
        </w:tc>
      </w:tr>
      <w:tr>
        <w:trPr>
          <w:trHeight w:val="235"/>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w:t>
            </w:r>
          </w:p>
        </w:tc>
      </w:tr>
      <w:tr>
        <w:trPr>
          <w:trHeight w:val="223"/>
        </w:trPr>
        <w:tc>
          <w:tcPr>
            <w:tcW w:w="594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2,483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2,475</w:t>
            </w:r>
          </w:p>
        </w:tc>
      </w:tr>
      <w:tr>
        <w:trPr>
          <w:trHeight w:val="235"/>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agency securities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14,940</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14,928</w:t>
            </w:r>
          </w:p>
        </w:tc>
      </w:tr>
      <w:tr>
        <w:trPr>
          <w:trHeight w:val="204"/>
        </w:trPr>
        <w:tc>
          <w:tcPr>
            <w:tcW w:w="5940" w:type="dxa"/>
            <w:vAlign w:val="bottom"/>
          </w:tcPr>
          <w:p>
            <w:pPr>
              <w:ind w:left="20"/>
              <w:spacing w:after="0"/>
              <w:rPr>
                <w:sz w:val="20"/>
                <w:szCs w:val="20"/>
                <w:color w:val="auto"/>
              </w:rPr>
            </w:pPr>
            <w:r>
              <w:rPr>
                <w:rFonts w:ascii="Arial" w:cs="Arial" w:eastAsia="Arial" w:hAnsi="Arial"/>
                <w:sz w:val="14"/>
                <w:szCs w:val="14"/>
                <w:color w:val="auto"/>
              </w:rPr>
              <w:t>U.S. treasury securities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4,498</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4,498</w:t>
            </w:r>
          </w:p>
        </w:tc>
      </w:tr>
      <w:tr>
        <w:trPr>
          <w:trHeight w:val="25"/>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67,699</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67,678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dates of the Company’s investments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September 30, 2022</w:t>
            </w:r>
          </w:p>
        </w:tc>
      </w:tr>
      <w:tr>
        <w:trPr>
          <w:trHeight w:val="202"/>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65,695</w:t>
            </w:r>
          </w:p>
        </w:tc>
      </w:tr>
      <w:tr>
        <w:trPr>
          <w:trHeight w:val="19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1-2 years</w:t>
            </w: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1,983</w:t>
            </w:r>
          </w:p>
        </w:tc>
      </w:tr>
      <w:tr>
        <w:trPr>
          <w:trHeight w:val="221"/>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67,678</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impairments of available-for-sale securities during the three and nine months ended September 30, 2022.</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did not invest in any available-for-sale securities during 2021 and did not have any available-for-sale securities as of December 31, 2021.</w:t>
      </w:r>
    </w:p>
    <w:p>
      <w:pPr>
        <w:spacing w:after="0" w:line="176"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and Recorded at Fair Value on a Non-Recurring Basis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Equity method investments, and certain non-financial assets, such as intangible assets and property, plant and equipment, are remeasured at fair value only if an impairment or observable price adjustment is recognized in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instruments not recorded at fair value on a recurring basis include vendor financing arrangements. The carrying value of the vendor financing agreements were $1.9 million as of September 30, 2022 and $1.1 million as of December 31, 2021, respectively. The Company’s vendor financing arrangements are classified within Level 2 because these borrowings are not actively traded and have a variable interest rate structure based upon market rates currently available to the Company for debt with similar terms and maturities. The estimated fair values of these financial instruments approximate their carrying values.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Recorded at Fair Value on a Recurring Basis</w:t>
      </w:r>
    </w:p>
    <w:p>
      <w:pPr>
        <w:spacing w:after="0" w:line="27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As of</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3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September 30, 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36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204"/>
        </w:trPr>
        <w:tc>
          <w:tcPr>
            <w:tcW w:w="366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5"/>
        </w:trPr>
        <w:tc>
          <w:tcPr>
            <w:tcW w:w="3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43,334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43,334</w:t>
            </w:r>
          </w:p>
        </w:tc>
      </w:tr>
      <w:tr>
        <w:trPr>
          <w:trHeight w:val="224"/>
        </w:trPr>
        <w:tc>
          <w:tcPr>
            <w:tcW w:w="3660" w:type="dxa"/>
            <w:vAlign w:val="bottom"/>
          </w:tcPr>
          <w:p>
            <w:pPr>
              <w:ind w:left="140"/>
              <w:spacing w:after="0"/>
              <w:rPr>
                <w:sz w:val="20"/>
                <w:szCs w:val="20"/>
                <w:color w:val="auto"/>
              </w:rPr>
            </w:pPr>
            <w:r>
              <w:rPr>
                <w:rFonts w:ascii="Arial" w:cs="Arial" w:eastAsia="Arial" w:hAnsi="Arial"/>
                <w:sz w:val="14"/>
                <w:szCs w:val="14"/>
                <w:color w:val="auto"/>
              </w:rPr>
              <w:t>Commercial paper</w:t>
            </w:r>
          </w:p>
        </w:tc>
        <w:tc>
          <w:tcPr>
            <w:tcW w:w="1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235"/>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11,463</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11,463</w:t>
            </w:r>
          </w:p>
        </w:tc>
      </w:tr>
      <w:tr>
        <w:trPr>
          <w:trHeight w:val="223"/>
        </w:trPr>
        <w:tc>
          <w:tcPr>
            <w:tcW w:w="3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U.S. treasury securities</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4,498</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4,498</w:t>
            </w:r>
          </w:p>
        </w:tc>
      </w:tr>
      <w:tr>
        <w:trPr>
          <w:trHeight w:val="215"/>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cash equivalents</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43,334</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61,295</w:t>
            </w:r>
          </w:p>
        </w:tc>
      </w:tr>
      <w:tr>
        <w:trPr>
          <w:trHeight w:val="184"/>
        </w:trPr>
        <w:tc>
          <w:tcPr>
            <w:tcW w:w="366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5"/>
        </w:trPr>
        <w:tc>
          <w:tcPr>
            <w:tcW w:w="3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paper</w:t>
            </w:r>
          </w:p>
        </w:tc>
        <w:tc>
          <w:tcPr>
            <w:tcW w:w="1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r>
      <w:tr>
        <w:trPr>
          <w:trHeight w:val="223"/>
        </w:trPr>
        <w:tc>
          <w:tcPr>
            <w:tcW w:w="366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1,986</w:t>
            </w:r>
          </w:p>
        </w:tc>
      </w:tr>
      <w:tr>
        <w:trPr>
          <w:trHeight w:val="235"/>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1,971</w:t>
            </w:r>
          </w:p>
        </w:tc>
      </w:tr>
      <w:tr>
        <w:trPr>
          <w:trHeight w:val="204"/>
        </w:trPr>
        <w:tc>
          <w:tcPr>
            <w:tcW w:w="3660" w:type="dxa"/>
            <w:vAlign w:val="bottom"/>
          </w:tcPr>
          <w:p>
            <w:pPr>
              <w:ind w:left="20"/>
              <w:spacing w:after="0"/>
              <w:rPr>
                <w:sz w:val="20"/>
                <w:szCs w:val="20"/>
                <w:color w:val="auto"/>
              </w:rPr>
            </w:pPr>
            <w:r>
              <w:rPr>
                <w:rFonts w:ascii="Arial" w:cs="Arial" w:eastAsia="Arial" w:hAnsi="Arial"/>
                <w:sz w:val="14"/>
                <w:szCs w:val="14"/>
                <w:color w:val="auto"/>
              </w:rPr>
              <w:t>Total short-term investments</w:t>
            </w:r>
          </w:p>
        </w:tc>
        <w:tc>
          <w:tcPr>
            <w:tcW w:w="1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4,400</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4,400</w:t>
            </w:r>
          </w:p>
        </w:tc>
      </w:tr>
      <w:tr>
        <w:trPr>
          <w:trHeight w:val="195"/>
        </w:trPr>
        <w:tc>
          <w:tcPr>
            <w:tcW w:w="3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investments:</w:t>
            </w: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3"/>
        </w:trPr>
        <w:tc>
          <w:tcPr>
            <w:tcW w:w="366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489</w:t>
            </w:r>
          </w:p>
        </w:tc>
      </w:tr>
      <w:tr>
        <w:trPr>
          <w:trHeight w:val="235"/>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0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w:t>
            </w:r>
          </w:p>
        </w:tc>
      </w:tr>
      <w:tr>
        <w:trPr>
          <w:trHeight w:val="20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long-term investments</w:t>
            </w: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1,983</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1,983</w:t>
            </w:r>
          </w:p>
        </w:tc>
      </w:tr>
      <w:tr>
        <w:trPr>
          <w:trHeight w:val="222"/>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43,334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24,344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67,678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Money market funds are highly liquid investments and are actively traded. The fair value is based on quoted prices for identical assets in active markets and therefore classified as Level 1 of the fair value hierarchy.</w:t>
      </w:r>
    </w:p>
    <w:p>
      <w:pPr>
        <w:spacing w:after="0" w:line="22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Company’s other investments are considered Level 2 financial instruments as their fair values are determined using inputs that are directly or indirectly observable in active or less active markets. There were no transfers between levels during the three and nine months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2022.</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investments in available-for-sale securities as of December 31, 2021.</w:t>
      </w:r>
    </w:p>
    <w:p>
      <w:pPr>
        <w:spacing w:after="0" w:line="203" w:lineRule="exact"/>
        <w:rPr>
          <w:sz w:val="20"/>
          <w:szCs w:val="20"/>
          <w:color w:val="auto"/>
        </w:rPr>
      </w:pPr>
    </w:p>
    <w:p>
      <w:pPr>
        <w:ind w:right="7540" w:firstLine="8"/>
        <w:spacing w:after="0" w:line="513" w:lineRule="auto"/>
        <w:tabs>
          <w:tab w:leader="none" w:pos="35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 Intangible assets,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September 30, 2022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27"/>
        </w:trPr>
        <w:tc>
          <w:tcPr>
            <w:tcW w:w="5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December 31, 2021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1,332</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27"/>
        </w:trPr>
        <w:tc>
          <w:tcPr>
            <w:tcW w:w="5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Amortization expense of intangible assets was $0.1 million for both the three months ended September 30, 2022 and 2021, and $0.4 million for both the nine months ended September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amortization expense of these intangible assets as of September 30, 2022 is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5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Amount</w:t>
            </w:r>
          </w:p>
        </w:tc>
      </w:tr>
      <w:tr>
        <w:trPr>
          <w:trHeight w:val="20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96"/>
        </w:trPr>
        <w:tc>
          <w:tcPr>
            <w:tcW w:w="8980" w:type="dxa"/>
            <w:vAlign w:val="bottom"/>
          </w:tcPr>
          <w:p>
            <w:pPr>
              <w:ind w:left="20"/>
              <w:spacing w:after="0"/>
              <w:rPr>
                <w:sz w:val="20"/>
                <w:szCs w:val="20"/>
                <w:color w:val="auto"/>
              </w:rPr>
            </w:pPr>
            <w:r>
              <w:rPr>
                <w:rFonts w:ascii="Arial" w:cs="Arial" w:eastAsia="Arial" w:hAnsi="Arial"/>
                <w:sz w:val="14"/>
                <w:szCs w:val="14"/>
                <w:color w:val="auto"/>
              </w:rPr>
              <w:t>2023</w:t>
            </w:r>
          </w:p>
        </w:tc>
        <w:tc>
          <w:tcPr>
            <w:tcW w:w="5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478</w:t>
            </w:r>
          </w:p>
        </w:tc>
      </w:tr>
      <w:tr>
        <w:trPr>
          <w:trHeight w:val="209"/>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r>
      <w:tr>
        <w:trPr>
          <w:trHeight w:val="196"/>
        </w:trPr>
        <w:tc>
          <w:tcPr>
            <w:tcW w:w="8980" w:type="dxa"/>
            <w:vAlign w:val="bottom"/>
          </w:tcPr>
          <w:p>
            <w:pPr>
              <w:ind w:left="20"/>
              <w:spacing w:after="0"/>
              <w:rPr>
                <w:sz w:val="20"/>
                <w:szCs w:val="20"/>
                <w:color w:val="auto"/>
              </w:rPr>
            </w:pPr>
            <w:r>
              <w:rPr>
                <w:rFonts w:ascii="Arial" w:cs="Arial" w:eastAsia="Arial" w:hAnsi="Arial"/>
                <w:sz w:val="14"/>
                <w:szCs w:val="14"/>
                <w:color w:val="auto"/>
              </w:rPr>
              <w:t>2025</w:t>
            </w:r>
          </w:p>
        </w:tc>
        <w:tc>
          <w:tcPr>
            <w:tcW w:w="5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449</w:t>
            </w:r>
          </w:p>
        </w:tc>
      </w:tr>
      <w:tr>
        <w:trPr>
          <w:trHeight w:val="208"/>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197"/>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r>
      <w:tr>
        <w:trPr>
          <w:trHeight w:val="227"/>
        </w:trPr>
        <w:tc>
          <w:tcPr>
            <w:tcW w:w="8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future amortization expense</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September 30, 2022 and December 31, 2021, goodwill was $2.7 million. No goodwill impairments were recorded during the three and nine months ended September 30, 2022 and 2021.</w:t>
      </w:r>
    </w:p>
    <w:p>
      <w:pPr>
        <w:spacing w:after="0" w:line="17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leases its offices at various locations under noncancelable operating lease agreements expiring at various dates through 2027. Under the terms of these agreements, the Company also bears the costs for certain insurance, property tax, and maintenance. The terms of certain lease agreements provide for increasing rental payments at fixed intervals.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related costs were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6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9"/>
        </w:trPr>
        <w:tc>
          <w:tcPr>
            <w:tcW w:w="41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90"/>
        </w:trPr>
        <w:tc>
          <w:tcPr>
            <w:tcW w:w="4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02"/>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r>
      <w:tr>
        <w:trPr>
          <w:trHeight w:val="196"/>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weighted-average remaining term of the Company’s operating leases was 3.2 years and 3.6 years as of September 30, 2022 and December 31, 2021, respectively, and the weighted-average discount rate used to measure the present value of the operating lease liabilities was 7.5% as of both September 30, 2022 and December 31,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September 30, 2022 were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Amount</w:t>
            </w:r>
          </w:p>
        </w:tc>
      </w:tr>
      <w:tr>
        <w:trPr>
          <w:trHeight w:val="202"/>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r>
      <w:tr>
        <w:trPr>
          <w:trHeight w:val="196"/>
        </w:trPr>
        <w:tc>
          <w:tcPr>
            <w:tcW w:w="9540" w:type="dxa"/>
            <w:vAlign w:val="bottom"/>
          </w:tcPr>
          <w:p>
            <w:pPr>
              <w:ind w:left="20"/>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990</w:t>
            </w:r>
          </w:p>
        </w:tc>
      </w:tr>
      <w:tr>
        <w:trPr>
          <w:trHeight w:val="20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r>
      <w:tr>
        <w:trPr>
          <w:trHeight w:val="196"/>
        </w:trPr>
        <w:tc>
          <w:tcPr>
            <w:tcW w:w="9540" w:type="dxa"/>
            <w:vAlign w:val="bottom"/>
          </w:tcPr>
          <w:p>
            <w:pPr>
              <w:ind w:left="20"/>
              <w:spacing w:after="0"/>
              <w:rPr>
                <w:sz w:val="20"/>
                <w:szCs w:val="20"/>
                <w:color w:val="auto"/>
              </w:rPr>
            </w:pPr>
            <w:r>
              <w:rPr>
                <w:rFonts w:ascii="Arial" w:cs="Arial" w:eastAsia="Arial" w:hAnsi="Arial"/>
                <w:sz w:val="14"/>
                <w:szCs w:val="14"/>
                <w:color w:val="auto"/>
              </w:rPr>
              <w:t>2025</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0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196"/>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r>
      <w:tr>
        <w:trPr>
          <w:trHeight w:val="202"/>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w:t>
            </w:r>
          </w:p>
        </w:tc>
      </w:tr>
      <w:tr>
        <w:trPr>
          <w:trHeight w:val="19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r>
      <w:tr>
        <w:trPr>
          <w:trHeight w:val="221"/>
        </w:trPr>
        <w:tc>
          <w:tcPr>
            <w:tcW w:w="9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Present value of lease liabilities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9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r>
      <w:tr>
        <w:trPr>
          <w:trHeight w:val="19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w:t>
            </w:r>
          </w:p>
        </w:tc>
      </w:tr>
      <w:tr>
        <w:trPr>
          <w:trHeight w:val="221"/>
        </w:trPr>
        <w:tc>
          <w:tcPr>
            <w:tcW w:w="9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Vendor financing arrangements</w:t>
      </w:r>
      <w:r>
        <w:rPr>
          <w:rFonts w:ascii="Arial" w:cs="Arial" w:eastAsia="Arial" w:hAnsi="Arial"/>
          <w:sz w:val="18"/>
          <w:szCs w:val="18"/>
          <w:color w:val="auto"/>
        </w:rPr>
        <w:t>—The Company has various vendor financing arrangements with extended payment terms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of software licenses and equipment. In order to determine the present value of the commitments, the Company used an imputed interest rate of 7.5%, which is reflective of its collateralized borrowing rate with similar terms to that of the software licenses and equipment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Vendor financing arrangements as of September 30, 2022 were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Amount</w:t>
            </w:r>
          </w:p>
        </w:tc>
      </w:tr>
      <w:tr>
        <w:trPr>
          <w:trHeight w:val="202"/>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r>
      <w:tr>
        <w:trPr>
          <w:trHeight w:val="197"/>
        </w:trPr>
        <w:tc>
          <w:tcPr>
            <w:tcW w:w="9540" w:type="dxa"/>
            <w:vAlign w:val="bottom"/>
          </w:tcPr>
          <w:p>
            <w:pPr>
              <w:ind w:left="20"/>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1,100</w:t>
            </w:r>
          </w:p>
        </w:tc>
      </w:tr>
      <w:tr>
        <w:trPr>
          <w:trHeight w:val="208"/>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r>
      <w:tr>
        <w:trPr>
          <w:trHeight w:val="190"/>
        </w:trPr>
        <w:tc>
          <w:tcPr>
            <w:tcW w:w="9540" w:type="dxa"/>
            <w:vAlign w:val="bottom"/>
          </w:tcPr>
          <w:p>
            <w:pPr>
              <w:ind w:left="20"/>
              <w:spacing w:after="0"/>
              <w:rPr>
                <w:sz w:val="20"/>
                <w:szCs w:val="20"/>
                <w:color w:val="auto"/>
              </w:rPr>
            </w:pPr>
            <w:r>
              <w:rPr>
                <w:rFonts w:ascii="Arial" w:cs="Arial" w:eastAsia="Arial" w:hAnsi="Arial"/>
                <w:sz w:val="14"/>
                <w:szCs w:val="14"/>
                <w:color w:val="auto"/>
              </w:rPr>
              <w:t>Total undiscounted cash flows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2,058</w:t>
            </w:r>
          </w:p>
        </w:tc>
      </w:tr>
      <w:tr>
        <w:trPr>
          <w:trHeight w:val="20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r>
      <w:tr>
        <w:trPr>
          <w:trHeight w:val="190"/>
        </w:trPr>
        <w:tc>
          <w:tcPr>
            <w:tcW w:w="9540" w:type="dxa"/>
            <w:vAlign w:val="bottom"/>
          </w:tcPr>
          <w:p>
            <w:pPr>
              <w:ind w:left="20"/>
              <w:spacing w:after="0"/>
              <w:rPr>
                <w:sz w:val="20"/>
                <w:szCs w:val="20"/>
                <w:color w:val="auto"/>
              </w:rPr>
            </w:pPr>
            <w:r>
              <w:rPr>
                <w:rFonts w:ascii="Arial" w:cs="Arial" w:eastAsia="Arial" w:hAnsi="Arial"/>
                <w:sz w:val="14"/>
                <w:szCs w:val="14"/>
                <w:color w:val="auto"/>
              </w:rPr>
              <w:t>Present value of vendor financing arrangements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1,935</w:t>
            </w:r>
          </w:p>
        </w:tc>
      </w:tr>
      <w:tr>
        <w:trPr>
          <w:trHeight w:val="20"/>
        </w:trPr>
        <w:tc>
          <w:tcPr>
            <w:tcW w:w="9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3"/>
        </w:trPr>
        <w:tc>
          <w:tcPr>
            <w:tcW w:w="95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197"/>
        </w:trPr>
        <w:tc>
          <w:tcPr>
            <w:tcW w:w="9540" w:type="dxa"/>
            <w:vAlign w:val="bottom"/>
          </w:tcPr>
          <w:p>
            <w:pPr>
              <w:ind w:left="20"/>
              <w:spacing w:after="0"/>
              <w:rPr>
                <w:sz w:val="20"/>
                <w:szCs w:val="20"/>
                <w:color w:val="auto"/>
              </w:rPr>
            </w:pPr>
            <w:r>
              <w:rPr>
                <w:rFonts w:ascii="Arial" w:cs="Arial" w:eastAsia="Arial" w:hAnsi="Arial"/>
                <w:sz w:val="14"/>
                <w:szCs w:val="14"/>
                <w:color w:val="auto"/>
              </w:rPr>
              <w:t>Vendor financing arrangements, current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1,502</w:t>
            </w:r>
          </w:p>
        </w:tc>
      </w:tr>
      <w:tr>
        <w:trPr>
          <w:trHeight w:val="202"/>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w:t>
            </w:r>
          </w:p>
        </w:tc>
      </w:tr>
      <w:tr>
        <w:trPr>
          <w:trHeight w:val="196"/>
        </w:trPr>
        <w:tc>
          <w:tcPr>
            <w:tcW w:w="954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1,935</w:t>
            </w:r>
          </w:p>
        </w:tc>
      </w:tr>
      <w:tr>
        <w:trPr>
          <w:trHeight w:val="26"/>
        </w:trPr>
        <w:tc>
          <w:tcPr>
            <w:tcW w:w="9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was less than $0.1 million for both the three months ended September 30, 2022 and 2021. Interest expense was $0.1 million for both the nine months ended September 30, 2022 and 2021.</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Indemnifications</w:t>
      </w:r>
      <w:r>
        <w:rPr>
          <w:rFonts w:ascii="Arial" w:cs="Arial" w:eastAsia="Arial" w:hAnsi="Arial"/>
          <w:sz w:val="18"/>
          <w:szCs w:val="18"/>
          <w:color w:val="auto"/>
        </w:rPr>
        <w:t>—The Company often enters into limited indemnification provisions in license agreements in the ordinary course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 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incurred no actual payment obligations from these above-noted indemnification provisions and director and officer indemnity agreements for three and nine months ended September 30, 2022 and 2021 and the condensed consolidated financial statements do not include liabilities for any potential indemnity-related obligations as of September 30, 2022 and December 31, 2021.</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Legal—</w:t>
      </w:r>
      <w:r>
        <w:rPr>
          <w:rFonts w:ascii="Arial" w:cs="Arial" w:eastAsia="Arial" w:hAnsi="Arial"/>
          <w:sz w:val="18"/>
          <w:szCs w:val="18"/>
          <w:color w:val="auto"/>
        </w:rPr>
        <w:t>In the normal course of business, the Company may receive inquiries or become involved in legal disputes regarding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 matters. Although claims are inherently unpredictable, the Company currently is not aware of any matters that may have a material adverse effect on the Company’s financial position,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other material contractual noncancelable commitments as of September 30, 2022 and December 31, 2021.</w:t>
      </w:r>
    </w:p>
    <w:p>
      <w:pPr>
        <w:spacing w:after="0" w:line="203" w:lineRule="exact"/>
        <w:rPr>
          <w:sz w:val="20"/>
          <w:szCs w:val="20"/>
          <w:color w:val="auto"/>
        </w:rPr>
      </w:pPr>
    </w:p>
    <w:p>
      <w:pPr>
        <w:ind w:right="2400" w:firstLine="8"/>
        <w:spacing w:after="0" w:line="451"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 PREFERRED STOCK AND COMMON STOCK Redeemable Convertible Preferred Stock</w:t>
      </w:r>
    </w:p>
    <w:p>
      <w:pPr>
        <w:jc w:val="both"/>
        <w:spacing w:after="0" w:line="254" w:lineRule="auto"/>
        <w:rPr>
          <w:sz w:val="20"/>
          <w:szCs w:val="20"/>
          <w:color w:val="auto"/>
        </w:rPr>
      </w:pPr>
      <w:r>
        <w:rPr>
          <w:rFonts w:ascii="Arial" w:cs="Arial" w:eastAsia="Arial" w:hAnsi="Arial"/>
          <w:sz w:val="18"/>
          <w:szCs w:val="18"/>
          <w:color w:val="auto"/>
        </w:rPr>
        <w:t>Immediately prior to the closing of the IPO, all shares of the Company’s redeemable convertible preferred stock outstanding, totaling 4,471,316, were automatically converted into an equal number of shares of common stock and their carrying value of $ 5.7 million was reclassified into stockholders’ equity. As of both September 30, 2022 and December 31, 2021, there were zero shares of redeemable convertible preferred stock issued and outstanding.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the IPO, the Company amended and restated its certificate of incorporation to authorize 10,000,000 shares of preferred stock with a par value of $0.001, which shares of preferred stock are currently undesignated.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Holders of common stock are entitled to one vote per share and to receive dividends and, upon liquidation or dissolution, are entitled to receive all assets available for distribution to common stockholders. The common stock has no preemptive or other subscription rights and there are no redemption or sinking fund provisions with respect to such shares. Common stock is subordinate to the preferred stock with respect to dividend rights and rights upon liquidation, winding-up, and dissolution of the Company. In connection with the IPO, the Company amended and restated its certificate of incorporation to authorize 300,000,000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Plan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10, 2016, the Company amended and restated the 2013 Equity Incentive Plan (the 2013 Plan) and changed the name of the plan to Arteris, Inc. 2016 Incentive Plan (the 2016 Plan). Adoption of the 2016 Plan provides for participation by foreign nationals or those employed outside of the United States.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2016 Plan provides for the granting of the following types of stock awards: incentive stock options, non-statutory stock options, stock appreciation rights, restricted stock awards, restricted stock unit awards (RSUs) and other stock awards. The number of shares authorized for award was 20,803,838. The Company has granted awards of common stock in the form of 14,142,208 shares as of December 31, 2021. Following the Company’s IPO in October 2021, all future grants will be made under the 2021 Plan (as defined below), with none remaining available for future grant under the 2016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Plan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adopted the 2021 Incentive Award Plan (the 2021 Plan) effective October 26, 2021. The 2021 Plan provides for a variety of stock-based compensation awards, including stock options, stock appreciation rights, or SARs, restricted stock awards, restricted stock unit awards, performance bonus awards, performance stock unit awards, dividend equivalents, or other stock or cash based awards.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effectiveness of the 2021 Plan, the Company will not make any further grants under the 2016 Plan. However, the 2016 Plan will continue to govern the terms and conditions of the outstanding awards granted under this plan. Shares of common stock subject to awards granted under the 2016 Plan that are forfeited, lapse unexercised and withheld to cover taxes which following the effective date of the 2021 Plan are not issued under the 2016 Plan will be available for issuance under the 2021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adopted the 2021 Employee Stock Purchase Plan (the 2021 ESPP) effective on October 26, 2021. The 2021 ESPP would enable eligible employees of the Company to purchase shares of common stock at a discount to fair market value. As of September 30, 2022, there had been no offering period under the ESPP.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Future Grant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 consisted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48"/>
        </w:trPr>
        <w:tc>
          <w:tcPr>
            <w:tcW w:w="31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3100" w:type="dxa"/>
            <w:vAlign w:val="bottom"/>
            <w:tcBorders>
              <w:bottom w:val="single" w:sz="8" w:color="CCEEFF"/>
            </w:tcBorders>
          </w:tcPr>
          <w:p>
            <w:pPr>
              <w:spacing w:after="0"/>
              <w:rPr>
                <w:sz w:val="16"/>
                <w:szCs w:val="16"/>
                <w:color w:val="auto"/>
              </w:rPr>
            </w:pPr>
          </w:p>
        </w:tc>
        <w:tc>
          <w:tcPr>
            <w:tcW w:w="6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r>
      <w:tr>
        <w:trPr>
          <w:trHeight w:val="19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available for future grant under the 2021</w:t>
            </w:r>
          </w:p>
        </w:tc>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3,469,764</w:t>
            </w:r>
          </w:p>
        </w:tc>
      </w:tr>
      <w:tr>
        <w:trPr>
          <w:trHeight w:val="190"/>
        </w:trPr>
        <w:tc>
          <w:tcPr>
            <w:tcW w:w="3100" w:type="dxa"/>
            <w:vAlign w:val="bottom"/>
          </w:tcPr>
          <w:p>
            <w:pPr>
              <w:ind w:left="20"/>
              <w:spacing w:after="0"/>
              <w:rPr>
                <w:sz w:val="20"/>
                <w:szCs w:val="20"/>
                <w:color w:val="auto"/>
              </w:rPr>
            </w:pPr>
            <w:r>
              <w:rPr>
                <w:rFonts w:ascii="Arial" w:cs="Arial" w:eastAsia="Arial" w:hAnsi="Arial"/>
                <w:sz w:val="14"/>
                <w:szCs w:val="14"/>
                <w:color w:val="auto"/>
              </w:rPr>
              <w:t>Shares available for future grant under the 2021</w:t>
            </w:r>
          </w:p>
        </w:tc>
        <w:tc>
          <w:tcPr>
            <w:tcW w:w="6440" w:type="dxa"/>
            <w:vAlign w:val="bottom"/>
          </w:tcPr>
          <w:p>
            <w:pPr>
              <w:ind w:left="20"/>
              <w:spacing w:after="0"/>
              <w:rPr>
                <w:sz w:val="20"/>
                <w:szCs w:val="20"/>
                <w:color w:val="auto"/>
              </w:rPr>
            </w:pPr>
            <w:r>
              <w:rPr>
                <w:rFonts w:ascii="Arial" w:cs="Arial" w:eastAsia="Arial" w:hAnsi="Arial"/>
                <w:sz w:val="14"/>
                <w:szCs w:val="14"/>
                <w:color w:val="auto"/>
              </w:rPr>
              <w:t>ESPP</w:t>
            </w:r>
          </w:p>
        </w:tc>
        <w:tc>
          <w:tcPr>
            <w:tcW w:w="1700" w:type="dxa"/>
            <w:vAlign w:val="bottom"/>
          </w:tcPr>
          <w:p>
            <w:pPr>
              <w:jc w:val="right"/>
              <w:spacing w:after="0"/>
              <w:rPr>
                <w:sz w:val="20"/>
                <w:szCs w:val="20"/>
                <w:color w:val="auto"/>
              </w:rPr>
            </w:pPr>
            <w:r>
              <w:rPr>
                <w:rFonts w:ascii="Arial" w:cs="Arial" w:eastAsia="Arial" w:hAnsi="Arial"/>
                <w:sz w:val="14"/>
                <w:szCs w:val="14"/>
                <w:color w:val="auto"/>
              </w:rPr>
              <w:t>922,306</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new shares upon a share option exercise or release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activities under the Company’s 2016 Plan: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2"/>
          </w:tcPr>
          <w:p>
            <w:pPr>
              <w:jc w:val="right"/>
              <w:ind w:right="1008"/>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2"/>
                <w:szCs w:val="12"/>
                <w:color w:val="auto"/>
              </w:rPr>
            </w:pPr>
          </w:p>
        </w:tc>
        <w:tc>
          <w:tcPr>
            <w:tcW w:w="1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Number of Options</w:t>
            </w:r>
          </w:p>
        </w:tc>
        <w:tc>
          <w:tcPr>
            <w:tcW w:w="2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Remaining Contractual</w:t>
            </w:r>
          </w:p>
        </w:tc>
        <w:tc>
          <w:tcPr>
            <w:tcW w:w="1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328"/>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Term (Years)</w:t>
            </w:r>
          </w:p>
        </w:tc>
        <w:tc>
          <w:tcPr>
            <w:tcW w:w="180" w:type="dxa"/>
            <w:vAlign w:val="bottom"/>
          </w:tcPr>
          <w:p>
            <w:pPr>
              <w:spacing w:after="0"/>
              <w:rPr>
                <w:sz w:val="16"/>
                <w:szCs w:val="16"/>
                <w:color w:val="auto"/>
              </w:rPr>
            </w:pPr>
          </w:p>
        </w:tc>
        <w:tc>
          <w:tcPr>
            <w:tcW w:w="1560" w:type="dxa"/>
            <w:vAlign w:val="bottom"/>
          </w:tcPr>
          <w:p>
            <w:pPr>
              <w:jc w:val="right"/>
              <w:ind w:right="308"/>
              <w:spacing w:after="0"/>
              <w:rPr>
                <w:sz w:val="20"/>
                <w:szCs w:val="20"/>
                <w:color w:val="auto"/>
              </w:rPr>
            </w:pPr>
            <w:r>
              <w:rPr>
                <w:rFonts w:ascii="Arial" w:cs="Arial" w:eastAsia="Arial" w:hAnsi="Arial"/>
                <w:sz w:val="14"/>
                <w:szCs w:val="14"/>
                <w:b w:val="1"/>
                <w:bCs w:val="1"/>
                <w:color w:val="auto"/>
              </w:rPr>
              <w:t>Value ($'000s)</w:t>
            </w:r>
          </w:p>
        </w:tc>
        <w:tc>
          <w:tcPr>
            <w:tcW w:w="0" w:type="dxa"/>
            <w:vAlign w:val="bottom"/>
          </w:tcPr>
          <w:p>
            <w:pPr>
              <w:spacing w:after="0"/>
              <w:rPr>
                <w:sz w:val="1"/>
                <w:szCs w:val="1"/>
                <w:color w:val="auto"/>
              </w:rPr>
            </w:pPr>
          </w:p>
        </w:tc>
      </w:tr>
      <w:tr>
        <w:trPr>
          <w:trHeight w:val="214"/>
        </w:trPr>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31, 2021</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5,407,170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0.96</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108,964</w:t>
            </w:r>
          </w:p>
        </w:tc>
        <w:tc>
          <w:tcPr>
            <w:tcW w:w="0" w:type="dxa"/>
            <w:vAlign w:val="bottom"/>
          </w:tcPr>
          <w:p>
            <w:pPr>
              <w:spacing w:after="0"/>
              <w:rPr>
                <w:sz w:val="1"/>
                <w:szCs w:val="1"/>
                <w:color w:val="auto"/>
              </w:rPr>
            </w:pPr>
          </w:p>
        </w:tc>
      </w:tr>
      <w:tr>
        <w:trPr>
          <w:trHeight w:val="197"/>
        </w:trPr>
        <w:tc>
          <w:tcPr>
            <w:tcW w:w="418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680" w:type="dxa"/>
            <w:vAlign w:val="bottom"/>
          </w:tcPr>
          <w:p>
            <w:pPr>
              <w:jc w:val="right"/>
              <w:spacing w:after="0"/>
              <w:rPr>
                <w:sz w:val="20"/>
                <w:szCs w:val="20"/>
                <w:color w:val="auto"/>
              </w:rPr>
            </w:pPr>
            <w:r>
              <w:rPr>
                <w:rFonts w:ascii="Arial" w:cs="Arial" w:eastAsia="Arial" w:hAnsi="Arial"/>
                <w:sz w:val="14"/>
                <w:szCs w:val="14"/>
                <w:color w:val="auto"/>
              </w:rPr>
              <w:t>(1,022,050)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0.60</w:t>
            </w: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(347,399)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rPr>
                <w:sz w:val="20"/>
                <w:szCs w:val="20"/>
                <w:color w:val="auto"/>
              </w:rPr>
            </w:pPr>
            <w:r>
              <w:rPr>
                <w:rFonts w:ascii="Arial" w:cs="Arial" w:eastAsia="Arial" w:hAnsi="Arial"/>
                <w:sz w:val="14"/>
                <w:szCs w:val="14"/>
                <w:color w:val="auto"/>
              </w:rPr>
              <w:t>BALANCE—September 30, 2022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4,037,721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6.49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22,738</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vested and exercisable—September 30,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3,011,042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0.90</w:t>
            </w:r>
          </w:p>
        </w:tc>
        <w:tc>
          <w:tcPr>
            <w:tcW w:w="1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17,354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intrinsic value of the options exercised during the nine months ended September 30, 2022 and 2021 was $ 9.8 million and $1.2 million, respectively. The total grant-date fair value of options vested was $0.3 million during both the nine months ended September 30, 2022 and 2021.</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2022, there was $0.5 million of unamortized stock-based compensation cost related to unvested stock options, which is expected to be recognized over a weighted-average period of 2.0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stock option grants during the nine months ended September 30, 2022 and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units activities under the Company’s 2016 and 2021 Plans: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Restricted Stock Units</w:t>
            </w:r>
          </w:p>
        </w:tc>
      </w:tr>
      <w:tr>
        <w:trPr>
          <w:trHeight w:val="148"/>
        </w:trPr>
        <w:tc>
          <w:tcPr>
            <w:tcW w:w="7740" w:type="dxa"/>
            <w:vAlign w:val="bottom"/>
          </w:tcPr>
          <w:p>
            <w:pPr>
              <w:spacing w:after="0"/>
              <w:rPr>
                <w:sz w:val="12"/>
                <w:szCs w:val="12"/>
                <w:color w:val="auto"/>
              </w:rPr>
            </w:pPr>
          </w:p>
        </w:tc>
        <w:tc>
          <w:tcPr>
            <w:tcW w:w="1700" w:type="dxa"/>
            <w:vAlign w:val="bottom"/>
          </w:tcPr>
          <w:p>
            <w:pPr>
              <w:jc w:val="right"/>
              <w:ind w:right="148"/>
              <w:spacing w:after="0" w:line="148"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ind w:right="148"/>
              <w:spacing w:after="0" w:line="148" w:lineRule="exact"/>
              <w:rPr>
                <w:sz w:val="20"/>
                <w:szCs w:val="20"/>
                <w:color w:val="auto"/>
              </w:rPr>
            </w:pPr>
            <w:r>
              <w:rPr>
                <w:rFonts w:ascii="Arial" w:cs="Arial" w:eastAsia="Arial" w:hAnsi="Arial"/>
                <w:sz w:val="14"/>
                <w:szCs w:val="14"/>
                <w:b w:val="1"/>
                <w:bCs w:val="1"/>
                <w:color w:val="auto"/>
              </w:rPr>
              <w:t>Weighted-Average</w:t>
            </w:r>
          </w:p>
        </w:tc>
      </w:tr>
      <w:tr>
        <w:trPr>
          <w:trHeight w:val="189"/>
        </w:trPr>
        <w:tc>
          <w:tcPr>
            <w:tcW w:w="77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r>
      <w:tr>
        <w:trPr>
          <w:trHeight w:val="196"/>
        </w:trPr>
        <w:tc>
          <w:tcPr>
            <w:tcW w:w="7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Unvested—December 31, 2021</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3,925,097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spacing w:after="0"/>
              <w:rPr>
                <w:sz w:val="20"/>
                <w:szCs w:val="20"/>
                <w:color w:val="auto"/>
              </w:rPr>
            </w:pPr>
            <w:r>
              <w:rPr>
                <w:rFonts w:ascii="Arial" w:cs="Arial" w:eastAsia="Arial" w:hAnsi="Arial"/>
                <w:sz w:val="14"/>
                <w:szCs w:val="14"/>
                <w:color w:val="auto"/>
              </w:rPr>
              <w:t>2,440,603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11.76</w:t>
            </w:r>
          </w:p>
        </w:tc>
      </w:tr>
      <w:tr>
        <w:trPr>
          <w:trHeight w:val="20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(1,008,620)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r>
      <w:tr>
        <w:trPr>
          <w:trHeight w:val="197"/>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(252,733)</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12.07</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Unvested—September 30, 2022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5,104,347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total grant-date fair value of restricted stock units vested was $6.3 million and less than $0.1 million during the nine months ended September 30, 2022 and 2021, respectively.</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2022, there was $34.0 million of unamortized stock-based compensation cost related to unvested restricted stock units, which is expected to be recognized over a weighted-average period of 3.2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Stock-based compensation expense is recorded on a departmental basis, based on the classification of the award holder. The following table presents the amount of stock-based compensation related to stock-based awards to employees on the Company’s condensed consolidated statements of loss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208"/>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1,798</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645</w:t>
            </w:r>
          </w:p>
        </w:tc>
      </w:tr>
      <w:tr>
        <w:trPr>
          <w:trHeight w:val="208"/>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9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r>
      <w:tr>
        <w:trPr>
          <w:trHeight w:val="22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3,389</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21, 2022, Arteris IP (Hong Kong) Ltd. (AHK), a wholly-owned subsidiary of the Company, entered into a Share Purchase and Shareholders Agreement (the SPA) with certain investors and Ningbo Transchip Information Consulting Partnership (Limited Partnership) (Management Co). The transaction closed on June 20, 2022.</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the investors and Management Co, pursuant to the SPA, subscribed to the registered capital of Transchip Technology (Nanjing) Co., Ltd. (Transchip), a formerly wholly-owned subsidiary of the Company. As a result, the registered capital of Transchip increased to $29.4 million. The Company subscribed for the registered capital of approximately $ 11.9 million, of which $11.6 million of the contribution was contributed in-kind by way of an interconnect solutions technology license by the Company pursuant to a five-year technology license and services agreement which can be extended automatically for another five-year term, and the remaining was paid in cash.</w:t>
      </w:r>
    </w:p>
    <w:p>
      <w:pPr>
        <w:spacing w:after="0" w:line="23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license agreement provides Transchip the right to software licenses, services, software updates and technical support. On the closing date, the license agreement including the support and maintenance services to be provided to Transchip was valued to be $11.6 million, which was recorded as deferred income and will be recognized as interest and other income (expense), net over a period of ten years on a straight line basis after delivery of the license. The license was delivered to Transchip on September 2, 2022. For the three and nine months ended September 30, 2022, the Company recognized income of $0.1 million for the license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Deconsolidation of Transchip as a subsidiary</w:t>
      </w:r>
    </w:p>
    <w:p>
      <w:pPr>
        <w:spacing w:after="0" w:line="25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Before the closing of the transaction, Transchip was a wholly-owned subsidiary of the Company with limited operations. Upon closing of the transaction, the Company no longer has control, and therefore deconsolidated Transchip. Accordingly, upon closing of the transaction, the</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Company derecognized all the assets and liabilities of Transchip and recognized a disposal gain of $0.1 million, included in interest and other income (expense), net in the condensed consolidated statements of loss for the nine months ended September 30, 2022.</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Upon deconsolidation, the Company also recorded a nine-month related party loan to Transchip of $0.3 million, in prepaid expenses and other current assets within its condensed consolidated balance sheet, which was previously eliminated as an intercompany loan in the Company’s consolidated financial statements. This loan carries an annual interest rate of 4% and expired on August 31, 2022. The Company received the payment of principal and interest of $0.3 million on September 2,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of Transchip as an equity investee</w:t>
      </w:r>
    </w:p>
    <w:p>
      <w:pPr>
        <w:spacing w:after="0" w:line="2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Following the consummation of the foregoing transactions, the Company held 40.3% common stock of Transchip on a fully diluted basis. The Company accounts for its common stock investment in Transchip as an equity method investment as it does not control but has significant influence over operating and financing policies of Transchip. Transchip is the Company’s only equity method investment. The Company invested $12.2 million, including transaction costs of $0.3 million in Transchip.</w:t>
      </w:r>
    </w:p>
    <w:p>
      <w:pPr>
        <w:spacing w:after="0" w:line="23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September 15, 2022, Transchip completed a second funding with additional investors. The Company did not provide additional investments in the second funding. As a result, the Company’s ownership interest in Transchip was diluted to 35.0% of the common stock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Transchip on a fully diluted basis. The impact to the Company’s condensed consolidated statements of loss was immaterial.</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September 30, 2022, the carrying value of the investment in Transchip was $12.2 million. There was no significant difference between the Company’s carrying value of the investment in Transchip and its share of underlying equity in net assets of Transchip. During the three and nine months ended September 30, 2022, the Company’s loss from its proportionate share of its equity method investment in Transchip was immaterial. The Company concluded that there were no indicators of impairment related to the Company’s equity method investment in Transchip as of September 30, 2022.</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4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Company’s effective tax rate was (3.9)% and (4.1)% for the nine months ended September 30, 2022 and 2021, respectively. The Company’s income tax provision was $0.7 million and $0.6 million for the nine months ended September 30, 2022 and 2021, respectively. The change in forecasted foreign withholding tax, changes in the geographic mix of worldwide earnings which are taxed at different rates, and the impact of losses in jurisdictions with full valuation allowances, has resulted in an insignificant change in the income tax provision for the period ended September 30, 2022 compared to the period ended September 30, 2021.</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management continuously evaluates the need for a valuation allowance and, as of September 30, 2022, concluded that a full valuation allowance on its US federal, state, and certain foreign jurisdictions deferred tax assets was still appropriate.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2022 and 2021, the Company’s gross liability for unrecognized tax benefits was $3.1 million and $2.5 million, respectively. The Company’s practice is to recognize interest and/or penalties related to income tax matters in income tax expense. As of September 30, 2022 and 2021, the Company had no accrued interest or penalties related to its unrecognized tax benefits. If any unrecognized tax benefits are realized, it would not result in any income tax benefit as the Company currently has a full valuation allowance against the deferred tax assets in which there is currently an uncertain tax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defines related parties as directors, executive officers, nominees for director, stockholders that have significant influence over the Company, or are a greater than 10% beneficial owner of the Company’s capital and their affiliates or immediate family members.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November 2020, the Company entered into a lease agreement with Isabelle Geday, a member of the Board of Directors. The lease payments were less than $0.1 million and $0.1 million for the three months ended September 30, 2022 and 2021, respectively. The lease payments were $0.1 million and $0.2 million for the nine months ended September 30, 2022 and 2021, respectively. In addition, the Company signed a consulting agreement with Ms. Geday on December 1, 2021, which was subsequently assigned to Magillem Design Services S.A., effective January 10, 2022. Ms. Geday was paid as an executive employee of the Company from December 1, 2020 through November 30, 2021. As a consultant, Ms. Geday will provide services for an initial three-year term, commencing December 1, 2021, and is eligible to receive $26,445 per month for the first 12 months of the consulting term and $19,445 per month for the remaining 24 months of the consulting term. For the three months ended September 30, 2022, the Company paid Ms. Geday $0.1 million for consulting services. For the nine months ended September 30, 2022, the Company paid Ms. Geday $0.2 million for consulting services. Lastly, the 455,000 stock options and 62,200 RSUs granted in connection with Ms. Geday’s prior employment continue to vest.</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deconsolidation of Transchip, the Company had recorded a short-term loan to Transchip, including interest, of $0.3 million in prepaid expenses and other current assets on its condensed consolidated balance sheet. The Company received the payment of principal and interest of $0.3 million on September 2, 2022.</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333333"/>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2021 included in the 2021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Please also see the section under the heading “Cautionary Note Regarding Forward-Looking Statements” in the 2021 Form 10-K.</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333333"/>
        </w:rPr>
        <w:t>Unless the context otherwise requires, all references in this report to “we,” “us,” “our,” the “Company,” and “Arteris” refer to Arteris, Inc. and its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 leading provider of System IP, including interconnect and other intellectual property, (collectively, IP) technology that connects client IP blocks such as processors, memories, artificial intelligence/machine learning (AI/ML) accelerators, graphics subsystems, safety and security and other input/output (I/Os) subsystems via multiple Network-on -Chips (NoCs) in order for our customers to create System-on-Chips (NoC) (SoCs) semiconductors faster, better, and a lower cost. Our products enable our customers to deliver increasingly complex SoCs that not only process data but are also able to make decisions. Growth in the total addressable market for our solutions is being driven by the addition of more processors, channels of memory access, machine learning sections, chiplets, additional I/Os interface standards and other subsystems within SoCs. The growth in the numbers of these connected on-chip subsystems place an increasing premium on the interconnect IP capability to move data inside complex SoCs. We believe this increase in SoC complexity is creating a significant opportunity for sophisticated SoC system IP solutions which incorporate NoC interconnect IP, IP deployment software and NoC interface IP (consisting of peripheral data transport IP and control plane networks connected to NoC interconnect IPs).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IP deployment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automated driving, AI/ML, 5G and wireless communications, data centers, and consumer electronics.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2022, we had 234 full-time employees and offices in eight locations in the United States, France, China, South Korea and Japan. For the three and nine months ended September 30, 2022, we generated revenue of $12.6 million and $39.2 million, respectively, net loss of $7.7 million and $ 20.2 million respectively, and net loss per share, basic and diluted of $0.23 and $0.63, respectively. As of September 30, 2022, we had Annual Contract Value (as defined below) of $50.2 million. During the three months ended September 30, 2022, we added 10 Active Customers (as defined below) and our customers had 21 Confirmed Design Starts (as defined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Factors Affecting Our Business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New and Existing Customers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containing our interconnect IP solutions between one to five years following completion of their product design, known as mass production, at which point we start to receive royalties; this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(ASPs)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Customer Product Demand and Market Conditions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Demand for our interconnect IP solutions and associated royalty revenue is highly dependent on market conditions in the end markets in which our customers operate. These end markets, which include the automotive, AI/ML, 5G communications, data centers and consumer electronics sectors,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resulting in fewer semiconductors utilizing our IP solutions being available for sale, our revenue would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Terms of our Agreements with Customers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revenue from period to period can be impacted by the terms of the agreements we enter into with our customers. For example, in recent periods we have structured certain agreements with customers that include substantial up front licensing payments. As a result of how these contracts are structured and the revenue is recognized, our revenue in the three and nine months ended September 30, 2022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Technological Development and Market Growth</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AI/ML, 5G and wireless communications, data center and consumer electronic markets has resulted in increased SoC design complexity for chips used in these markets. This trend in turn has created increased demand for in-licensing commercial semiconductor design IP, which in turn has positively impacted our revenue and growth.</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order to address technological developments such as the above and expand our offerings, we have invested significantly in our research and development efforts. These investments, which included growth in engineering headcount, have resulted in substantially increased research and development expenses in recent periods. As we continue to invest in our technology and new product design efforts, we anticipate research and development expense will increase on an absolute basis and as a percentage of revenue in the near term. In the medium to longer term, however, while we expect to increase our research and development expense on an absolute basis, we expect this expense to reduce as a percentage of revenue.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evaluate growth opportunities through acquisitions of other businesses.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Impact of Operating Globally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our products’ global footprint provides us the opportunity to enter new markets and accelerate our growth. For 2021, 56.9% of our revenue was derived from sales to customers outside of the United States. In particular, we derived 27.1% of our revenue in 2021 from customers located in China. For the nine months ended September 30, 2022, 58.8% of our revenue was derived from sales to customers outside of the United States and 26.4%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October 7, 2022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we anticipate our revenue from China will face challenges to maintain and may decrease.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Cyclical Nature of the Semiconductor Industry</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such as during the recent cycle of expansion in which we increased the number of our engineers significantly. During periods of slower growth or industry contractions, our sales generally suffer due to a decrease in customers’ Confirmed Design Starts or in sales of our customers’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actions and emergence of new variants, it has already had an adverse effect on the global economy and the lasting effects of the pandemic continue to be unknown. In response to the COVID-19 pandemic, the measures implemented by various authorities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and to attend trade shows, technical conferences and other events. Although we have experienced, and may continue to experience, some impact on certain parts of our business as a result of governmental restrictions and other measures to mitigate the spread of COVID-19, our results of operations, cash flows and financial condition were not materially adversely impacted in the three and nine months ended September 30, 2022.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unable to accurately predict the full impact that COVID-19 will have on our future results of operations, financial condition, liquidity and cash flows due to numerous uncertainties, including the duration and severity of the pandemic and containment measures. Although we expect most of our employees to return to physical offices, the nature and extent of that return is uncertain and differs among jurisdictions such as China where restriction against returning to offices remain largely in effect. For additional details, see the section titled “Risk Factors —Our business has been, and may continue to be, adversely affected by health epidemics, pandemics and other outbreaks of infectious disease, including the current COVID-19 pandemic.”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Contract Value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excludes variable revenue derived from licensing agreements with customers, particularly royalties. ACV was $50.2 million and $42.7 million as of September 30, 2022 and 2021, respectively. In addition, total ACV and trailing-twelve-months royalties and other revenue was $53.2 million and $45.6 million as of September 30, 2022 and 2021, respectively. We monitor ACV to measure our success and believe the increase in the number shows our progress in expanding our customers’ adoption of our platform. ACV fluctuates due to a number of factors, including the timing, duration and dollar amount of customer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define Active Customers as customers who have entered into a license agreement with us that remains in effect. The retention and expansion of our relationships with existing customers are key indicators of our revenue potential. We added 10 and six Active Customers during each of the three months ended September 30, 2022 and 2021, respectively. Our annual average customer retention rate, excluding IP deployment solutions, is 98% from September 30, 2021 to September 30,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Confirmed Design Starts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customers confirmed a total of 21 and 22 design starts during the three months ended September 30, 2022 and 2021, respectively. We believe that the number of Confirmed Design Starts is an important indicator of the growth of our business and future royalty revenue trends.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define Remaining Performance Obligations (RPO) as the amount of contracted future revenue that has not yet been recognized, including both deferred revenue and contracted amounts that will be invoiced and recognized as revenue in future periods.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RPO amount is intended to provide visibility into future revenue streams. We expect RPO to fluctuate up or down from period to period for several possible reasons, including amounts, timing, and duration of customer contracts, as well as the timing of billing cycles for each contract. Our RPO was $59.3 million and $50.6 million as of September 30,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33333"/>
        </w:rPr>
        <w:t xml:space="preserve">Revenue: </w:t>
      </w:r>
      <w:r>
        <w:rPr>
          <w:rFonts w:ascii="Arial" w:cs="Arial" w:eastAsia="Arial" w:hAnsi="Arial"/>
          <w:sz w:val="18"/>
          <w:szCs w:val="18"/>
          <w:color w:val="000000"/>
        </w:rPr>
        <w:t>Our revenue is primarily derived from licensing intellectual property, licensing software, support and maintenance services,</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professional services, training services, and royalties. Our agreements often include other service elements including training and professional services which were immaterial for the three and nine months ended September 30, 2022 and 2021, respectively.</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interconnect solutions product arrangements provide customers the right to software licenses, services, software updates and technical support. We enter into licensing arrangements with customers that typically range from two to three years and generally consist of delivery of a design license that grants the customer the right to use the IP to design a contractually defined number of products and stand-ready support services that provides the customer with our application engineer support services. We believe our customers derive a significant benefit from our engineer support services, which consist of our proprietary software tool (RTL), ongoing access to Corporate Application Engineers (CAE) and Field Application Engineers (FAE) that perform certain verifications including benchmark performance, simulations and ultimately, through RTL, instantiate designs into silicon over the design term.</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support services, including access to application engineering support services and the benefits of the RTL, are integral and fundamental to the customer’s ability to derive its intended benefit from the IP.</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FAEs provide assistance to the customer’s engineering team in translating their desired SoC architecture into inputs for NoC IP configuration, assistance in optimizing the NoC configuration, answers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generally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continue to provide technical support and software updates throughout the license term even if the customer does not renew these services in subsequent years, making the license term and support and maintenance term co-terminus.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its financial statements, royalty revenues are recognized based on our estimation of the customer’s sales during the quarter.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deployment solutions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Revenue allocated to the software license is recognized at a point in time upon the later of the delivery date or the beginning of the license period, and revenue allocated to support services is recognized ratably over the support term.</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33333"/>
        </w:rPr>
        <w:t>Cost of revenue</w:t>
      </w:r>
      <w:r>
        <w:rPr>
          <w:rFonts w:ascii="Arial" w:cs="Arial" w:eastAsia="Arial" w:hAnsi="Arial"/>
          <w:sz w:val="18"/>
          <w:szCs w:val="18"/>
          <w:color w:val="000000"/>
        </w:rPr>
        <w:t>: Cost of revenue relates to costs associated with our licensing agreements and support and maintenance, including</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applicable FAE personnel-related costs such as stock-based compensation, travel, and allocated overhead. We expect cost of revenue as a percentage of revenue to modestly decline over time due to productivity improvements of our FAE processes.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33333"/>
        </w:rPr>
        <w:t xml:space="preserve">Allocation of Overhead Costs: </w:t>
      </w:r>
      <w:r>
        <w:rPr>
          <w:rFonts w:ascii="Arial" w:cs="Arial" w:eastAsia="Arial" w:hAnsi="Arial"/>
          <w:sz w:val="18"/>
          <w:szCs w:val="18"/>
          <w:color w:val="333333"/>
        </w:rPr>
        <w:t>Overhead costs that are not substantially dedicated for use by a specific functional group are allocated</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333333"/>
        </w:rPr>
        <w:t>based on headcount. Such costs include costs associated with office facilities, depreciation of property and equipment, certain support function personnel costs and other expenses.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333333"/>
        </w:rPr>
        <w:t xml:space="preserve">Research and development (R&amp;D) expenses: </w:t>
      </w:r>
      <w:r>
        <w:rPr>
          <w:rFonts w:ascii="Arial" w:cs="Arial" w:eastAsia="Arial" w:hAnsi="Arial"/>
          <w:sz w:val="18"/>
          <w:szCs w:val="18"/>
          <w:color w:val="000000"/>
        </w:rPr>
        <w:t>R&amp;D expenses consist primarily of salaries and associated personnel-related costs, facilities</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333333"/>
        </w:rPr>
        <w:t xml:space="preserve">Sales and marketing (S&amp;M) expenses: </w:t>
      </w:r>
      <w:r>
        <w:rPr>
          <w:rFonts w:ascii="Arial" w:cs="Arial" w:eastAsia="Arial" w:hAnsi="Arial"/>
          <w:sz w:val="18"/>
          <w:szCs w:val="18"/>
          <w:color w:val="000000"/>
        </w:rPr>
        <w:t>S&amp;M expenses consist primarily of salaries, commissions, travel and other costs associated with</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S&amp;M 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333333"/>
        </w:rPr>
        <w:t xml:space="preserve">General and administrative (G&amp;A) expenses: </w:t>
      </w:r>
      <w:r>
        <w:rPr>
          <w:rFonts w:ascii="Arial" w:cs="Arial" w:eastAsia="Arial" w:hAnsi="Arial"/>
          <w:sz w:val="18"/>
          <w:szCs w:val="18"/>
          <w:color w:val="000000"/>
        </w:rPr>
        <w:t>G&amp;A expenses consist primarily of salaries for management and administrative employees,</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Interest and other income (expense), net: </w:t>
      </w:r>
      <w:r>
        <w:rPr>
          <w:rFonts w:ascii="Arial" w:cs="Arial" w:eastAsia="Arial" w:hAnsi="Arial"/>
          <w:sz w:val="18"/>
          <w:szCs w:val="18"/>
          <w:color w:val="auto"/>
        </w:rPr>
        <w:t>Interest and other income (expense), net consists primarily of interest income earned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cash equivalents and available-for-sale investments, gains and losses from foreign currency transactions, gain on deconsolidation of subsidiary, realized gains and losses from available-for-sale investments as well as deferred income and our proportionate share of net income (losses) from our equity method investee.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333333"/>
        </w:rPr>
        <w:t xml:space="preserve">Provision for income taxes: </w:t>
      </w:r>
      <w:r>
        <w:rPr>
          <w:rFonts w:ascii="Arial" w:cs="Arial" w:eastAsia="Arial" w:hAnsi="Arial"/>
          <w:sz w:val="18"/>
          <w:szCs w:val="18"/>
          <w:color w:val="000000"/>
        </w:rPr>
        <w:t>Our income tax provision consists primarily of income taxes in certain foreign jurisdictions in which we conduct</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our GAAP results of operations for the periods presented. The results below are not necessarily indicative of results to be expected for future periods.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6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6"/>
                <w:szCs w:val="16"/>
                <w:color w:val="auto"/>
              </w:rPr>
            </w:pPr>
          </w:p>
        </w:tc>
      </w:tr>
      <w:tr>
        <w:trPr>
          <w:trHeight w:val="208"/>
        </w:trPr>
        <w:tc>
          <w:tcPr>
            <w:tcW w:w="4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8"/>
                <w:szCs w:val="18"/>
                <w:color w:val="auto"/>
              </w:rPr>
            </w:pPr>
          </w:p>
        </w:tc>
      </w:tr>
      <w:tr>
        <w:trPr>
          <w:trHeight w:val="196"/>
        </w:trPr>
        <w:tc>
          <w:tcPr>
            <w:tcW w:w="41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4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gridSpan w:val="3"/>
          </w:tcPr>
          <w:p>
            <w:pPr>
              <w:jc w:val="right"/>
              <w:ind w:right="4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12,598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8,959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39,175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26,430</w:t>
            </w:r>
          </w:p>
        </w:tc>
      </w:tr>
      <w:tr>
        <w:trPr>
          <w:trHeight w:val="197"/>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 (1)</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928</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883</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3,196</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w:t>
            </w:r>
          </w:p>
        </w:tc>
      </w:tr>
      <w:tr>
        <w:trPr>
          <w:trHeight w:val="20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11,670</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8,076</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35,979</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23,812</w:t>
            </w:r>
          </w:p>
        </w:tc>
      </w:tr>
      <w:tr>
        <w:trPr>
          <w:trHeight w:val="176"/>
        </w:trPr>
        <w:tc>
          <w:tcPr>
            <w:tcW w:w="41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(1)</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11,022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7,609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30,849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20,572</w:t>
            </w:r>
          </w:p>
        </w:tc>
      </w:tr>
      <w:tr>
        <w:trPr>
          <w:trHeight w:val="196"/>
        </w:trPr>
        <w:tc>
          <w:tcPr>
            <w:tcW w:w="4160" w:type="dxa"/>
            <w:vAlign w:val="bottom"/>
          </w:tcPr>
          <w:p>
            <w:pPr>
              <w:ind w:left="20"/>
              <w:spacing w:after="0"/>
              <w:rPr>
                <w:sz w:val="20"/>
                <w:szCs w:val="20"/>
                <w:color w:val="auto"/>
              </w:rPr>
            </w:pPr>
            <w:r>
              <w:rPr>
                <w:rFonts w:ascii="Arial" w:cs="Arial" w:eastAsia="Arial" w:hAnsi="Arial"/>
                <w:sz w:val="14"/>
                <w:szCs w:val="14"/>
                <w:color w:val="auto"/>
              </w:rPr>
              <w:t>Sales and marketing (1)</w:t>
            </w:r>
          </w:p>
        </w:tc>
        <w:tc>
          <w:tcPr>
            <w:tcW w:w="10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4,411</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3,242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12,788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7,971</w:t>
            </w: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(1)</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3,991</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1,742</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12,138</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9,754</w:t>
            </w:r>
          </w:p>
        </w:tc>
      </w:tr>
      <w:tr>
        <w:trPr>
          <w:trHeight w:val="19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19,424</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12,593</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55,775</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38,297</w:t>
            </w:r>
          </w:p>
        </w:tc>
      </w:tr>
      <w:tr>
        <w:trPr>
          <w:trHeight w:val="20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(7,754)</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(4,517)</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(14,485)</w:t>
            </w:r>
          </w:p>
        </w:tc>
      </w:tr>
      <w:tr>
        <w:trPr>
          <w:trHeight w:val="19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other income (expense), net</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318</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r>
      <w:tr>
        <w:trPr>
          <w:trHeight w:val="20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(7,436)</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(4,700)</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(14,982)</w:t>
            </w:r>
          </w:p>
        </w:tc>
      </w:tr>
      <w:tr>
        <w:trPr>
          <w:trHeight w:val="197"/>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722</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r>
      <w:tr>
        <w:trPr>
          <w:trHeight w:val="22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(7,684)</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(4,968)</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(20,172)</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(15,594)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 Includes stock-based compensation expense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1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08"/>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r>
      <w:tr>
        <w:trPr>
          <w:trHeight w:val="197"/>
        </w:trPr>
        <w:tc>
          <w:tcPr>
            <w:tcW w:w="41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14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1,798</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4,435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645</w:t>
            </w:r>
          </w:p>
        </w:tc>
      </w:tr>
      <w:tr>
        <w:trPr>
          <w:trHeight w:val="208"/>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679</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r>
      <w:tr>
        <w:trPr>
          <w:trHeight w:val="197"/>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794</w:t>
            </w: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385</w:t>
            </w:r>
          </w:p>
        </w:tc>
      </w:tr>
      <w:tr>
        <w:trPr>
          <w:trHeight w:val="22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3,389</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total revenue for each of the periods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520" w:type="dxa"/>
            <w:vAlign w:val="bottom"/>
            <w:gridSpan w:val="3"/>
          </w:tcPr>
          <w:p>
            <w:pPr>
              <w:jc w:val="center"/>
              <w:ind w:left="988"/>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3"/>
          </w:tcPr>
          <w:p>
            <w:pPr>
              <w:ind w:left="108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6"/>
                <w:szCs w:val="16"/>
                <w:color w:val="auto"/>
              </w:rPr>
            </w:pPr>
          </w:p>
        </w:tc>
      </w:tr>
      <w:tr>
        <w:trPr>
          <w:trHeight w:val="208"/>
        </w:trPr>
        <w:tc>
          <w:tcPr>
            <w:tcW w:w="4040" w:type="dxa"/>
            <w:vAlign w:val="bottom"/>
          </w:tcPr>
          <w:p>
            <w:pPr>
              <w:spacing w:after="0"/>
              <w:rPr>
                <w:sz w:val="18"/>
                <w:szCs w:val="18"/>
                <w:color w:val="auto"/>
              </w:rPr>
            </w:pPr>
          </w:p>
        </w:tc>
        <w:tc>
          <w:tcPr>
            <w:tcW w:w="2520" w:type="dxa"/>
            <w:vAlign w:val="bottom"/>
            <w:tcBorders>
              <w:bottom w:val="single" w:sz="8" w:color="auto"/>
            </w:tcBorders>
            <w:gridSpan w:val="3"/>
          </w:tcPr>
          <w:p>
            <w:pPr>
              <w:jc w:val="center"/>
              <w:ind w:left="988"/>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8"/>
                <w:szCs w:val="18"/>
                <w:color w:val="auto"/>
              </w:rPr>
            </w:pPr>
          </w:p>
        </w:tc>
      </w:tr>
      <w:tr>
        <w:trPr>
          <w:trHeight w:val="196"/>
        </w:trPr>
        <w:tc>
          <w:tcPr>
            <w:tcW w:w="4040" w:type="dxa"/>
            <w:vAlign w:val="bottom"/>
          </w:tcPr>
          <w:p>
            <w:pPr>
              <w:spacing w:after="0"/>
              <w:rPr>
                <w:sz w:val="17"/>
                <w:szCs w:val="17"/>
                <w:color w:val="auto"/>
              </w:rPr>
            </w:pPr>
          </w:p>
        </w:tc>
        <w:tc>
          <w:tcPr>
            <w:tcW w:w="17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196"/>
        </w:trPr>
        <w:tc>
          <w:tcPr>
            <w:tcW w:w="40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20" w:type="dxa"/>
            <w:vAlign w:val="bottom"/>
            <w:gridSpan w:val="5"/>
          </w:tcPr>
          <w:p>
            <w:pPr>
              <w:jc w:val="right"/>
              <w:ind w:right="1460"/>
              <w:spacing w:after="0"/>
              <w:rPr>
                <w:sz w:val="20"/>
                <w:szCs w:val="20"/>
                <w:color w:val="auto"/>
              </w:rPr>
            </w:pPr>
            <w:r>
              <w:rPr>
                <w:rFonts w:ascii="Arial" w:cs="Arial" w:eastAsia="Arial" w:hAnsi="Arial"/>
                <w:sz w:val="14"/>
                <w:szCs w:val="14"/>
                <w:i w:val="1"/>
                <w:iCs w:val="1"/>
                <w:color w:val="auto"/>
              </w:rPr>
              <w:t>(as a percentage of total revenue)</w:t>
            </w:r>
          </w:p>
        </w:tc>
        <w:tc>
          <w:tcPr>
            <w:tcW w:w="1060" w:type="dxa"/>
            <w:vAlign w:val="bottom"/>
          </w:tcPr>
          <w:p>
            <w:pPr>
              <w:spacing w:after="0"/>
              <w:rPr>
                <w:sz w:val="17"/>
                <w:szCs w:val="17"/>
                <w:color w:val="auto"/>
              </w:rPr>
            </w:pPr>
          </w:p>
        </w:tc>
      </w:tr>
      <w:tr>
        <w:trPr>
          <w:trHeight w:val="208"/>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w:t>
            </w:r>
          </w:p>
        </w:tc>
      </w:tr>
      <w:tr>
        <w:trPr>
          <w:trHeight w:val="20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90</w:t>
            </w:r>
          </w:p>
        </w:tc>
      </w:tr>
      <w:tr>
        <w:trPr>
          <w:trHeight w:val="177"/>
        </w:trPr>
        <w:tc>
          <w:tcPr>
            <w:tcW w:w="40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8"/>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w:t>
            </w:r>
          </w:p>
        </w:tc>
      </w:tr>
      <w:tr>
        <w:trPr>
          <w:trHeight w:val="197"/>
        </w:trPr>
        <w:tc>
          <w:tcPr>
            <w:tcW w:w="40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680" w:type="dxa"/>
            <w:vAlign w:val="bottom"/>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30</w:t>
            </w:r>
          </w:p>
        </w:tc>
      </w:tr>
      <w:tr>
        <w:trPr>
          <w:trHeight w:val="208"/>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37</w:t>
            </w:r>
          </w:p>
        </w:tc>
      </w:tr>
      <w:tr>
        <w:trPr>
          <w:trHeight w:val="19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145</w:t>
            </w:r>
          </w:p>
        </w:tc>
      </w:tr>
      <w:tr>
        <w:trPr>
          <w:trHeight w:val="20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74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w:t>
            </w:r>
          </w:p>
        </w:tc>
      </w:tr>
      <w:tr>
        <w:trPr>
          <w:trHeight w:val="19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other income (expense), net</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r>
      <w:tr>
        <w:trPr>
          <w:trHeight w:val="20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174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w:t>
            </w:r>
          </w:p>
        </w:tc>
      </w:tr>
      <w:tr>
        <w:trPr>
          <w:trHeight w:val="196"/>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r>
      <w:tr>
        <w:trPr>
          <w:trHeight w:val="221"/>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7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11,135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695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768</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814 %</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12,598</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8,959</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3,639</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Growth in our licensing and support and maintenance continued with a 37% increase during the three months ended September 30, 2022 compared to the three months ended September 30, 2021. The increase was primarily due to the addition of new customers and an increase in new license agreements with existing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6"/>
        </w:trPr>
        <w:tc>
          <w:tcPr>
            <w:tcW w:w="4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45</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of revenue for the three months ended September 30, 2022 remained relatively flat when compared to three months ended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11,022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4,411</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3,242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1,169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3,991</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19,424</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12,593</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6,831</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R&amp;D expenses increased, $3.4 million, or 45%, to $11.0 million for the three months ended September 30, 2022 from $7.6 million for the three months ended September 30, 2021. The increase in R&amp;D expenses was due to higher stock-based compensation expense of $1.6 million primarily related to our RSUs granted prior to our IPO, as the performance-based vesting condition applicable to such RSUs was satisfied upon the effectiveness of our IPO in October 2021, lower research tax credit of $0.6 million and higher allocated costs of $0.3 million. We also incurred higher employee-related costs of $0.3 million and professional fees of $0.2 million as a result of an increase in engineering headcount and overall costs to support our continued growth and investment in our interconnect technology and IP deployment software.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S&amp;M expenses increased, $1.2 million, or 36%, to $4.4 million for the three months ended September 30, 2022 from $3.2 million for the three months ended September 30, 2021. The increase in S&amp;M expenses was primarily due to higher stock-based compensation expense of $0.6 million primarily related to our RSUs granted prior to our IPO, as the performance-based vesting condition applicable to such RSUs was satisfied upon the effectiveness of our IPO in October 2021 and an increase in employee-related costs, including commissions, of $0.4 million mainly driven by higher headcount to support growth of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G&amp;A expenses increased, $2.2 million, or 129%, to $4.0 million for the three months ended September 30, 2022 from $1.7 million for the three months ended September 30, 2021. The increase in G&amp;A expenses was primarily due to higher stock-based compensation expense of $0.6 million primarily related to our RSUs granted prior to our IPO, as the performance-based vesting condition applicable to such RSUs was satisfied upon the effectiveness of our IPO in October 2021. We also incurred increased directors and officers liability insurance expenses of $0.6 million to support the normal course of operating as a public company and higher employee-related costs of $0.4 million as a result of an increase in headcount and overall costs to support our continued growth.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(expense), net</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501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and other income (expense), net was an income of $0.3 million for the three months ended September 30, 2022 compared to an expense of $0.2 million for the three months ended September 30, 2021. The increase in interest and other income is primarily related to foreign currency exchange, interest income earned on higher cash balances due to proceeds from our IPO in October 2021 and interest income earned on our available-for-sale investments.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6"/>
        </w:trPr>
        <w:tc>
          <w:tcPr>
            <w:tcW w:w="4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(20)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bl>
    <w:p>
      <w:pPr>
        <w:spacing w:after="0" w:line="2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Provision for income taxes for the three months ended September 30, 2022 was $ 0.2 million, compared to $0.3 million for the three months ended September 30, 2021. The decrease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35,743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2,266</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1,913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1,166</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611 %</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39,175</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26,430</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12,745</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Growth in our licensing and support and maintenance continued with a 47% increase during the nine months ended September 30, 2022 compared to the nine months ended September 30, 2021. The increase was primarily due to increase in new license agreements with existing customers, the addition of new customers as well as increased average selling prices. Growth in our variable royalty revenue during the nine months ended September 30, 2022 was primarily due to the addition of new customers. Growth in our other revenue during the nine months ended September 30, 2022 was primarily due to increased services performed for existing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6"/>
        </w:trPr>
        <w:tc>
          <w:tcPr>
            <w:tcW w:w="4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3,196</w:t>
            </w:r>
          </w:p>
        </w:tc>
        <w:tc>
          <w:tcPr>
            <w:tcW w:w="7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578</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revenue increased, $0.6 million, or 22%, to $ 3.2 million for the nine months ended September 30, 2022, from $2.6 million for the nine months ended September 30, 2021. The increase in cost of revenue was primarily due to higher FAE employee-related costs, which includes an increase in stock-based compensation expense related to our RSUs granted prior to our IPO, as the performance-based vesting condition applicable to such RSUs was satisfied upon the effectiveness of our IPO in October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30,849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12,788</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7,971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4,817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12,138</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55,775</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38,297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17,478</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R&amp;D expenses increased, $10.3 million, or 50%, to $30.8 million for the nine months ended September 30, 2022 from $20.6 million for the nine months ended September 30, 2021. The increase in R&amp;D expenses was due to higher stock-based compensation expense of $3.8 million primarily related to our RSUs granted prior to our IPO, as the performance-based vesting condition applicable to such RSUs was satisfied upon the effectiveness of our IPO in October 2021, an increase in allocated costs of $2.7 million primarily attributable to increased headcount and a decrease in research tax credit of $ 1.0 million. We also incurred higher other employee-related costs of $1.7 million and professional fees of $0.5 million primarily attributable to increased engineering headcount as a result of growth and our investment in our interconnect technology and IP deployment software.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S&amp;M expenses increased, $4.8 million, or 60%, to $ 12.8 million for the nine months ended September 30, 2022 from $8.0 million for the nine months ended September 30, 2021. The increase in S&amp;M expenses was primarily due to higher other employee-related costs, including commissions, of $2.1 million mainly driven by higher headcount and overall costs to support our continued growth, an increase in stock-based compensation expense of $1.6 million related to our RSUs granted prior to our IPO, as the performance-based vesting condition applicable to such RSUs was satisfied upon the effectiveness of our IPO in October 2021, and an increase in allocated costs of $1.0 million primarily attributable to increased headcount.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G&amp;A expenses increased, $2.4 million, or 24%, to $12.1 million for the nine months ended September 30, 2022 from $9.8 million for the nine months ended September 30, 2021. The increase in general and administrative expenses was primarily due to higher stock-based compensation expense of $2.1 million primarily related to our RSUs granted prior to our IPO, as the performance-based vesting condition applicable to such RSUs was satisfied upon the effectiveness of our IPO in October 2021. We also incurred increased directors and officers liability insurance expenses of $1.9 million to support the normal course of operating as a public company, partially offset by decrease in professional fees of $1.9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(expense), net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w:t>
            </w:r>
          </w:p>
        </w:tc>
        <w:tc>
          <w:tcPr>
            <w:tcW w:w="7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843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and other income (expense), net for the nine months ended September 30, 2022 was an income of $0.3 million, compared to an expense of $0.5 million for the nine months ended September 30, 2021. The increase in interest and other income is primarily related to foreign currency exchange, the gain on deconsolidation of our wholly-owned subsidiary, interest income earned on higher cash balances due to proceeds from our IPO in October 2021, and interest income earned on our available-for-sale investments.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6"/>
        </w:trPr>
        <w:tc>
          <w:tcPr>
            <w:tcW w:w="4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w:t>
            </w:r>
          </w:p>
        </w:tc>
        <w:tc>
          <w:tcPr>
            <w:tcW w:w="7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110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r>
    </w:tbl>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Provision for income taxes for the nine months ended September 30, 2022 was $ 0.7 million, compared to $0.6 million for the nine months ended September 30, 2021. The increase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inception, we have financed operations primarily from payments received from our customers, the net proceeds from the sale of our common stock in the IPO as well as the net proceeds from the private issuance of our convertible preferred stock and common stock. As of</w:t>
      </w:r>
    </w:p>
    <w:p>
      <w:pPr>
        <w:spacing w:after="0" w:line="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September 30, 2022, we had $72.6 million in cash and cash equivalents and short-term investments of which $4.2 million was held by our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believe our cash and cash equivalents, short-term investments, available borrowing capacity and cash expected to be generated from operations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in our 2021 Form 10-K for additional information and elsewhere in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cash flows for the periods indicated:</w:t>
      </w:r>
    </w:p>
    <w:p>
      <w:pPr>
        <w:spacing w:after="0" w:line="253"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4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3"/>
        </w:trPr>
        <w:tc>
          <w:tcPr>
            <w:tcW w:w="7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6"/>
                <w:szCs w:val="16"/>
                <w:color w:val="auto"/>
              </w:rPr>
            </w:pPr>
          </w:p>
        </w:tc>
      </w:tr>
      <w:tr>
        <w:trPr>
          <w:trHeight w:val="20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(6,376)</w:t>
            </w:r>
          </w:p>
        </w:tc>
        <w:tc>
          <w:tcPr>
            <w:tcW w:w="6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(4,006)</w:t>
            </w: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(7,333)</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(488)</w:t>
            </w:r>
          </w:p>
        </w:tc>
      </w:tr>
      <w:tr>
        <w:trPr>
          <w:trHeight w:val="20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(3,916)</w:t>
            </w:r>
          </w:p>
        </w:tc>
        <w:tc>
          <w:tcPr>
            <w:tcW w:w="6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3,991</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accounts receivable. The timing of receipts of accounts receivable from customers is based upon the completion of agreed milestones or agreed dates as set forth in the contracts.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September 30, 2022, net cash used in operating activities was $6.4 million primarily due to our net loss of $20.2 million, adjusted for non-cash charges of $10.4 million and $ 3.4 million changes in operating assets and liabilities. The non-cash charges primarily consisted of stock-based compensation expense of $9.1 million and depreciation and amortization of $1.6 million, partially offset by gain on deconsolidation of our wholly-owned subsidiary of $0.1 million and amortization of deferred income of $0.1 million. The primary drivers of the changes in operating assets and liabilities were a $4.2 million decrease in accounts receivable, a $0.5 million increase in deferred revenue, a $0.4 million increase in accounts payable, partially offset by a $1.8 million increase in prepaid expenses and other assets.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nine months ended September 30, 2021, net cash used in operating activities was $4.0 million primarily due to our net loss of $15.6 million, adjusted for non-cash charges of $2.2 million and $9.4 million changes in our operating assets and liabilities. The primary drivers of the changes in operating assets and liabilities were a $6.2 million decrease in accounts receivable, a $5.1 million increase in deferred revenue, a $1.3 million increase in accrued expenses and other current liabilities, partially offset by a $3.9 million increase in prepaid expenses and other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investing activities for the nine months ended September 30, 2022 was $7.3 million, primarily attributable to purchases of property and equipment, purchases of available-for-sale securities, proceeds from principal portion of our related party loan and payments related to investment in our equity method investee, see Note 13 to our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used in investing activities for the nine months ended September 30, 2021 was $0.5 million, primarily attributable to purchases of property and equipment to support our office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Net cash used in financing activities for the nine months ended September 30, 2022 was $3.9 million, primarily attributable to payments of contingent consideration for business acquisition of $1.6 million and payments to tax authorities for shares withheld from employees of $2.1 million.</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financing activities for the nine months ended September 30, 2021 was $ 4.0 million, primarily attributable to proceeds from issuance of common stock of $5.4 million, partially offset by the principal payments of term loan of $0.5 million and payments of deferred offering costs of $0.9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our critical accounting estimates as compared to those described in “Management’s Discussion and Analysis of Financial Condition and Results of Operations” set forth in our 2021 Form 10-K, other than those discussed in Note 2 to our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more information regarding recently issued accounting pronouncements, see Note 2 to our unaudited condensed consolidated financial statements included elsewhere in this Quarterly Report on Form 10-Q.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2021 Form 10-K. As a result, our financial statements may not be comparable to companies that comply with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the Company as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Quarterly Report on Form 10-Q, our disclosure controls and procedures were effective at the reasonable assurance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have been and will continue to be subject to legal proceedings and claims. We are not presently a party to any legal proceedings that, if determined adversely to us, would individually or taken together have a material adverse effect on our business, results of operations, financial condition,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before deciding whether to invest in our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could lose all or part of your investment. Additional risks and uncertainties not presently known to us or not believed by us to be material may also negatively impact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face significant competition from larger companies and third party providers that may deploy their resources so they can develop their IP solutions internally.</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w:t>
      </w:r>
    </w:p>
    <w:p>
      <w:pPr>
        <w:spacing w:after="0" w:line="21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Openedges Technologies Inc. and Arm Limited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competitors to our marketplace efforts, or a shift in customer preferences to competitors’ products, could result in increased pressure to lower our prices more rapidly than anticipated, increased sales and marketing expense, and/or market share loss. The consolidation of our</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ability to compete in our market is subject to a variety of factors, many of which are beyond our control. The occurrence of any of the below could adversely affect our ability to compete and harm our business:</w:t>
      </w:r>
    </w:p>
    <w:p>
      <w:pPr>
        <w:spacing w:after="0" w:line="144" w:lineRule="exact"/>
        <w:rPr>
          <w:sz w:val="20"/>
          <w:szCs w:val="20"/>
          <w:color w:val="auto"/>
        </w:rPr>
      </w:pPr>
    </w:p>
    <w:p>
      <w:pPr>
        <w:ind w:left="820" w:right="20" w:hanging="326"/>
        <w:spacing w:after="0" w:line="261" w:lineRule="auto"/>
        <w:tabs>
          <w:tab w:leader="none" w:pos="8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anticipate and lead critical product development cycles and technological shifts as driven by our target markets, to innovate rapidly and efficiently and to improve our existing solutions.</w:t>
      </w:r>
    </w:p>
    <w:p>
      <w:pPr>
        <w:spacing w:after="0" w:line="35" w:lineRule="exact"/>
        <w:rPr>
          <w:rFonts w:ascii="Arial" w:cs="Arial" w:eastAsia="Arial" w:hAnsi="Arial"/>
          <w:sz w:val="18"/>
          <w:szCs w:val="18"/>
          <w:color w:val="auto"/>
        </w:rPr>
      </w:pPr>
    </w:p>
    <w:p>
      <w:pPr>
        <w:ind w:left="820" w:hanging="326"/>
        <w:spacing w:after="0" w:line="261" w:lineRule="auto"/>
        <w:tabs>
          <w:tab w:leader="none" w:pos="8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any competitor substantially increases its engineering and marketing resources to compete with us in the semiconductor IP deployment software technology arena.</w:t>
      </w:r>
    </w:p>
    <w:p>
      <w:pPr>
        <w:spacing w:after="0" w:line="35" w:lineRule="exact"/>
        <w:rPr>
          <w:rFonts w:ascii="Arial" w:cs="Arial" w:eastAsia="Arial" w:hAnsi="Arial"/>
          <w:sz w:val="18"/>
          <w:szCs w:val="18"/>
          <w:color w:val="auto"/>
        </w:rPr>
      </w:pPr>
    </w:p>
    <w:p>
      <w:pPr>
        <w:ind w:left="820" w:right="20" w:hanging="326"/>
        <w:spacing w:after="0" w:line="261" w:lineRule="auto"/>
        <w:tabs>
          <w:tab w:leader="none" w:pos="8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 new entrant with substantially greater resources and/or supported by governmental resources decides to enter the markets in which we compete.</w:t>
      </w:r>
    </w:p>
    <w:p>
      <w:pPr>
        <w:spacing w:after="0" w:line="35" w:lineRule="exact"/>
        <w:rPr>
          <w:rFonts w:ascii="Arial" w:cs="Arial" w:eastAsia="Arial" w:hAnsi="Arial"/>
          <w:sz w:val="18"/>
          <w:szCs w:val="18"/>
          <w:color w:val="auto"/>
        </w:rPr>
      </w:pPr>
    </w:p>
    <w:p>
      <w:pPr>
        <w:ind w:left="820" w:right="20" w:hanging="326"/>
        <w:spacing w:after="0" w:line="261" w:lineRule="auto"/>
        <w:tabs>
          <w:tab w:leader="none" w:pos="8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any existing or new competitor bundles its technologies into one package at a discounted price that would make it uneconomical for our customers to license our products separately.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20" w:hanging="326"/>
        <w:spacing w:after="0" w:line="261" w:lineRule="auto"/>
        <w:tabs>
          <w:tab w:leader="none" w:pos="8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challenges of developing, or acquiring externally developed, technology solutions that are adequate and competitive in meeting the rapidly evolving requirements of next-generation design challenges.</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on the basis of payment and pricing features and terms.</w:t>
      </w:r>
    </w:p>
    <w:p>
      <w:pPr>
        <w:spacing w:after="0" w:line="63" w:lineRule="exact"/>
        <w:rPr>
          <w:rFonts w:ascii="Arial" w:cs="Arial" w:eastAsia="Arial" w:hAnsi="Arial"/>
          <w:sz w:val="18"/>
          <w:szCs w:val="18"/>
          <w:color w:val="auto"/>
        </w:rPr>
      </w:pPr>
    </w:p>
    <w:p>
      <w:pPr>
        <w:ind w:left="820" w:hanging="326"/>
        <w:spacing w:after="0" w:line="261" w:lineRule="auto"/>
        <w:tabs>
          <w:tab w:leader="none" w:pos="8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by semiconductor companies, system companies, device or other end product producers, and/or OEMs to develop IP development internally, rather than license IP from outside vendors due to budget constraints or excess engineering capacity.</w:t>
      </w:r>
    </w:p>
    <w:p>
      <w:pPr>
        <w:spacing w:after="0" w:line="35" w:lineRule="exact"/>
        <w:rPr>
          <w:rFonts w:ascii="Arial" w:cs="Arial" w:eastAsia="Arial" w:hAnsi="Arial"/>
          <w:sz w:val="18"/>
          <w:szCs w:val="18"/>
          <w:color w:val="auto"/>
        </w:rPr>
      </w:pPr>
    </w:p>
    <w:p>
      <w:pPr>
        <w:jc w:val="both"/>
        <w:ind w:left="820" w:hanging="326"/>
        <w:spacing w:after="0" w:line="256" w:lineRule="auto"/>
        <w:tabs>
          <w:tab w:leader="none" w:pos="8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w:t>
      </w:r>
    </w:p>
    <w:p>
      <w:pPr>
        <w:spacing w:after="0" w:line="39"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regulators or governmental entities to modify or augment tax treatment of our product and service offerings.</w:t>
      </w:r>
    </w:p>
    <w:p>
      <w:pPr>
        <w:spacing w:after="0" w:line="63" w:lineRule="exact"/>
        <w:rPr>
          <w:rFonts w:ascii="Arial" w:cs="Arial" w:eastAsia="Arial" w:hAnsi="Arial"/>
          <w:sz w:val="18"/>
          <w:szCs w:val="18"/>
          <w:color w:val="auto"/>
        </w:rPr>
      </w:pPr>
    </w:p>
    <w:p>
      <w:pPr>
        <w:jc w:val="both"/>
        <w:ind w:left="820" w:hanging="326"/>
        <w:spacing w:after="0" w:line="256" w:lineRule="auto"/>
        <w:tabs>
          <w:tab w:leader="none" w:pos="8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spacing w:after="0" w:line="39" w:lineRule="exact"/>
        <w:rPr>
          <w:rFonts w:ascii="Arial" w:cs="Arial" w:eastAsia="Arial" w:hAnsi="Arial"/>
          <w:sz w:val="18"/>
          <w:szCs w:val="18"/>
          <w:color w:val="auto"/>
        </w:rPr>
      </w:pPr>
    </w:p>
    <w:p>
      <w:pPr>
        <w:ind w:left="820" w:hanging="326"/>
        <w:spacing w:after="0" w:line="261" w:lineRule="auto"/>
        <w:tabs>
          <w:tab w:leader="none" w:pos="8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effects of geopolitical conflicts, such as the military conflict between Russia and Ukraine, including retaliatory and regulatory actions, on purchasing, development, sales and innovation responses and trends in response to such conflicts.</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embargoes, sanctions, boycotts and/or social unrest.</w:t>
      </w:r>
    </w:p>
    <w:p>
      <w:pPr>
        <w:spacing w:after="0" w:line="63" w:lineRule="exact"/>
        <w:rPr>
          <w:rFonts w:ascii="Arial" w:cs="Arial" w:eastAsia="Arial" w:hAnsi="Arial"/>
          <w:sz w:val="18"/>
          <w:szCs w:val="18"/>
          <w:color w:val="auto"/>
        </w:rPr>
      </w:pPr>
    </w:p>
    <w:p>
      <w:pPr>
        <w:ind w:left="820" w:hanging="326"/>
        <w:spacing w:after="0" w:line="261" w:lineRule="auto"/>
        <w:tabs>
          <w:tab w:leader="none" w:pos="8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or international economic headwind trends that may lead to recessions, economic slowdowns or sudden changes in economic needs of regions and consumers.</w:t>
      </w:r>
    </w:p>
    <w:p>
      <w:pPr>
        <w:spacing w:after="0" w:line="35" w:lineRule="exact"/>
        <w:rPr>
          <w:rFonts w:ascii="Arial" w:cs="Arial" w:eastAsia="Arial" w:hAnsi="Arial"/>
          <w:sz w:val="18"/>
          <w:szCs w:val="18"/>
          <w:color w:val="auto"/>
        </w:rPr>
      </w:pPr>
    </w:p>
    <w:p>
      <w:pPr>
        <w:ind w:left="820" w:hanging="326"/>
        <w:spacing w:after="0" w:line="261" w:lineRule="auto"/>
        <w:tabs>
          <w:tab w:leader="none" w:pos="8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Silicon chip supply chain and shipment volume restrictions on our customers and their end customers that will impact the amount of royalties payable to us.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 unable to reduce the cost of our products sufficiently to compete effectively against our competitors. Our cost reduction efforts may not allow us to keep pace with competitive pricing pressures and/or other economic factors including inflation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 in our 2021 Form 10-K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we may not achieve or maintain profitability in the future.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incurred net losses in certain periods historically. We incurred a net loss of $23.4 million in 2021, and our net loss for the three months ended September 30, 2022 and 2021 was $7.7 million and $5.0 million, respectively. Our net loss for the nine months ended September 30, 2022 and 2021 was $20.2 million and $15.6 million, respectively. As of September 30, 2022, we had an accumulated deficit of $59.2 million.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slow downs and/or recessionary pressures, the COVID-19 pandemic and other global economic factors.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long-term success is dependent upon our ability to successfully market our interconnect IP and IP deployment solutions, develop new interconnect IP and IP deployment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Because our IP solutions are components of end products, if semiconductor, system producers and/or end product producer companies in the automotive market, AI/ML market, 5G and wireless communications market, large scale cloud and data center market and consumer electronics market do not incorporate our solutions into their end products or if the end products of our customers do not achieve market acceptance, we may not be able to generate adequate license sales and royalty income from our products.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IP solutions include technology that manages on-chip communications in SoC semiconductor devices. We do not license our IP solutions and deployment tools directly to end-users; we license our technology primarily to companies in the automotive market, AI/ML market, 5G and wireless communications market, large scale cloud and data center market and consumer electronics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Moreover, even after a customer agrees to incorporate our technology into its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actually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to start their own product designs and manufacture and ship their products, including target product market conditions, our customers’ financial stability, our customers’ competitive positioning and external economic conditions (such as but not limited to inflation, customer and end market supply chain constraints, geopolitical conflict, sanctions and competition) that may prolong the customers’ decision-making process and design cycle.</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depend on growth and economic stability in the end markets that use our products. Any slowdown in the growth and economic stability of these end markets could harm our business.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continued success will depend in large part on general economic growth and stability, and growth and stability within our target markets in the automotive market, AI/ML market, 5G and wireless communications market, large scale cloud and data center market and consumer electronics market. Factors affecting these markets could seriously harm our customers and/or end customers and, as a result, harm us, examples of which include:</w:t>
      </w:r>
    </w:p>
    <w:p>
      <w:pPr>
        <w:spacing w:after="0" w:line="150" w:lineRule="exact"/>
        <w:rPr>
          <w:sz w:val="20"/>
          <w:szCs w:val="20"/>
          <w:color w:val="auto"/>
        </w:rPr>
      </w:pPr>
    </w:p>
    <w:p>
      <w:pPr>
        <w:ind w:left="800" w:hanging="3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sales of our customers’ and/or end customers’ products.</w:t>
      </w:r>
    </w:p>
    <w:p>
      <w:pPr>
        <w:spacing w:after="0" w:line="63" w:lineRule="exact"/>
        <w:rPr>
          <w:rFonts w:ascii="Arial" w:cs="Arial" w:eastAsia="Arial" w:hAnsi="Arial"/>
          <w:sz w:val="18"/>
          <w:szCs w:val="18"/>
          <w:color w:val="auto"/>
        </w:rPr>
      </w:pPr>
    </w:p>
    <w:p>
      <w:pPr>
        <w:jc w:val="both"/>
        <w:ind w:left="820" w:hanging="326"/>
        <w:spacing w:after="0" w:line="256" w:lineRule="auto"/>
        <w:tabs>
          <w:tab w:leader="none" w:pos="8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catastrophic and other disruptive events at our customers’ and/or end customers’ offices or facilities including, but not limited to, natural disasters, telecommunications failures, cyber-attacks, terrorist attacks, pandemics, epidemics or other outbreaks of infectious disease, including the current COVID-19 pandemic, breaches of security or loss of critical data.</w:t>
      </w:r>
    </w:p>
    <w:p>
      <w:pPr>
        <w:spacing w:after="0" w:line="39" w:lineRule="exact"/>
        <w:rPr>
          <w:rFonts w:ascii="Arial" w:cs="Arial" w:eastAsia="Arial" w:hAnsi="Arial"/>
          <w:sz w:val="18"/>
          <w:szCs w:val="18"/>
          <w:color w:val="auto"/>
        </w:rPr>
      </w:pPr>
    </w:p>
    <w:p>
      <w:pPr>
        <w:ind w:left="820" w:hanging="326"/>
        <w:spacing w:after="0" w:line="261" w:lineRule="auto"/>
        <w:tabs>
          <w:tab w:leader="none" w:pos="8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associated with potential disruptions to our customers’ and/or end markets’ supply chain and other manufacturing and production operations.</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deterioration of our customers’ and/or end customers’ financial condition.</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and project cancellations as a result of design flaws in the products developed by our customers and/or end customers.</w:t>
      </w:r>
    </w:p>
    <w:p>
      <w:pPr>
        <w:spacing w:after="0" w:line="63" w:lineRule="exact"/>
        <w:rPr>
          <w:rFonts w:ascii="Arial" w:cs="Arial" w:eastAsia="Arial" w:hAnsi="Arial"/>
          <w:sz w:val="18"/>
          <w:szCs w:val="18"/>
          <w:color w:val="auto"/>
        </w:rPr>
      </w:pPr>
    </w:p>
    <w:p>
      <w:pPr>
        <w:ind w:left="820" w:hanging="326"/>
        <w:spacing w:after="0" w:line="261" w:lineRule="auto"/>
        <w:tabs>
          <w:tab w:leader="none" w:pos="8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our customers and/or end customers to expand or dedicate the resources necessary to promote and commercialize their products.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20" w:hanging="326"/>
        <w:spacing w:after="0" w:line="261" w:lineRule="auto"/>
        <w:tabs>
          <w:tab w:leader="none" w:pos="8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customers and/or end customers to adapt to changing technological demands resulting in their products becoming obsolete.</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our customers’ and/or end customers’ products to achieve market success and gain broad market acceptance.</w:t>
      </w:r>
    </w:p>
    <w:p>
      <w:pPr>
        <w:spacing w:after="0" w:line="1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22"/>
          <w:szCs w:val="22"/>
          <w:color w:val="auto"/>
        </w:rPr>
      </w:pPr>
      <w:r>
        <w:rPr>
          <w:rFonts w:ascii="Arial" w:cs="Arial" w:eastAsia="Arial" w:hAnsi="Arial"/>
          <w:sz w:val="18"/>
          <w:szCs w:val="18"/>
          <w:color w:val="auto"/>
        </w:rPr>
        <w:t>Disruption and uncertainty caused by new developments in export and related regulations.</w:t>
      </w:r>
    </w:p>
    <w:p>
      <w:pPr>
        <w:spacing w:after="0" w:line="10" w:lineRule="exact"/>
        <w:rPr>
          <w:rFonts w:ascii="Arial" w:cs="Arial" w:eastAsia="Arial" w:hAnsi="Arial"/>
          <w:sz w:val="22"/>
          <w:szCs w:val="22"/>
          <w:color w:val="auto"/>
        </w:rPr>
      </w:pPr>
    </w:p>
    <w:p>
      <w:pPr>
        <w:ind w:left="820" w:hanging="326"/>
        <w:spacing w:after="0" w:line="233" w:lineRule="auto"/>
        <w:tabs>
          <w:tab w:leader="none" w:pos="820" w:val="left"/>
        </w:tabs>
        <w:numPr>
          <w:ilvl w:val="0"/>
          <w:numId w:val="20"/>
        </w:numPr>
        <w:rPr>
          <w:rFonts w:ascii="Arial" w:cs="Arial" w:eastAsia="Arial" w:hAnsi="Arial"/>
          <w:sz w:val="22"/>
          <w:szCs w:val="22"/>
          <w:color w:val="auto"/>
        </w:rPr>
      </w:pPr>
      <w:r>
        <w:rPr>
          <w:rFonts w:ascii="Arial" w:cs="Arial" w:eastAsia="Arial" w:hAnsi="Arial"/>
          <w:sz w:val="18"/>
          <w:szCs w:val="18"/>
          <w:color w:val="auto"/>
        </w:rPr>
        <w:t>Regional and global effect of inflation.</w:t>
      </w:r>
    </w:p>
    <w:p>
      <w:pPr>
        <w:ind w:left="800" w:hanging="30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impact of multiple interest rate increases implemented and forecasted by the U.S. Federal Reserve.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trade or supply chain disruptions and regional and/or worldwide chip shortages or excess supply, demand fluctuations,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market acceptance of third-party semiconductor IP.</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IP deployment software. Furthermore, the third-party licensable IP model is highly dependent on the market adoption of new services and products, including in the automotive market, AI/ML market, 5G and wireless communications market, large scale cloud and data center market and consumer electronics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trends that would enable our growth are largely beyond our control. Semiconductor customers also may choose to adopt a multi-chip, off-the-shelf chip solution versus licensing or using highly-integrated chipsets that embed our technologies or use our deployment software. If these market shifts do not materialize or third-party semiconductor IP does not achieve market acceptance, our business could be harmed.</w:t>
      </w:r>
    </w:p>
    <w:p>
      <w:pPr>
        <w:spacing w:after="0" w:line="3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success of our business depends on sustaining or growing our licensing revenue and the failure to achieve such revenue would lead to a material decline in our results of operations.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 In addition, our customer acquisition cycle for new licenses and license renewals for existing licensees can be lengthy, typically between two to nine months, and can also be costly and unpredictable. We cannot provide any assurance that we will be successful in signing new license agreements or renewing existing license agreements on equal or favorable terms or at all. If we do not achieve our revenue goals, our results of operations could decline.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Even if we succeed in securing design wins for our IP interconnect and other solutions and our IP deployment solutions, we may not generate timely or sufficient margins or margins from those wins and our financial results could suffer.</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spacing w:after="0" w:line="148" w:lineRule="exact"/>
        <w:rPr>
          <w:sz w:val="20"/>
          <w:szCs w:val="20"/>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customer requirements, resulting in an extended development cycle for the product.</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in the ramp-up of volume production of the customer’s products into which our solutions are designed.</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or cancellation of the customer’s product development plans.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or competitive pressures to reduce the selling price of the customer’s end-product.</w:t>
      </w:r>
    </w:p>
    <w:p>
      <w:pPr>
        <w:spacing w:after="0" w:line="63" w:lineRule="exact"/>
        <w:rPr>
          <w:rFonts w:ascii="Arial" w:cs="Arial" w:eastAsia="Arial" w:hAnsi="Arial"/>
          <w:sz w:val="18"/>
          <w:szCs w:val="18"/>
          <w:color w:val="auto"/>
        </w:rPr>
      </w:pPr>
    </w:p>
    <w:p>
      <w:pPr>
        <w:ind w:left="820" w:hanging="326"/>
        <w:spacing w:after="0" w:line="261" w:lineRule="auto"/>
        <w:tabs>
          <w:tab w:leader="none" w:pos="8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than expected acceptance of the customers’ end-products.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continually pursue new IP interconnect and other solutions and IP deployment technology initiatives, and if we fail to successfully carry out these initiatives, our business could be harmed.</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the evolution of our business, we have made substantial investments to develop IP interconnect and other solutions, IP deployment software solutions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AI/ML market, 5G and wireless communications market, large scale cloud and data center market and consumer electronics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IP deployment solutions in a timely and cost-effective manner, or if we fail to introduce new technologies that meet market demand, we may lose our competitive position, our products may become obsolete, and our business could be harmed.</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from time to time, we invest in expansion into adjacent markets, including the acquisition of Magillem and our entry into the IP deployment solutions market. Although we believe these solutions are complementary to our IP interconnect solutions, we have less experience and a more limited operating history in offering software that, among other things, manages register configurations of IP blocks, assembles multiple IP blocks into SoC platforms and links design parameters and metadata to documentation, and our efforts in this area may not be successful. Our success in these product areas depend on a variety of factors, including the following:</w:t>
      </w:r>
    </w:p>
    <w:p>
      <w:pPr>
        <w:spacing w:after="0" w:line="151" w:lineRule="exact"/>
        <w:rPr>
          <w:sz w:val="20"/>
          <w:szCs w:val="20"/>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to attract new customers in industries in which we have less experience.</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successful development of sales and marketing strategies that meet customer requirements.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accurately predict, prepare for, and promptly respond to technological developments in existing and new fields.</w:t>
      </w:r>
    </w:p>
    <w:p>
      <w:pPr>
        <w:spacing w:after="0" w:line="63" w:lineRule="exact"/>
        <w:rPr>
          <w:rFonts w:ascii="Arial" w:cs="Arial" w:eastAsia="Arial" w:hAnsi="Arial"/>
          <w:sz w:val="18"/>
          <w:szCs w:val="18"/>
          <w:color w:val="auto"/>
        </w:rPr>
      </w:pPr>
    </w:p>
    <w:p>
      <w:pPr>
        <w:jc w:val="both"/>
        <w:ind w:left="820" w:hanging="326"/>
        <w:spacing w:after="0" w:line="256" w:lineRule="auto"/>
        <w:tabs>
          <w:tab w:leader="none" w:pos="8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compete with new and existing competitors, many of which may have more financial resources, industry experience, brand recognition, relevant IP rights, and/or more established customer relationships than we currently do, and they could include free and open-source solutions that provide similar IP deployment solutions.</w:t>
      </w:r>
    </w:p>
    <w:p>
      <w:pPr>
        <w:spacing w:after="0" w:line="39"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continually balance our investment in adjacent markets with investment in our existing products and services.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employees with expertise in new or emerging fields affecting our business.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Difficulties in any of our new product development efforts or our efforts to enter adjacent markets, including delays or disruptions due to factors outside of our control such as any adverse impact resulting from market and inflationary pressures, export and trade controls, and the COVID-19 pandemic, could harm our business.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have to invest more resources in research and development than anticipated, which could increase our operating expenses and negatively affect our operating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currently devote substantial resources to the research and development of new and enhanced interconnect IP and IP deployment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may also decide to increase our research and development investment to seize customer or market opportunities, which could negatively impact our financial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experience hiring challenges, including for engineering resources.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errors or defects could expose us to liability and harm our reputation and we could lose market share.</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IP deployment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IP deployment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Interconnect IP technology is complex, and our customer support is critical for the successful deployment of our IP in our customers’ designs, and we maintain a team of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2021 56.9% of our revenue was derived from sales to customers outside of the United States. In particular, we derived 27.1% of our revenue in 2021 from customers located in China. For the nine months ended September 30, 2022, 58.8% of our revenue was derived from sales to customers outside of the United States and 26.4% of our revenue was derived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China, South Korea and Japan. Moreover, conducting business outside the United States subjects us to a number of additional risks and challenges, including:</w:t>
      </w:r>
    </w:p>
    <w:p>
      <w:pPr>
        <w:spacing w:after="0" w:line="153" w:lineRule="exact"/>
        <w:rPr>
          <w:sz w:val="20"/>
          <w:szCs w:val="20"/>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regulatory or economic conditions.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820" w:hanging="326"/>
        <w:spacing w:after="0" w:line="256"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pandemic, epidemic or other outbreak of an infectious disease, including the current COVID-19 pandemic, which may cause us or our distributors, vendors and/or customers to temporarily suspend our or their respective operations in the affected city or country or completely.</w:t>
      </w:r>
    </w:p>
    <w:p>
      <w:pPr>
        <w:spacing w:after="0" w:line="39" w:lineRule="exact"/>
        <w:rPr>
          <w:rFonts w:ascii="Arial" w:cs="Arial" w:eastAsia="Arial" w:hAnsi="Arial"/>
          <w:sz w:val="18"/>
          <w:szCs w:val="18"/>
          <w:color w:val="auto"/>
        </w:rPr>
      </w:pPr>
    </w:p>
    <w:p>
      <w:pPr>
        <w:jc w:val="both"/>
        <w:ind w:left="820" w:hanging="326"/>
        <w:spacing w:after="0" w:line="254"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spacing w:after="0" w:line="41" w:lineRule="exact"/>
        <w:rPr>
          <w:rFonts w:ascii="Arial" w:cs="Arial" w:eastAsia="Arial" w:hAnsi="Arial"/>
          <w:sz w:val="18"/>
          <w:szCs w:val="18"/>
          <w:color w:val="auto"/>
        </w:rPr>
      </w:pPr>
    </w:p>
    <w:p>
      <w:pPr>
        <w:jc w:val="both"/>
        <w:ind w:left="820" w:hanging="326"/>
        <w:spacing w:after="0" w:line="256" w:lineRule="auto"/>
        <w:tabs>
          <w:tab w:leader="none" w:pos="8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spacing w:after="0" w:line="39" w:lineRule="exact"/>
        <w:rPr>
          <w:rFonts w:ascii="Arial" w:cs="Arial" w:eastAsia="Arial" w:hAnsi="Arial"/>
          <w:sz w:val="18"/>
          <w:szCs w:val="18"/>
          <w:color w:val="auto"/>
        </w:rPr>
      </w:pPr>
    </w:p>
    <w:p>
      <w:pPr>
        <w:jc w:val="both"/>
        <w:ind w:left="820" w:hanging="326"/>
        <w:spacing w:after="0" w:line="256"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significant new export control regulations targeting the Chinese semiconductor industry and technical support of the Chinese semiconductor industry, tariffs and other barriers, restrictions and regional stability measures, including as between U.S.-China.</w:t>
      </w:r>
    </w:p>
    <w:p>
      <w:pPr>
        <w:spacing w:after="0" w:line="39" w:lineRule="exact"/>
        <w:rPr>
          <w:rFonts w:ascii="Arial" w:cs="Arial" w:eastAsia="Arial" w:hAnsi="Arial"/>
          <w:sz w:val="18"/>
          <w:szCs w:val="18"/>
          <w:color w:val="auto"/>
        </w:rPr>
      </w:pPr>
    </w:p>
    <w:p>
      <w:pPr>
        <w:jc w:val="both"/>
        <w:ind w:left="820" w:hanging="326"/>
        <w:spacing w:after="0" w:line="256" w:lineRule="auto"/>
        <w:tabs>
          <w:tab w:leader="none" w:pos="8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spacing w:after="0" w:line="39"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 across different geographic areas, time zones and cultures.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63" w:lineRule="exact"/>
        <w:rPr>
          <w:rFonts w:ascii="Arial" w:cs="Arial" w:eastAsia="Arial" w:hAnsi="Arial"/>
          <w:sz w:val="18"/>
          <w:szCs w:val="18"/>
          <w:color w:val="auto"/>
        </w:rPr>
      </w:pPr>
    </w:p>
    <w:p>
      <w:pPr>
        <w:ind w:left="820" w:hanging="326"/>
        <w:spacing w:after="0" w:line="261"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political, legal and economic instability, armed conflict, and civil unrest in the countries in which we and our customers are located.</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and costs of maintaining effective data security.</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Inadequate protection of our IP.</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63" w:lineRule="exact"/>
        <w:rPr>
          <w:rFonts w:ascii="Arial" w:cs="Arial" w:eastAsia="Arial" w:hAnsi="Arial"/>
          <w:sz w:val="18"/>
          <w:szCs w:val="18"/>
          <w:color w:val="auto"/>
        </w:rPr>
      </w:pPr>
    </w:p>
    <w:p>
      <w:pPr>
        <w:ind w:left="820" w:right="20" w:hanging="326"/>
        <w:spacing w:after="0" w:line="261" w:lineRule="auto"/>
        <w:tabs>
          <w:tab w:leader="none" w:pos="8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withholding taxes and other potentially negative tax consequences.</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inside and outside of the United States.</w:t>
      </w:r>
    </w:p>
    <w:p>
      <w:pPr>
        <w:spacing w:after="0" w:line="63" w:lineRule="exact"/>
        <w:rPr>
          <w:rFonts w:ascii="Arial" w:cs="Arial" w:eastAsia="Arial" w:hAnsi="Arial"/>
          <w:sz w:val="18"/>
          <w:szCs w:val="18"/>
          <w:color w:val="auto"/>
        </w:rPr>
      </w:pPr>
    </w:p>
    <w:p>
      <w:pPr>
        <w:ind w:left="820" w:right="20" w:hanging="326"/>
        <w:spacing w:after="0" w:line="261"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35" w:lineRule="exact"/>
        <w:rPr>
          <w:rFonts w:ascii="Arial" w:cs="Arial" w:eastAsia="Arial" w:hAnsi="Arial"/>
          <w:sz w:val="18"/>
          <w:szCs w:val="18"/>
          <w:color w:val="auto"/>
        </w:rPr>
      </w:pPr>
    </w:p>
    <w:p>
      <w:pPr>
        <w:ind w:left="820" w:right="20" w:hanging="326"/>
        <w:spacing w:after="0" w:line="261"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regulatory uncertainties with respect to our wholly foreign-owned enterprise operating in China and any joint ventures we may form or contribute IP or other resources to in the future.</w:t>
      </w:r>
    </w:p>
    <w:p>
      <w:pPr>
        <w:spacing w:after="0" w:line="35" w:lineRule="exact"/>
        <w:rPr>
          <w:rFonts w:ascii="Arial" w:cs="Arial" w:eastAsia="Arial" w:hAnsi="Arial"/>
          <w:sz w:val="18"/>
          <w:szCs w:val="18"/>
          <w:color w:val="auto"/>
        </w:rPr>
      </w:pPr>
    </w:p>
    <w:p>
      <w:pPr>
        <w:jc w:val="both"/>
        <w:ind w:left="820" w:hanging="326"/>
        <w:spacing w:after="0" w:line="254" w:lineRule="auto"/>
        <w:tabs>
          <w:tab w:leader="none" w:pos="8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Trends such as global and regional inflation, supply shortages and supply chain disruptions, geopolitical conflicts and retaliatory actions and regulations affecting or relating to regions such as but not limited to Ukraine, Russia, Eastern Europe or in the Greater China region, may lead to the deterioration of our immediate customers’ and/or end market customers’ ability and/or willingness to purchase, use, develop, market or sell products or solutions that incorporate or are made while using our products.</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factors, individually or in combination, could impair our ability to effectively operate one or more of our foreign facilities or deliver our semiconductor IP or IP deployment solutions, result in unexpected and material expenses, or cause an unexpected decline in the demand for our products in certain countries or regions. For example, one formerly substantial royalty customer became unable to source a key material in 2020 as a result of the trade disputes between the United States and China, and consequently shipment volumes of products containing our interconnect IP have been significantly lower, adversely affecting our royalty revenue. Our failure to manage the risks and challenges associated with our international business and operations could harm our business.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Downturns or volatility in general economic conditions, including as a result of the current COVID-19 pandemic or any other outbreak of an infectious disease, could harm our business.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revenue, gross margin, and ability to achieve and maintain profitability depend significantly on general economic conditions and the demand for products in the markets in which our customers compete. Weaknesses in the global economy and financial markets, including the current weaknesses resulting from the ongoing COVID-19 pandemic,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AI/ML market, 5G and wireless communications market, large scale cloud and data center market and consumer electronics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any disruption in the credit markets, including as a result of the current COVID-19 pandemic, could impede our access to capital. If we have limited access to additional financing sources, we may be required to defer capital expenditures or seek other sources of liquidity, which may not be available to us on acceptable terms or at all. All of these factors related to global economic conditions, which are beyond our control, could harm our business. For a more detailed discussion of the COVID-19 pandemic and its recent and potential impact on our business, see “—Our business has been, and may continue to be, adversely affected by health epidemics, pandemics and other outbreaks of infectious disease, including the current COVID-19 pandemic.”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cyclical nature of the semiconductor industry may limit our ability to maintain or improve our revenue.</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downtown in connection with the most recent global recession in 2008, and further experienced a downturn in 2020 and again in 2022, which may be prolonged as a result of the economic impact of the COVID-19 pandemic. These downturns have been characterized by diminished product demand, production overcapacity, high inventory levels and accelerated erosion of average selling prices. Recently, downturns in the semiconductor industry have been attributed to a variety of factors, including the COVID-19 pandemic, ongoing trade disputes among the United States and China, weakness in demand and pricing for semiconductors across applications and excess inventory. Recent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revenue has been concentrated among a small number of licensees and customers, and if we lose any of these customers and fail to replace them, our revenue may decrease substantially.</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significant amount of our revenue is derived from a limited number of customers. As of September 30, 2022, sales to Intel Corporation accounted for 26% of our revenue. We expect that a relatively small number of customers will continue to account for a substantial portion of our revenue for the foreseeable future.</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Failure to effectively expand our sales and marketing capabilities could harm our ability to increase our customer base and achieve broader market acceptance of our products.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experience a strong seasonality in sales in the fourth calendar quarter of the year. As a result, our results of operations are subject to substantial quarterly fluctuations, which may seriously harm our business.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experienced, and expect to continue to experience, seasonal fluctuations in sales due to the spending patterns of semiconductor customers who license our products. Typically, the number of total new license agreements we enter into have generally been lowest in the first and second calendar quarters. We expect these seasonality trends to continue. As a result, revenue recognized from our total new license agreements are subject to seasonal fluctuations, which may seriously harm our business.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Substantial portions of our sales are made, and we anticipate will be made, to consumer, automotive, network, AI/ML, large-scale cloud and data center, and other industry suppliers. Any downturn in any of these the markets could significantly harm our business.</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Of our annual contract value at September 30, 2022, 32% was derived from customers supplying to the consumer industry, 20% was to customers that supply various systems and components to the automotive industry, 20% was to customers in the AI/ML industry, 8% was to customers supplying large scale cloud and data center customers and 7% was to customers in the network industry.</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Each of these sectors is subject to specific market risks. The consumer sector, for example, is subject to changes in end consumer spending patterns, technology developments and general economic conditions.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exposed to the risks associated with the automotive market. For example, our anticipated future growth is highly dependent on the adoption of autonomous driving technologies, which are expected to have increased sensor and power product content. A downturn in the automotive market could delay automakers’ plans to introduce new vehicles with these features, which would negatively impact the demand for our products and our ability to grow our business.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Moreover, as a result of the COVID-19 pandemic and the associated responses by governments of various countries to prevent its spread, the automotive industry, including manufacturers, dealers, distributors and third-party suppliers have been adversely impacted. For example, many automotive manufacturers were forced to suspend manufacturing operations and may be required to do so again. In addition, government-imposed restrictions on businesses, operations and travel and the related economic uncertainty have impacted demand in many global markets. While demand in the automotive industry is dependent on a number of factors, automotive manufacturers expect the impact of COVID-19 to be highly dependent on its duration and severity. The foregoing impacts and other adverse effects on the automotive industry could harm our business, as well as our ability to execute our growth strategy.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has been, and may continue to be, adversely affected by health epidemics, pandemics and other outbreaks of infectious disease, including the current COVID-19 pandemic.</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COVID-19 pandemic has reached across the globe, resulting in the implementation of significant governmental measures, including lockdowns, closures, quarantines, and travel bans intended to control the spread of the virus. Measures implemented by various authorities in response to the COVID-19 pandemic have caused us to change our business practices, including those related to where employees work, the distance between employees in our facilities, limitations on in-person meetings between employees and with customers, potential customers, suppliers, service providers and stakeholders, as well as restrictions on business travel to domestic and international locations and to attend trade shows, technical conferences and other events. While many of these measures are not currently in effect, ongoing social distancing measures, and future prevention and mitigation measures, as well as the potential for some of these measures to be reinstituted in the event of repeat waves of the virus are likely to have, an adverse impact on global economic conditions, which could further affect our operations. A widespread epidemic, pandemic or other health crisis could also cause significant volatility in global markets. The COVID-19 outbreak has caused disruption in financial markets, which if it continues or intensifies, could reduce our ability to access capital and thereby harm our business.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current and potential future measures that could restrict access to our facilities, limit support operations and place restrictions on our workforce, suppliers and other business partners have impacted and may further impact our workforce and operations, the operations of our customers and end users of our products, and those of our respective vendors, suppliers and other business partners. The disruptions to our operations caused by the COVID-19 pandemic may result in inefficiencies, delays and additional costs in our product development, sales, marketing, and customer service efforts that we cannot fully mitigate through remote or other alternative work arrangements. In addition, the severe global economic disruption, including recession, depression or other sustained adverse market impact caused by health crisis such as the COVID-19 pandemic, may cause our customers and end-users of our products to suffer significant economic hardship and potentially even go out of business, which could result in decreased demand for our products and harm our business.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pandemic could increase the magnitude of many of the other risks described in this Quarterly Report on Form 10-Q,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received a Paycheck Protection Program loan, and our application for the PPP Loan could in the future be determined to have been impermissible or could result in damage to our reputation.</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April 2020, we applied for and received an unsecured $1.6 million loan under the Paycheck Protection Program (the “PPP Loan”). In December 2020, the PPP Loan was forgiven in full. The Paycheck Protection Program was established under the Coronavirus Aid, Relief, and Economic Security Act (the “CARES Act”), and is administered by the U.S. Small Business Administration (the “SBA”).</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comes from licensing fees, which may vary period to period.</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License agreements for our interconnect IP are generally treated as ratable revenue, with revenue being recognized evenly over the license term. However, certain license agreements for our IP interconnect solutions are recognized as point in time revenue, including one agreement resulting in our recognizing revenue of $7.4 million in 2020. The majority of software license agreements for our IP deployment solutions are generally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vary significantly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Royalty rates could decrease for existing and future license agreements, which could materially adversely affect our operating results.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Royalty payments to us under existing and future license agreements could be lower than currently anticipated for a variety of reasons. Average selling prices for semiconductor products generally decrease over time during the lifespan of a product.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use of our technology could decrease with new or renewed customers, thereby decreasing future anticipated revenue and cash flow. Variable royalty revenue was 5.8% of our revenue for the nine months ended September 30, 2022. Therefore, a significant decrease in our royalty revenue could materially adversely affect our operating results.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royalty rates may be negatively affected by macroeconomic trends, including from global semiconductor supply chain issues (including from shortages in the availability of the supply of chips in several semiconductor sectors and applications), the COVID-19 pandemic and its world effects and changes in products mix. Furthermore, consolidation among our customers may increase the leverage of our existing customers to extract concessions from us in royalty rates.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currency exchange rates could harm our business.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 the impact to our consolidated statements of operations could be significant and may affect the comparability of operating results. The impact from foreign currency transactions for the nine months ended September 30, 2022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particular, in light of the military conflict between Russia and Ukraine and the resulting tensions between the European Union, other European countries, as well as the United States, with Russia, any resulting material change to the valuation of the Euro relative to the U.S. dollar could adversely impact our operating results.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made acquisitions and in the future expect to pursue acquisitions of and investments in new businesses, products or technologies, joint ventures and other strategic transactions that involve numerous risks and could disrupt and harm our business.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our business strategy, we make acquisitions of and investments in new businesses, such as our acquisition of Magillem,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acquisition and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spacing w:after="0" w:line="154" w:lineRule="exact"/>
        <w:rPr>
          <w:sz w:val="20"/>
          <w:szCs w:val="20"/>
          <w:color w:val="auto"/>
        </w:rPr>
      </w:pPr>
    </w:p>
    <w:p>
      <w:pPr>
        <w:jc w:val="both"/>
        <w:ind w:left="820" w:hanging="326"/>
        <w:spacing w:after="0" w:line="256"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spacing w:after="0" w:line="39" w:lineRule="exact"/>
        <w:rPr>
          <w:rFonts w:ascii="Arial" w:cs="Arial" w:eastAsia="Arial" w:hAnsi="Arial"/>
          <w:sz w:val="18"/>
          <w:szCs w:val="18"/>
          <w:color w:val="auto"/>
        </w:rPr>
      </w:pPr>
    </w:p>
    <w:p>
      <w:pPr>
        <w:jc w:val="both"/>
        <w:ind w:left="820" w:hanging="326"/>
        <w:spacing w:after="0" w:line="254"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spacing w:after="0" w:line="41" w:lineRule="exact"/>
        <w:rPr>
          <w:rFonts w:ascii="Arial" w:cs="Arial" w:eastAsia="Arial" w:hAnsi="Arial"/>
          <w:sz w:val="18"/>
          <w:szCs w:val="18"/>
          <w:color w:val="auto"/>
        </w:rPr>
      </w:pPr>
    </w:p>
    <w:p>
      <w:pPr>
        <w:ind w:left="800" w:hanging="30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expect to incur integration and startup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820" w:hanging="326"/>
        <w:spacing w:after="0" w:line="256" w:lineRule="auto"/>
        <w:tabs>
          <w:tab w:leader="none" w:pos="8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spacing w:after="0" w:line="39" w:lineRule="exact"/>
        <w:rPr>
          <w:rFonts w:ascii="Arial" w:cs="Arial" w:eastAsia="Arial" w:hAnsi="Arial"/>
          <w:sz w:val="18"/>
          <w:szCs w:val="18"/>
          <w:color w:val="auto"/>
        </w:rPr>
      </w:pPr>
    </w:p>
    <w:p>
      <w:pPr>
        <w:ind w:left="820" w:right="20" w:hanging="326"/>
        <w:spacing w:after="0" w:line="261" w:lineRule="auto"/>
        <w:tabs>
          <w:tab w:leader="none" w:pos="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Pre-closing and post-closing earnings charges could adversely impact operating results in any given period, and the impact may be substantially different from period to period.</w:t>
      </w:r>
    </w:p>
    <w:p>
      <w:pPr>
        <w:spacing w:after="0" w:line="35" w:lineRule="exact"/>
        <w:rPr>
          <w:rFonts w:ascii="Arial" w:cs="Arial" w:eastAsia="Arial" w:hAnsi="Arial"/>
          <w:sz w:val="18"/>
          <w:szCs w:val="18"/>
          <w:color w:val="auto"/>
        </w:rPr>
      </w:pPr>
    </w:p>
    <w:p>
      <w:pPr>
        <w:ind w:left="820" w:hanging="326"/>
        <w:spacing w:after="0" w:line="261"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joint ventures and other strategic relationships could create demands on our management, operational resources and financial and internal control systems that we are unable to effectively address.</w:t>
      </w:r>
    </w:p>
    <w:p>
      <w:pPr>
        <w:spacing w:after="0" w:line="35" w:lineRule="exact"/>
        <w:rPr>
          <w:rFonts w:ascii="Arial" w:cs="Arial" w:eastAsia="Arial" w:hAnsi="Arial"/>
          <w:sz w:val="18"/>
          <w:szCs w:val="18"/>
          <w:color w:val="auto"/>
        </w:rPr>
      </w:pPr>
    </w:p>
    <w:p>
      <w:pPr>
        <w:ind w:left="820" w:hanging="326"/>
        <w:spacing w:after="0" w:line="261"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experience difficulty in integrating personnel, operations and financial and other controls and systems and retaining key employees and customers.</w:t>
      </w:r>
    </w:p>
    <w:p>
      <w:pPr>
        <w:spacing w:after="0" w:line="35" w:lineRule="exact"/>
        <w:rPr>
          <w:rFonts w:ascii="Arial" w:cs="Arial" w:eastAsia="Arial" w:hAnsi="Arial"/>
          <w:sz w:val="18"/>
          <w:szCs w:val="18"/>
          <w:color w:val="auto"/>
        </w:rPr>
      </w:pPr>
    </w:p>
    <w:p>
      <w:pPr>
        <w:ind w:left="820" w:hanging="326"/>
        <w:spacing w:after="0" w:line="261"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achieve cost savings or other synergies anticipated in connection with an acquisition, joint venture or other strategic relationship.</w:t>
      </w:r>
    </w:p>
    <w:p>
      <w:pPr>
        <w:spacing w:after="0" w:line="35" w:lineRule="exact"/>
        <w:rPr>
          <w:rFonts w:ascii="Arial" w:cs="Arial" w:eastAsia="Arial" w:hAnsi="Arial"/>
          <w:sz w:val="18"/>
          <w:szCs w:val="18"/>
          <w:color w:val="auto"/>
        </w:rPr>
      </w:pPr>
    </w:p>
    <w:p>
      <w:pPr>
        <w:jc w:val="both"/>
        <w:ind w:left="820" w:hanging="326"/>
        <w:spacing w:after="0" w:line="254" w:lineRule="auto"/>
        <w:tabs>
          <w:tab w:leader="none" w:pos="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41" w:lineRule="exact"/>
        <w:rPr>
          <w:rFonts w:ascii="Arial" w:cs="Arial" w:eastAsia="Arial" w:hAnsi="Arial"/>
          <w:sz w:val="18"/>
          <w:szCs w:val="18"/>
          <w:color w:val="auto"/>
        </w:rPr>
      </w:pPr>
    </w:p>
    <w:p>
      <w:pPr>
        <w:ind w:left="820" w:right="20" w:hanging="326"/>
        <w:spacing w:after="0" w:line="261"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acquisitions and joint ventures, we often enter into post-closing financial arrangements such as purchase price adjustments, earn-out obligations and indemnification obligations, which may have unpredictable financial results.</w:t>
      </w:r>
    </w:p>
    <w:p>
      <w:pPr>
        <w:spacing w:after="0" w:line="35" w:lineRule="exact"/>
        <w:rPr>
          <w:rFonts w:ascii="Arial" w:cs="Arial" w:eastAsia="Arial" w:hAnsi="Arial"/>
          <w:sz w:val="18"/>
          <w:szCs w:val="18"/>
          <w:color w:val="auto"/>
        </w:rPr>
      </w:pPr>
    </w:p>
    <w:p>
      <w:pPr>
        <w:jc w:val="both"/>
        <w:ind w:left="820" w:hanging="326"/>
        <w:spacing w:after="0" w:line="256"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spacing w:after="0" w:line="39" w:lineRule="exact"/>
        <w:rPr>
          <w:rFonts w:ascii="Arial" w:cs="Arial" w:eastAsia="Arial" w:hAnsi="Arial"/>
          <w:sz w:val="18"/>
          <w:szCs w:val="18"/>
          <w:color w:val="auto"/>
        </w:rPr>
      </w:pPr>
    </w:p>
    <w:p>
      <w:pPr>
        <w:jc w:val="both"/>
        <w:ind w:left="820" w:hanging="326"/>
        <w:spacing w:after="0" w:line="256"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interests that diverge from those of our joint venture partners or other strategic partners and we may not be able to direct the management and operations of the joint venture or other strategic relationship in the manner we believe is most appropriate, exposing us to additional risk.</w:t>
      </w:r>
    </w:p>
    <w:p>
      <w:pPr>
        <w:spacing w:after="0" w:line="39" w:lineRule="exact"/>
        <w:rPr>
          <w:rFonts w:ascii="Arial" w:cs="Arial" w:eastAsia="Arial" w:hAnsi="Arial"/>
          <w:sz w:val="18"/>
          <w:szCs w:val="18"/>
          <w:color w:val="auto"/>
        </w:rPr>
      </w:pPr>
    </w:p>
    <w:p>
      <w:pPr>
        <w:jc w:val="both"/>
        <w:ind w:left="820" w:hanging="326"/>
        <w:spacing w:after="0" w:line="256" w:lineRule="auto"/>
        <w:tabs>
          <w:tab w:leader="none" w:pos="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potential acquisitions, investments, joint ventures and other strategic transactions, whether or not consummated, may divert our management’s attention and require considerable cash outlays at the expense of our existing operations. This, and any of the risks set forth above, could harm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could prevent us from executing our growth strategy.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operate and expand our business depends on the availability of adequate capital, which in turn depends on cash flow generated by our business and equity or other applicable financing arrangements. We believe that our cash flow from operations, existing cash and cash equivalents and short-term investments and the net proceeds from our initial public offering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51" w:lineRule="exact"/>
        <w:rPr>
          <w:sz w:val="20"/>
          <w:szCs w:val="20"/>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our semiconductor IP and other solutions, and our IP deployment solutions;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adapt to changing technologies and technical requirements;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existence of opportunities for expansion; and</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access to and availability of sufficient management, technical, marketing and financial personnel.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appreciated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Many members of our management team have limited experience managing a publicly-traded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Security and Privacy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inventions through patents and other IP rights, our ability to compete successfully and our financial results could be adversely impacted.</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seek to protect our proprietary technology and innovations, particularly those relating to the design of our products, through patents, trade secrets and other IP rights. As of September 30, 2022, we had 129 total allowed or issued patents, pending patent applications and non-expired provisional patent applications worldwide. Of these, we had 52 allowed or issued patents, 47 of which are U.S. allowed or issued patents, two of which are allowed or issued China patents, one is a U.K. issued patent, one is a Japan issued patent, and one is a South Korea issued patent. The 52 allowed or issued patents generally expire between 2035 and 2042. As of September 30, 2022, we had 77 pending non-provisional and provisional patent application filings, including 38 in the United States, 18 in Europe, 17 in China, three in South Korea and one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it is difficult and costly to monitor the use of our IP. It may be the case that our IP is already being infringed and infringement may occur in the future without our knowledge. Litigation may be necessary to enforce our IP rights. While it is our policy to protect and defend our rights to our IP, we cannot predict whether steps taken by us to enforce and protect our IP rights will be adequate to prevent infringement, misappropriation, or other violations of our IP rights. Any inability to meaningfully enforce our IP rights could harm our ability to compete. Moreover, in any lawsuit we bring to enforce our IP rights, a court may refuse to stop the other party from using the technology at issue on grounds that our IP rights do not cover the technology in question. Further, in such proceedings, the defendant could counterclaim that our IP is invalid or unenforceable and the court may agree, in which case we could lose valuable IP rights. Any litigation of this nature, regardless of outcome or merit, could materially harm our business and hurt our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inventions through trade secrets, our competitive position and financial results could be adversely affected.</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noted above, we seek to protect our proprietary technology and innovations, particularly those relating to our products, as patents, trade secrets and other forms of IP.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ability to compete successfully depends in part on our ability to commercialize our IP solutions without infringing the patent, trade secret or other IP rights of others.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same extent that we seek to protect our technology and inventions with patents, trade secrets and other IP rights, our competitors and other third parties do the same for their technology and inventions. We have no means of knowing the content of patent applications filed by third parties until they are published. It is also difficult and costly to continuously monitor the IP portfolios of our competitors to ensure our technologies do not violate the IP rights of any third parties.</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semiconductor industry is ripe with patent assertion entities and is characterized by frequent litigation regarding patent and other IP rights. From time to time, we receive communications from third parties that allege that our products or technologies infringe their patent or other IP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In the event that any third-party succeeds in asserting a valid claim against us or any of our customers, we could be forced to do one or more of the following:</w:t>
      </w:r>
    </w:p>
    <w:p>
      <w:pPr>
        <w:spacing w:after="0" w:line="154" w:lineRule="exact"/>
        <w:rPr>
          <w:sz w:val="20"/>
          <w:szCs w:val="20"/>
          <w:color w:val="auto"/>
        </w:rPr>
      </w:pPr>
    </w:p>
    <w:p>
      <w:pPr>
        <w:ind w:left="820" w:right="20" w:hanging="326"/>
        <w:spacing w:after="0" w:line="261" w:lineRule="auto"/>
        <w:tabs>
          <w:tab w:leader="none" w:pos="8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discontinue selling access to certain technologies that contain the allegedly infringing IP which would result in a decline in our revenue and could result in breach of contract claim by our affected customers and damage to our reputation;</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stop receiving payment from a customer that can no longer sell the end-product if it contains allegedly infringing IP;</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to develop non-infringing technologies, which may not be feasible;</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substantial monetary damages to the party whose IP rights we may be found to be infringing; and/or</w:t>
      </w:r>
    </w:p>
    <w:p>
      <w:pPr>
        <w:spacing w:after="0" w:line="63" w:lineRule="exact"/>
        <w:rPr>
          <w:rFonts w:ascii="Arial" w:cs="Arial" w:eastAsia="Arial" w:hAnsi="Arial"/>
          <w:sz w:val="18"/>
          <w:szCs w:val="18"/>
          <w:color w:val="auto"/>
        </w:rPr>
      </w:pPr>
    </w:p>
    <w:p>
      <w:pPr>
        <w:ind w:left="820" w:hanging="326"/>
        <w:spacing w:after="0" w:line="261" w:lineRule="auto"/>
        <w:tabs>
          <w:tab w:leader="none" w:pos="8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customers could be required to seek licenses to the infringed technology that may not be available on commercially reasonable terms, if at all.</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 third party causes us to discontinue the use of any of our technologies, we could be required to design around those technologies. This could be costly and time consuming and could have an adverse impact on our financial results. Any significant impairments of our IP rights from any litigation we face could harm our business and our ability to compete in our industry.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be able to continue to obtain licenses to third-party software and IP on reasonable terms or at all, which may disrupt our business and harm our financial results.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license third-party software and other IP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IP rights may be licensed to us on a non-exclusive basis, and accordingly, the owners of such IP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 Qualcomm Agreements” in our 2021 Form 10-K for additional information. Third parties may stop adequately supporting or maintaining their technology, or they or their technology may be acquired by our competitors. If we are unable to obtain licenses to these third-party software and IP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invalidated and or result in fines and other damages. If any of the following were to occur, it could harm our business and our reputation.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cannot be certain that our licensors are not infringing the IP rights of others or that our licensors have sufficient rights to the IP to grant us the applicable licenses. Although we seek to mitigate this risk contractually, we may not be able to sufficiently limit our potential liability. If we are unable to obtain or maintain rights to any of this IP because of IP infringement claims brought by third parties against our licensors or against us, our ability to develop, maintain and support our products and technology incorporating that IP could be severely limited and our business could be harmed. Furthermore, regardless of outcome, infringement claims may require us to use significant resources and may divert management’s attention.</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Moreover, some open-source software licenses, if applicable, could require users who distribute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open-source software in a certain manner, we could, under certain circumstances, be required to comply with such license terms. Although we have tools and processes to monitor and restrict our use of open-source software, the risks associated with open-source usage may not be eliminated and may, if not properly addressed, result in unanticipated obligations that could harm our business.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dispute regarding our IP may require us to indemnify certain customers, the cost of which could severely harm our business.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any potential dispute involving our patents or other IP, our customers could also become the target of litigation. While we generally do not indemnify our customers, some of our agreements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spacing w:after="0" w:line="2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As a result of the COVID-19 pandemic, we may face increased cybersecurity risks due to our reliance on internet technology and the number of our employees who are working remotely, which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We maintain cyber liability insurance; however, this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subject to data protection, privacy and security laws, regulations, standards and other requirements across different markets where we conduct our business. Our actual or perceived failure to comply with such obligations could harm our business.</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our business, we collect personal data, and other potentially sensitive and/or regulated data from our customers. In the U.S., numerous federal and state laws and regulations, including data breach notification laws data privacy and security laws and consumer protection laws and regulations govern the collection, use, disclosure, and protection of personal information. For example, California enacted the California Consumer Privacy Act (CCPA) which became operative on January 1, 2020 and became enforceable by the California Attorney General on July 1, 2020, along with related regulations which came into force on August 14, 2020. The CCPA requires covered companies to, among other things, provide certain disclosures to California consumers about use of personal information,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Additionally,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Further, Virginia enacted the Virginia Consumer Data Protection Act, another comprehensive state privacy law, effective January 1, 2023. Colorado also enacted the Colorado Privacy Act, effective July 1, 2023, Connecticut enacted the Connecticut Data Privacy Act, effective July 1, 2023, and Utah enacted the Utah Consumer Privacy Act, effective December 31, 2023. These state privacy laws may increase our compliance costs and potential liability, particularly in the event of a data breach, and could harm our business, including how we use personal information. A number of other proposals exist for new federal and state privacy legislation that, if passed, could increase our potential liability, increase our compliance costs and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include stringent operational requirements for the use of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strict data protection compliance regime including: (i) providing detailed disclosures about how personal data is collected and processed; (ii) demonstrating that an appropriate legal basis is in place or otherwise exists to justify data processing activities;</w:t>
      </w:r>
    </w:p>
    <w:p>
      <w:pPr>
        <w:spacing w:after="0" w:line="3" w:lineRule="exact"/>
        <w:rPr>
          <w:sz w:val="20"/>
          <w:szCs w:val="20"/>
          <w:color w:val="auto"/>
        </w:rPr>
      </w:pPr>
    </w:p>
    <w:p>
      <w:pPr>
        <w:jc w:val="both"/>
        <w:ind w:firstLine="8"/>
        <w:spacing w:after="0" w:line="251" w:lineRule="auto"/>
        <w:tabs>
          <w:tab w:leader="none" w:pos="3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significant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subject to European Union rules with respect to cross-border transfers of personal data out of the EEA and the UK. Recent legal developments in Europe have created complexity and uncertainty regarding transfers of personal data from the EEA and the UK to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Untied States Signals Intelligence Activities.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has published revised SCCs, which must be used for relevant new data transfers from September 27, 2021; existing standard contractual clauses arrangements must be migrated to the revised SCCs by December 27, 2022. We will be required to implement the revised applicable standard contractual clauses within the relevant time frames. In addition, the UK’s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within the relevant time frames. 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Further, the exit of the UK from the EU, often referred to as Brexit, has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Restrictions on the collection, use, sharing or disclosure of personal information or additional requirements and liability for security and data integrity could require us to modify our solutions and features, possibly in a material manner, could limit our ability to develop new products and features and could subject us to increased compliance obligations and regulatory scrutiny.</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we make reasonable efforts to comply with all applicable data protection laws and regulations, our interpretations and such measures may have been or may prove to be insufficient or incorrect. Any failure to comply with any data protection laws and/or regulations that results in a data security breach could require notifications to data subjects and/or owners under federal, state and/or international data breach notification laws and regulations. The effects of any applicable U.S.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distracting to management, and cause reputational harm. In addition to government regulation, privacy advocates and industry groups may propose new and different self-regulatory standards. Because the interpretation and application of privacy and data protection laws are still uncertain,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or our third-party service providers’ business. Any of the foregoing could result in additional cost and liability to us, damage our reputation, inhibit sales, and harm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comply with the large body of laws and regulations to which we are subject could materially harm our business.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spacing w:after="0" w:line="21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failure to comply with the Foreign Corrupt Practices Act, other applicable anti-corruption and anti-bribery laws, and applicable anti-money laundering laws could subject us to penalties and other adverse consequences.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will lose sales if we are unable to obtain government authorization to export certain of our products and services, and we will be subject to legal and regulatory consequences if we do not comply with applicable export control laws and regulations.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Department of Commerce’s Bureau of Industry and Security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derived 0.1%, and 31.2% of our revenue in 2021 and 2020, respectively, from parties that are currently subject to the Entity List of the EAR (a list of entities to which the transfer of EAR-controlled technology or software is generally prohibited absent a U.S. export license), including Chongxin Bada Technology Development Co., Ltd. (Bada), HiSilicon Technologies Co. Ltd. (HiSilicon), and SZ DJI Technology Co., Ltd. Current and future business with these entities may be limited in scope or suspended entirely in order to comply with the EAR and as a result, our revenue could be adversely impacted. Regulatory changes concerning the export classification of our products, changes to the applicability of the EAR to certain product offerings, or the addition of new entities to the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U.S. federal government has increased its Entity List materially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2021, we submitted a voluntary self-disclosure (VSD) to the BIS, noting potential violations of the EAR. On April 28, 2022, the Office of Export Enforcement of the BIS decided not to refer this matter for criminal or administrative prosecution and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doing business in China.</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nine months ended September 30, 2022, we derived 26.4% 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57" w:lineRule="exact"/>
        <w:rPr>
          <w:sz w:val="20"/>
          <w:szCs w:val="20"/>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Chinese government exerts substantial influence over the manner in which we must conduct our business activities.</w:t>
      </w:r>
    </w:p>
    <w:p>
      <w:pPr>
        <w:spacing w:after="0" w:line="58" w:lineRule="exact"/>
        <w:rPr>
          <w:rFonts w:ascii="Arial" w:cs="Arial" w:eastAsia="Arial" w:hAnsi="Arial"/>
          <w:sz w:val="18"/>
          <w:szCs w:val="18"/>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currency exchange may limit our ability to receive, transfer and use our cash effectively.</w:t>
      </w:r>
    </w:p>
    <w:p>
      <w:pPr>
        <w:ind w:left="820" w:right="280" w:hanging="326"/>
        <w:spacing w:after="0" w:line="246" w:lineRule="auto"/>
        <w:tabs>
          <w:tab w:leader="none" w:pos="8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uncertainties related to the enforcement of IP rights including any IP rights that we may license to a Chinese (or other emerging jurisdiction) entity, including any joint ventures we may form.</w:t>
      </w:r>
    </w:p>
    <w:p>
      <w:pPr>
        <w:spacing w:after="0" w:line="48" w:lineRule="exact"/>
        <w:rPr>
          <w:rFonts w:ascii="Arial" w:cs="Arial" w:eastAsia="Arial" w:hAnsi="Arial"/>
          <w:sz w:val="18"/>
          <w:szCs w:val="18"/>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uncertainties relating to Chinese regulation of exports of products and technology to and from China.</w:t>
      </w:r>
    </w:p>
    <w:p>
      <w:pPr>
        <w:spacing w:after="0" w:line="63" w:lineRule="exact"/>
        <w:rPr>
          <w:rFonts w:ascii="Arial" w:cs="Arial" w:eastAsia="Arial" w:hAnsi="Arial"/>
          <w:sz w:val="18"/>
          <w:szCs w:val="18"/>
          <w:color w:val="auto"/>
        </w:rPr>
      </w:pPr>
    </w:p>
    <w:p>
      <w:pPr>
        <w:ind w:left="820" w:right="20" w:hanging="326"/>
        <w:spacing w:after="0" w:line="261" w:lineRule="auto"/>
        <w:tabs>
          <w:tab w:leader="none" w:pos="8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and rapidly changing export and related trade regulations and restrictions imposed by U.S. and Chinese legislation, executive actions and regulations.</w:t>
      </w:r>
    </w:p>
    <w:p>
      <w:pPr>
        <w:spacing w:after="0" w:line="35" w:lineRule="exact"/>
        <w:rPr>
          <w:rFonts w:ascii="Arial" w:cs="Arial" w:eastAsia="Arial" w:hAnsi="Arial"/>
          <w:sz w:val="18"/>
          <w:szCs w:val="18"/>
          <w:color w:val="auto"/>
        </w:rPr>
      </w:pPr>
    </w:p>
    <w:p>
      <w:pPr>
        <w:ind w:left="820" w:hanging="326"/>
        <w:spacing w:after="0" w:line="261" w:lineRule="auto"/>
        <w:tabs>
          <w:tab w:leader="none" w:pos="8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of travel to and from China (and to and from United States) arising from or related to the COVID-19 pandemic or any future pandemic.</w:t>
      </w:r>
    </w:p>
    <w:p>
      <w:pPr>
        <w:spacing w:after="0" w:line="35" w:lineRule="exact"/>
        <w:rPr>
          <w:rFonts w:ascii="Arial" w:cs="Arial" w:eastAsia="Arial" w:hAnsi="Arial"/>
          <w:sz w:val="18"/>
          <w:szCs w:val="18"/>
          <w:color w:val="auto"/>
        </w:rPr>
      </w:pPr>
    </w:p>
    <w:p>
      <w:pPr>
        <w:ind w:left="820" w:hanging="326"/>
        <w:spacing w:after="0" w:line="261" w:lineRule="auto"/>
        <w:tabs>
          <w:tab w:leader="none" w:pos="8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Chinese government may favor its local businesses and make it more difficult for foreign businesses to operate in China on an equal footing, or create generally difficult conditions for foreign headquartered businesses to operate.</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uncertainties related to the enforcement of contracts with certain parties.</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More restrictive rules on foreign investment could adversely affect our ability to expand our operations in China.</w:t>
      </w:r>
    </w:p>
    <w:p>
      <w:pPr>
        <w:spacing w:after="0" w:line="63" w:lineRule="exact"/>
        <w:rPr>
          <w:rFonts w:ascii="Arial" w:cs="Arial" w:eastAsia="Arial" w:hAnsi="Arial"/>
          <w:sz w:val="18"/>
          <w:szCs w:val="18"/>
          <w:color w:val="auto"/>
        </w:rPr>
      </w:pPr>
    </w:p>
    <w:p>
      <w:pPr>
        <w:ind w:left="820" w:right="20" w:hanging="326"/>
        <w:spacing w:after="0" w:line="261" w:lineRule="auto"/>
        <w:tabs>
          <w:tab w:leader="none" w:pos="8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our growing operations in China, these risks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 on June 3, 2021, the President issued Executive Order 14032 (Addressing the Threat from Securities Investments that Finance Certain Companies of the People’s Republic of China) targeting entities that are deemed part of the Chinese military-industrial complex. The executive order, and the subsequent Office of Foreign Assets Control additions to its Non-SDN Chinese Military-Industrial Complex Companies List, include one or more entities that have indirectly invested in us.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Additionally, on October 7, 2022, the Bureau of Industry and Security issued new export controls related to the Chinese semiconductor manufacturing, advanced computing, and supercomputer industries. The new export controls impose broad end-use and other restrictions on facilities in China that develop or produce semiconductor chips or manufacturing equipment, may impact our ability to license or support our products to entities in or doing business with certain advanced AI or “supercomputer” design companies, foundries and manufacturers of assemblies and components in China. We are still evaluating these complex new rules and are unable to quantitatively estimate any impacts at this time, but such restrictions, and any subsequent restrictions, may have an adverse effect on our business, results of operations, or financial condition. However, we currently anticipate that we may no longer be able to license or support our products to certain companies. Furthermore, increased restrictions on China exports may lead to regulatory retaliation by the Chinese government and possibly further escalate geopolitical tensions, and any such scenarios may adversely impact our business. The prospect of future export controls that are implemented in a similar manner may continue to have an ongoing impact on our business, results of operation, or financial conditions.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Joint ventures or similar investments are subject to a number of risks, the occurrence of which could adversely impact any of our current or future joint ventures or similar investments, which in turn could harm our business.</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Joint ventures or similar investments such as the investment in Transchip as discussed elsewhere in this report, and other joint ventures or similar investments we may form in the future are subject to a number of risks, including but not limited to:</w:t>
      </w:r>
    </w:p>
    <w:p>
      <w:pPr>
        <w:spacing w:after="0" w:line="36" w:lineRule="exact"/>
        <w:rPr>
          <w:sz w:val="20"/>
          <w:szCs w:val="20"/>
          <w:color w:val="auto"/>
        </w:rPr>
      </w:pPr>
    </w:p>
    <w:p>
      <w:pPr>
        <w:ind w:left="820" w:hanging="326"/>
        <w:spacing w:after="0" w:line="261" w:lineRule="auto"/>
        <w:tabs>
          <w:tab w:leader="none" w:pos="8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joint venture or investment partners may not commit sufficient resources to market and distribute our products or to otherwise support the joint venture and its intended operations.</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joint venture or investment partners may have economic or business interests or goals that are different from ours.</w:t>
      </w:r>
    </w:p>
    <w:p>
      <w:pPr>
        <w:spacing w:after="0" w:line="63" w:lineRule="exact"/>
        <w:rPr>
          <w:rFonts w:ascii="Arial" w:cs="Arial" w:eastAsia="Arial" w:hAnsi="Arial"/>
          <w:sz w:val="18"/>
          <w:szCs w:val="18"/>
          <w:color w:val="auto"/>
        </w:rPr>
      </w:pPr>
    </w:p>
    <w:p>
      <w:pPr>
        <w:ind w:left="820" w:hanging="326"/>
        <w:spacing w:after="0" w:line="261" w:lineRule="auto"/>
        <w:tabs>
          <w:tab w:leader="none" w:pos="8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joint venture or investment partners may infringe the IP we assign to such joint venture, or the IP of other parties, which may expose us to litigation and other potential liabilities.</w:t>
      </w:r>
    </w:p>
    <w:p>
      <w:pPr>
        <w:spacing w:after="0" w:line="35" w:lineRule="exact"/>
        <w:rPr>
          <w:rFonts w:ascii="Arial" w:cs="Arial" w:eastAsia="Arial" w:hAnsi="Arial"/>
          <w:sz w:val="18"/>
          <w:szCs w:val="18"/>
          <w:color w:val="auto"/>
        </w:rPr>
      </w:pPr>
    </w:p>
    <w:p>
      <w:pPr>
        <w:jc w:val="both"/>
        <w:ind w:left="820" w:hanging="326"/>
        <w:spacing w:after="0" w:line="256" w:lineRule="auto"/>
        <w:tabs>
          <w:tab w:leader="none" w:pos="8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may arise among us and our joint venture or investment partners that result in the delay or termination of activities contemplated by such joint venture or investment or that could result in costly litigation or arbitration that diverts management attention and resources.</w:t>
      </w:r>
    </w:p>
    <w:p>
      <w:pPr>
        <w:spacing w:after="0" w:line="39" w:lineRule="exact"/>
        <w:rPr>
          <w:rFonts w:ascii="Arial" w:cs="Arial" w:eastAsia="Arial" w:hAnsi="Arial"/>
          <w:sz w:val="18"/>
          <w:szCs w:val="18"/>
          <w:color w:val="auto"/>
        </w:rPr>
      </w:pPr>
    </w:p>
    <w:p>
      <w:pPr>
        <w:jc w:val="both"/>
        <w:ind w:left="820" w:hanging="326"/>
        <w:spacing w:after="0" w:line="256" w:lineRule="auto"/>
        <w:tabs>
          <w:tab w:leader="none" w:pos="8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joint venture or investment partners may not provide us with timely and accurate information regarding the status or activities of the joint venture or investment which could, among other things, impact our ability to accurately forecast financial results or provide timely information to our shareholders.</w:t>
      </w:r>
    </w:p>
    <w:p>
      <w:pPr>
        <w:spacing w:after="0" w:line="39" w:lineRule="exact"/>
        <w:rPr>
          <w:rFonts w:ascii="Arial" w:cs="Arial" w:eastAsia="Arial" w:hAnsi="Arial"/>
          <w:sz w:val="18"/>
          <w:szCs w:val="18"/>
          <w:color w:val="auto"/>
        </w:rPr>
      </w:pPr>
    </w:p>
    <w:p>
      <w:pPr>
        <w:ind w:left="800" w:hanging="30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additional capital requirements.</w:t>
      </w:r>
    </w:p>
    <w:p>
      <w:pPr>
        <w:spacing w:after="0" w:line="63" w:lineRule="exact"/>
        <w:rPr>
          <w:rFonts w:ascii="Arial" w:cs="Arial" w:eastAsia="Arial" w:hAnsi="Arial"/>
          <w:sz w:val="18"/>
          <w:szCs w:val="18"/>
          <w:color w:val="auto"/>
        </w:rPr>
      </w:pPr>
    </w:p>
    <w:p>
      <w:pPr>
        <w:ind w:left="820" w:hanging="326"/>
        <w:spacing w:after="0" w:line="261" w:lineRule="auto"/>
        <w:tabs>
          <w:tab w:leader="none" w:pos="8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 the risks related to doing business in China or having a Chinese joint venture or investment that are discussed elsewhere in these risk factors.</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occurrence of one or more of the above risks, or any other negative events, could adversely impact our joint ventures or similar investments and could in turn harm our business.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could be subject to changes in tax rates or the adoption of new tax legislation, whether in or out of the United States, or could otherwise have exposure to additional tax liabilities, which could harm our business.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spacing w:after="0" w:line="150" w:lineRule="exact"/>
        <w:rPr>
          <w:sz w:val="20"/>
          <w:szCs w:val="20"/>
          <w:color w:val="auto"/>
        </w:rPr>
      </w:pPr>
    </w:p>
    <w:p>
      <w:pPr>
        <w:ind w:left="820" w:hanging="326"/>
        <w:spacing w:after="0" w:line="261" w:lineRule="auto"/>
        <w:tabs>
          <w:tab w:leader="none" w:pos="8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being required to engage an auditor to report on our internal controls over financial reporting pursuant to Section 404(b) of the Sarbanes-Oxley Act;</w:t>
      </w:r>
    </w:p>
    <w:p>
      <w:pPr>
        <w:spacing w:after="0" w:line="35" w:lineRule="exact"/>
        <w:rPr>
          <w:rFonts w:ascii="Arial" w:cs="Arial" w:eastAsia="Arial" w:hAnsi="Arial"/>
          <w:sz w:val="18"/>
          <w:szCs w:val="18"/>
          <w:color w:val="auto"/>
        </w:rPr>
      </w:pPr>
    </w:p>
    <w:p>
      <w:pPr>
        <w:jc w:val="both"/>
        <w:ind w:left="820" w:hanging="326"/>
        <w:spacing w:after="0" w:line="256" w:lineRule="auto"/>
        <w:tabs>
          <w:tab w:leader="none" w:pos="8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20" w:hanging="326"/>
        <w:spacing w:after="0" w:line="261" w:lineRule="auto"/>
        <w:tabs>
          <w:tab w:leader="none" w:pos="8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“say-on-golden-parachutes”; and</w:t>
      </w:r>
    </w:p>
    <w:p>
      <w:pPr>
        <w:spacing w:after="0" w:line="35" w:lineRule="exact"/>
        <w:rPr>
          <w:rFonts w:ascii="Arial" w:cs="Arial" w:eastAsia="Arial" w:hAnsi="Arial"/>
          <w:sz w:val="18"/>
          <w:szCs w:val="18"/>
          <w:color w:val="auto"/>
        </w:rPr>
      </w:pPr>
    </w:p>
    <w:p>
      <w:pPr>
        <w:jc w:val="both"/>
        <w:ind w:left="820" w:hanging="326"/>
        <w:spacing w:after="0" w:line="291" w:lineRule="auto"/>
        <w:tabs>
          <w:tab w:leader="none" w:pos="861"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are $1.07 billion or more; (ii) the date on which we have, during the previous three-year period, issued more than $ 1.0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and liquid trading market for our common stock may not be sustained.</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the Nasdaq exchange. If we fail to satisfy the continued listing standards, we could be de-listed, which would negatively impact the value and liquidity of your investment.</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stock price may be volatile, and investors in our common stock may not be able to resell shares of our common stock at or above the price paid, or at all.</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trading price of our common stock could be volatile and subject to wide fluctuations in response to various factors, many of which are beyond our control, including, but not limited to:</w:t>
      </w:r>
    </w:p>
    <w:p>
      <w:pPr>
        <w:spacing w:after="0" w:line="144" w:lineRule="exact"/>
        <w:rPr>
          <w:sz w:val="20"/>
          <w:szCs w:val="20"/>
          <w:color w:val="auto"/>
        </w:rPr>
      </w:pP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actual or anticipated annual or quarterly operating results or those of others in our industry;</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effects arising if U.S. inflationary and/or currency devaluation trends appear or increase;</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operations that otherwise fail to meet the expectations of securities analysts and investors;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20" w:right="20" w:hanging="326"/>
        <w:spacing w:after="0" w:line="261" w:lineRule="auto"/>
        <w:tabs>
          <w:tab w:leader="none" w:pos="8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semiconductor industry;</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publications, reports or other media exposure of our products or those of others in our industry, or of our industry generally;</w:t>
      </w:r>
    </w:p>
    <w:p>
      <w:pPr>
        <w:spacing w:after="0" w:line="63" w:lineRule="exact"/>
        <w:rPr>
          <w:rFonts w:ascii="Arial" w:cs="Arial" w:eastAsia="Arial" w:hAnsi="Arial"/>
          <w:sz w:val="18"/>
          <w:szCs w:val="18"/>
          <w:color w:val="auto"/>
        </w:rPr>
      </w:pPr>
    </w:p>
    <w:p>
      <w:pPr>
        <w:jc w:val="both"/>
        <w:ind w:left="820" w:hanging="326"/>
        <w:spacing w:after="0" w:line="254" w:lineRule="auto"/>
        <w:tabs>
          <w:tab w:leader="none" w:pos="8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41" w:lineRule="exact"/>
        <w:rPr>
          <w:rFonts w:ascii="Arial" w:cs="Arial" w:eastAsia="Arial" w:hAnsi="Arial"/>
          <w:sz w:val="18"/>
          <w:szCs w:val="18"/>
          <w:color w:val="auto"/>
        </w:rPr>
      </w:pPr>
    </w:p>
    <w:p>
      <w:pPr>
        <w:ind w:left="800" w:hanging="30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63" w:lineRule="exact"/>
        <w:rPr>
          <w:rFonts w:ascii="Arial" w:cs="Arial" w:eastAsia="Arial" w:hAnsi="Arial"/>
          <w:sz w:val="18"/>
          <w:szCs w:val="18"/>
          <w:color w:val="auto"/>
        </w:rPr>
      </w:pPr>
    </w:p>
    <w:p>
      <w:pPr>
        <w:ind w:left="820" w:hanging="326"/>
        <w:spacing w:after="0" w:line="261" w:lineRule="auto"/>
        <w:tabs>
          <w:tab w:leader="none" w:pos="8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actions involving us or others in our industry, or actual or anticipated changes in applicable government regulations or enforcement thereof;</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63" w:lineRule="exact"/>
        <w:rPr>
          <w:rFonts w:ascii="Arial" w:cs="Arial" w:eastAsia="Arial" w:hAnsi="Arial"/>
          <w:sz w:val="18"/>
          <w:szCs w:val="18"/>
          <w:color w:val="auto"/>
        </w:rPr>
      </w:pPr>
    </w:p>
    <w:p>
      <w:pPr>
        <w:jc w:val="both"/>
        <w:ind w:left="820" w:hanging="326"/>
        <w:spacing w:after="0" w:line="256" w:lineRule="auto"/>
        <w:tabs>
          <w:tab w:leader="none" w:pos="8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spacing w:after="0" w:line="39" w:lineRule="exact"/>
        <w:rPr>
          <w:rFonts w:ascii="Arial" w:cs="Arial" w:eastAsia="Arial" w:hAnsi="Arial"/>
          <w:sz w:val="18"/>
          <w:szCs w:val="18"/>
          <w:color w:val="auto"/>
        </w:rPr>
      </w:pPr>
    </w:p>
    <w:p>
      <w:pPr>
        <w:ind w:left="800" w:hanging="30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securities market conditions; and</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discussed in this “Risk Factors” section and elsewhere in this report.</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our stock price may be volatile, investors in our common stock may not be able to resell shares of our common stock at or above the price paid, or at all.</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equity research analysts or industry analysts do not publish research or reports about our business, or if they change their recommendations regarding our stock adversely, our stock price and trading volume could decline.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 As of September 30, 2022, we had 33.3 million shares of common stock outstanding.</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Our executive officers, directors and stockholders affiliated with our directors also may buy or sell additional shares outside of a Rule 10b5-1 plan when they are not in possession of material, nonpublic information.</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K. Charles Janac, our President, Chief Executive Officer and Chairman, beneficially owns a significant percentage of our stock and will be able to exert significant control over matters subject to stockholder approval.</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2022, K. Charles Janac, our President, Chief Executive Officer and Chairman, held voting power over approximately 32%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the ownership and voting power of our other stockholders.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300,000,000 shares of common stock authorized but unissued, based on the number of shares of our common stock outstanding as of September 30, 2022.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common stock for the foreseeable future.</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in our 2021 Form 10-K for additional information.</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Management may apply our net proceeds from our initial public offering to uses that do not increase our market value or improve our operating results.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the DGCL contain antitakeover provisions that could prevent or discourage a takeover</w:t>
      </w:r>
      <w:r>
        <w:rPr>
          <w:rFonts w:ascii="Arial" w:cs="Arial" w:eastAsia="Arial" w:hAnsi="Arial"/>
          <w:sz w:val="18"/>
          <w:szCs w:val="18"/>
          <w:color w:val="auto"/>
        </w:rPr>
        <w:t>.</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45" w:lineRule="exact"/>
        <w:rPr>
          <w:sz w:val="20"/>
          <w:szCs w:val="20"/>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have the effect of deferring, delaying or discouraging hostile takeovers, or changes in control of us or our management;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spacing w:after="0" w:line="3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2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r>
        <w:rPr>
          <w:rFonts w:ascii="Arial" w:cs="Arial" w:eastAsia="Arial" w:hAnsi="Arial"/>
          <w:sz w:val="18"/>
          <w:szCs w:val="18"/>
          <w:color w:val="auto"/>
        </w:rPr>
        <w:t>.</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r>
        <w:rPr>
          <w:rFonts w:ascii="Arial" w:cs="Arial" w:eastAsia="Arial" w:hAnsi="Arial"/>
          <w:sz w:val="18"/>
          <w:szCs w:val="18"/>
          <w:b w:val="1"/>
          <w:bCs w:val="1"/>
          <w:i w:val="1"/>
          <w:iCs w:val="1"/>
          <w:color w:val="auto"/>
        </w:rPr>
        <w:t>, including securities class action litigation, may impair our reputation and lead us to incur significant costs</w:t>
      </w:r>
      <w:r>
        <w:rPr>
          <w:rFonts w:ascii="Arial" w:cs="Arial" w:eastAsia="Arial" w:hAnsi="Arial"/>
          <w:sz w:val="18"/>
          <w:szCs w:val="18"/>
          <w:color w:val="auto"/>
        </w:rPr>
        <w:t>.</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we may be party to various lawsuits and claims arising in the normal course of business, which may include lawsuits or claims relating to contracts, third-party contractors, IP, employment matters or other aspects of our business. 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Sales of Unregistered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Public Offering of Common Stock</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$3.8 million.</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Jefferies LLC and Cowen served as lead book-running managers and BMO Capital Markets served as joint book-running manager for the offering. Northland Capital Markets and Rosenblatt Securities acted as co-managers.</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payments were made to our directors or officers or their associates, holders of 10% or more of any class of our equity securities or any affiliates in connection with the issuance and sale of the securities registered.</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for the IPO dated as of October 26, 2021 and filed with the SEC pursuant to Rule 424(b)(4) on October 28,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4"/>
                <w:szCs w:val="14"/>
                <w:color w:val="auto"/>
              </w:rPr>
            </w:pPr>
          </w:p>
        </w:tc>
        <w:tc>
          <w:tcPr>
            <w:tcW w:w="6620" w:type="dxa"/>
            <w:vAlign w:val="bottom"/>
            <w:gridSpan w:val="16"/>
          </w:tcPr>
          <w:p>
            <w:pPr>
              <w:ind w:left="2560"/>
              <w:spacing w:after="0"/>
              <w:rPr>
                <w:sz w:val="20"/>
                <w:szCs w:val="20"/>
                <w:color w:val="auto"/>
              </w:rPr>
            </w:pPr>
            <w:r>
              <w:rPr>
                <w:rFonts w:ascii="Arial" w:cs="Arial" w:eastAsia="Arial" w:hAnsi="Arial"/>
                <w:sz w:val="14"/>
                <w:szCs w:val="14"/>
                <w:b w:val="1"/>
                <w:bCs w:val="1"/>
                <w:color w:val="auto"/>
              </w:rPr>
              <w:t>Description of Exhibit</w:t>
            </w: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Form</w:t>
            </w:r>
          </w:p>
        </w:tc>
        <w:tc>
          <w:tcPr>
            <w:tcW w:w="2320" w:type="dxa"/>
            <w:vAlign w:val="bottom"/>
          </w:tcPr>
          <w:p>
            <w:pPr>
              <w:jc w:val="right"/>
              <w:ind w:right="97"/>
              <w:spacing w:after="0"/>
              <w:rPr>
                <w:sz w:val="20"/>
                <w:szCs w:val="20"/>
                <w:color w:val="auto"/>
              </w:rPr>
            </w:pPr>
            <w:r>
              <w:rPr>
                <w:rFonts w:ascii="Arial" w:cs="Arial" w:eastAsia="Arial" w:hAnsi="Arial"/>
                <w:sz w:val="14"/>
                <w:szCs w:val="14"/>
                <w:b w:val="1"/>
                <w:bCs w:val="1"/>
                <w:color w:val="auto"/>
                <w:w w:val="97"/>
              </w:rPr>
              <w:t>Exhibit   Filing DateFiled</w:t>
            </w:r>
          </w:p>
        </w:tc>
        <w:tc>
          <w:tcPr>
            <w:tcW w:w="0" w:type="dxa"/>
            <w:vAlign w:val="bottom"/>
          </w:tcPr>
          <w:p>
            <w:pPr>
              <w:spacing w:after="0"/>
              <w:rPr>
                <w:sz w:val="1"/>
                <w:szCs w:val="1"/>
                <w:color w:val="auto"/>
              </w:rPr>
            </w:pPr>
          </w:p>
        </w:tc>
      </w:tr>
      <w:tr>
        <w:trPr>
          <w:trHeight w:val="189"/>
        </w:trPr>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left="1557"/>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2"/>
        </w:trPr>
        <w:tc>
          <w:tcPr>
            <w:tcW w:w="280" w:type="dxa"/>
            <w:vAlign w:val="bottom"/>
            <w:gridSpan w:val="2"/>
          </w:tcPr>
          <w:p>
            <w:pPr>
              <w:spacing w:after="0"/>
              <w:rPr>
                <w:sz w:val="15"/>
                <w:szCs w:val="15"/>
                <w:color w:val="auto"/>
              </w:rPr>
            </w:pPr>
          </w:p>
        </w:tc>
        <w:tc>
          <w:tcPr>
            <w:tcW w:w="260" w:type="dxa"/>
            <w:vAlign w:val="bottom"/>
          </w:tcPr>
          <w:p>
            <w:pPr>
              <w:jc w:val="cente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80" w:type="dxa"/>
            <w:vAlign w:val="bottom"/>
          </w:tcPr>
          <w:p>
            <w:pPr>
              <w:spacing w:after="0"/>
              <w:rPr>
                <w:sz w:val="15"/>
                <w:szCs w:val="15"/>
                <w:color w:val="auto"/>
              </w:rPr>
            </w:pPr>
          </w:p>
        </w:tc>
        <w:tc>
          <w:tcPr>
            <w:tcW w:w="6640" w:type="dxa"/>
            <w:vAlign w:val="bottom"/>
            <w:gridSpan w:val="17"/>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Amended and Restated Certificate of Incorporation of Arteris, Inc.</w:t>
              </w:r>
            </w:hyperlink>
          </w:p>
        </w:tc>
        <w:tc>
          <w:tcPr>
            <w:tcW w:w="580" w:type="dxa"/>
            <w:vAlign w:val="bottom"/>
          </w:tcPr>
          <w:p>
            <w:pPr>
              <w:ind w:left="40"/>
              <w:spacing w:after="0" w:line="182" w:lineRule="exact"/>
              <w:rPr>
                <w:sz w:val="20"/>
                <w:szCs w:val="20"/>
                <w:color w:val="auto"/>
              </w:rPr>
            </w:pPr>
            <w:r>
              <w:rPr>
                <w:rFonts w:ascii="Arial" w:cs="Arial" w:eastAsia="Arial" w:hAnsi="Arial"/>
                <w:sz w:val="18"/>
                <w:szCs w:val="18"/>
                <w:color w:val="auto"/>
              </w:rPr>
              <w:t>8-K</w:t>
            </w:r>
          </w:p>
        </w:tc>
        <w:tc>
          <w:tcPr>
            <w:tcW w:w="2320" w:type="dxa"/>
            <w:vAlign w:val="bottom"/>
          </w:tcPr>
          <w:p>
            <w:pPr>
              <w:jc w:val="right"/>
              <w:ind w:right="617"/>
              <w:spacing w:after="0" w:line="182" w:lineRule="exact"/>
              <w:rPr>
                <w:sz w:val="20"/>
                <w:szCs w:val="20"/>
                <w:color w:val="auto"/>
              </w:rPr>
            </w:pPr>
            <w:r>
              <w:rPr>
                <w:rFonts w:ascii="Arial" w:cs="Arial" w:eastAsia="Arial" w:hAnsi="Arial"/>
                <w:sz w:val="18"/>
                <w:szCs w:val="18"/>
                <w:color w:val="auto"/>
              </w:rPr>
              <w:t>3.1 10-29-2021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8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80" w:type="dxa"/>
            <w:vAlign w:val="bottom"/>
          </w:tcPr>
          <w:p>
            <w:pPr>
              <w:spacing w:after="0"/>
              <w:rPr>
                <w:sz w:val="18"/>
                <w:szCs w:val="18"/>
                <w:color w:val="auto"/>
              </w:rPr>
            </w:pPr>
          </w:p>
        </w:tc>
        <w:tc>
          <w:tcPr>
            <w:tcW w:w="6640" w:type="dxa"/>
            <w:vAlign w:val="bottom"/>
            <w:gridSpan w:val="17"/>
          </w:tcPr>
          <w:p>
            <w:pPr>
              <w:spacing w:after="0"/>
              <w:rPr>
                <w:rFonts w:ascii="Arial" w:cs="Arial" w:eastAsia="Arial" w:hAnsi="Arial"/>
                <w:sz w:val="18"/>
                <w:szCs w:val="18"/>
                <w:color w:val="0000FF"/>
              </w:rPr>
            </w:pPr>
            <w:hyperlink r:id="rId85">
              <w:r>
                <w:rPr>
                  <w:rFonts w:ascii="Arial" w:cs="Arial" w:eastAsia="Arial" w:hAnsi="Arial"/>
                  <w:sz w:val="18"/>
                  <w:szCs w:val="18"/>
                  <w:color w:val="0000FF"/>
                </w:rPr>
                <w:t>Amended and Restated Bylaws of Arteris, Inc.</w:t>
              </w:r>
            </w:hyperlink>
          </w:p>
        </w:tc>
        <w:tc>
          <w:tcPr>
            <w:tcW w:w="580" w:type="dxa"/>
            <w:vAlign w:val="bottom"/>
          </w:tcPr>
          <w:p>
            <w:pPr>
              <w:ind w:left="40"/>
              <w:spacing w:after="0"/>
              <w:rPr>
                <w:sz w:val="20"/>
                <w:szCs w:val="20"/>
                <w:color w:val="auto"/>
              </w:rPr>
            </w:pPr>
            <w:r>
              <w:rPr>
                <w:rFonts w:ascii="Arial" w:cs="Arial" w:eastAsia="Arial" w:hAnsi="Arial"/>
                <w:sz w:val="18"/>
                <w:szCs w:val="18"/>
                <w:color w:val="auto"/>
              </w:rPr>
              <w:t>8-K</w:t>
            </w:r>
          </w:p>
        </w:tc>
        <w:tc>
          <w:tcPr>
            <w:tcW w:w="2320" w:type="dxa"/>
            <w:vAlign w:val="bottom"/>
          </w:tcPr>
          <w:p>
            <w:pPr>
              <w:jc w:val="right"/>
              <w:ind w:right="617"/>
              <w:spacing w:after="0"/>
              <w:rPr>
                <w:sz w:val="20"/>
                <w:szCs w:val="20"/>
                <w:color w:val="auto"/>
              </w:rPr>
            </w:pPr>
            <w:r>
              <w:rPr>
                <w:rFonts w:ascii="Arial" w:cs="Arial" w:eastAsia="Arial" w:hAnsi="Arial"/>
                <w:sz w:val="18"/>
                <w:szCs w:val="18"/>
                <w:color w:val="auto"/>
              </w:rPr>
              <w:t>3.2 10-29-2021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86">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80" w:type="dxa"/>
            <w:vAlign w:val="bottom"/>
          </w:tcPr>
          <w:p>
            <w:pPr>
              <w:spacing w:after="0"/>
              <w:rPr>
                <w:sz w:val="18"/>
                <w:szCs w:val="18"/>
                <w:color w:val="auto"/>
              </w:rPr>
            </w:pPr>
          </w:p>
        </w:tc>
        <w:tc>
          <w:tcPr>
            <w:tcW w:w="6640" w:type="dxa"/>
            <w:vAlign w:val="bottom"/>
            <w:gridSpan w:val="17"/>
          </w:tcPr>
          <w:p>
            <w:pPr>
              <w:spacing w:after="0"/>
              <w:rPr>
                <w:rFonts w:ascii="Arial" w:cs="Arial" w:eastAsia="Arial" w:hAnsi="Arial"/>
                <w:sz w:val="18"/>
                <w:szCs w:val="18"/>
                <w:color w:val="0000FF"/>
              </w:rPr>
            </w:pPr>
            <w:hyperlink r:id="rId86">
              <w:r>
                <w:rPr>
                  <w:rFonts w:ascii="Arial" w:cs="Arial" w:eastAsia="Arial" w:hAnsi="Arial"/>
                  <w:sz w:val="18"/>
                  <w:szCs w:val="18"/>
                  <w:color w:val="0000FF"/>
                </w:rPr>
                <w:t>Specimen Stock Certificate evidencing the shares of common stock.</w:t>
              </w:r>
            </w:hyperlink>
          </w:p>
        </w:tc>
        <w:tc>
          <w:tcPr>
            <w:tcW w:w="580" w:type="dxa"/>
            <w:vAlign w:val="bottom"/>
          </w:tcPr>
          <w:p>
            <w:pPr>
              <w:ind w:left="40"/>
              <w:spacing w:after="0"/>
              <w:rPr>
                <w:sz w:val="20"/>
                <w:szCs w:val="20"/>
                <w:color w:val="auto"/>
              </w:rPr>
            </w:pPr>
            <w:r>
              <w:rPr>
                <w:rFonts w:ascii="Arial" w:cs="Arial" w:eastAsia="Arial" w:hAnsi="Arial"/>
                <w:sz w:val="18"/>
                <w:szCs w:val="18"/>
                <w:color w:val="auto"/>
              </w:rPr>
              <w:t>S-1/A</w:t>
            </w:r>
          </w:p>
        </w:tc>
        <w:tc>
          <w:tcPr>
            <w:tcW w:w="2320" w:type="dxa"/>
            <w:vAlign w:val="bottom"/>
          </w:tcPr>
          <w:p>
            <w:pPr>
              <w:jc w:val="right"/>
              <w:ind w:right="617"/>
              <w:spacing w:after="0"/>
              <w:rPr>
                <w:sz w:val="20"/>
                <w:szCs w:val="20"/>
                <w:color w:val="auto"/>
              </w:rPr>
            </w:pPr>
            <w:r>
              <w:rPr>
                <w:rFonts w:ascii="Arial" w:cs="Arial" w:eastAsia="Arial" w:hAnsi="Arial"/>
                <w:sz w:val="18"/>
                <w:szCs w:val="18"/>
                <w:color w:val="auto"/>
              </w:rPr>
              <w:t>4.1 10-18-2021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3"/>
          </w:tcPr>
          <w:p>
            <w:pPr>
              <w:jc w:val="center"/>
              <w:ind w:left="111"/>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280" w:type="dxa"/>
            <w:vAlign w:val="bottom"/>
          </w:tcPr>
          <w:p>
            <w:pPr>
              <w:spacing w:after="0"/>
              <w:rPr>
                <w:sz w:val="18"/>
                <w:szCs w:val="18"/>
                <w:color w:val="auto"/>
              </w:rPr>
            </w:pPr>
          </w:p>
        </w:tc>
        <w:tc>
          <w:tcPr>
            <w:tcW w:w="6640" w:type="dxa"/>
            <w:vAlign w:val="bottom"/>
            <w:gridSpan w:val="17"/>
          </w:tcPr>
          <w:p>
            <w:pPr>
              <w:spacing w:after="0"/>
              <w:rPr>
                <w:sz w:val="20"/>
                <w:szCs w:val="20"/>
                <w:color w:val="auto"/>
              </w:rPr>
            </w:pPr>
            <w:r>
              <w:rPr>
                <w:rFonts w:ascii="Arial" w:cs="Arial" w:eastAsia="Arial" w:hAnsi="Arial"/>
                <w:sz w:val="18"/>
                <w:szCs w:val="18"/>
                <w:color w:val="0000FF"/>
              </w:rPr>
              <w:t>Transchip Share Purchase and Shareholders Agreement</w:t>
            </w:r>
          </w:p>
        </w:tc>
        <w:tc>
          <w:tcPr>
            <w:tcW w:w="580" w:type="dxa"/>
            <w:vAlign w:val="bottom"/>
          </w:tcPr>
          <w:p>
            <w:pPr>
              <w:spacing w:after="0"/>
              <w:rPr>
                <w:sz w:val="18"/>
                <w:szCs w:val="18"/>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3"/>
          </w:tcPr>
          <w:p>
            <w:pPr>
              <w:jc w:val="center"/>
              <w:ind w:left="111"/>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p>
        </w:tc>
        <w:tc>
          <w:tcPr>
            <w:tcW w:w="280" w:type="dxa"/>
            <w:vAlign w:val="bottom"/>
          </w:tcPr>
          <w:p>
            <w:pPr>
              <w:spacing w:after="0"/>
              <w:rPr>
                <w:sz w:val="18"/>
                <w:szCs w:val="18"/>
                <w:color w:val="auto"/>
              </w:rPr>
            </w:pPr>
          </w:p>
        </w:tc>
        <w:tc>
          <w:tcPr>
            <w:tcW w:w="6640" w:type="dxa"/>
            <w:vAlign w:val="bottom"/>
            <w:gridSpan w:val="17"/>
          </w:tcPr>
          <w:p>
            <w:pPr>
              <w:spacing w:after="0"/>
              <w:rPr>
                <w:sz w:val="20"/>
                <w:szCs w:val="20"/>
                <w:color w:val="auto"/>
              </w:rPr>
            </w:pPr>
            <w:r>
              <w:rPr>
                <w:rFonts w:ascii="Arial" w:cs="Arial" w:eastAsia="Arial" w:hAnsi="Arial"/>
                <w:sz w:val="18"/>
                <w:szCs w:val="18"/>
                <w:color w:val="0000FF"/>
              </w:rPr>
              <w:t>2022 Employment Inducement Award Plan</w:t>
            </w:r>
          </w:p>
        </w:tc>
        <w:tc>
          <w:tcPr>
            <w:tcW w:w="580" w:type="dxa"/>
            <w:vAlign w:val="bottom"/>
          </w:tcPr>
          <w:p>
            <w:pPr>
              <w:spacing w:after="0"/>
              <w:rPr>
                <w:sz w:val="18"/>
                <w:szCs w:val="18"/>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3"/>
          </w:tcPr>
          <w:p>
            <w:pPr>
              <w:jc w:val="center"/>
              <w:ind w:left="111"/>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p>
        </w:tc>
        <w:tc>
          <w:tcPr>
            <w:tcW w:w="280" w:type="dxa"/>
            <w:vAlign w:val="bottom"/>
          </w:tcPr>
          <w:p>
            <w:pPr>
              <w:spacing w:after="0"/>
              <w:rPr>
                <w:sz w:val="18"/>
                <w:szCs w:val="18"/>
                <w:color w:val="auto"/>
              </w:rPr>
            </w:pPr>
          </w:p>
        </w:tc>
        <w:tc>
          <w:tcPr>
            <w:tcW w:w="6640" w:type="dxa"/>
            <w:vAlign w:val="bottom"/>
            <w:gridSpan w:val="17"/>
          </w:tcPr>
          <w:p>
            <w:pPr>
              <w:spacing w:after="0"/>
              <w:rPr>
                <w:sz w:val="20"/>
                <w:szCs w:val="20"/>
                <w:color w:val="auto"/>
              </w:rPr>
            </w:pPr>
            <w:r>
              <w:rPr>
                <w:rFonts w:ascii="Arial" w:cs="Arial" w:eastAsia="Arial" w:hAnsi="Arial"/>
                <w:sz w:val="18"/>
                <w:szCs w:val="18"/>
                <w:color w:val="0000FF"/>
              </w:rPr>
              <w:t>Form of Stock Option Grant Notice and Stock Option Agreement under the 2022</w:t>
            </w:r>
          </w:p>
        </w:tc>
        <w:tc>
          <w:tcPr>
            <w:tcW w:w="580" w:type="dxa"/>
            <w:vAlign w:val="bottom"/>
          </w:tcPr>
          <w:p>
            <w:pPr>
              <w:spacing w:after="0"/>
              <w:rPr>
                <w:sz w:val="18"/>
                <w:szCs w:val="18"/>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9"/>
              </w:rPr>
              <w:t>Employment Inducement Award Plan</w:t>
            </w:r>
          </w:p>
        </w:tc>
        <w:tc>
          <w:tcPr>
            <w:tcW w:w="34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 w:type="dxa"/>
            <w:vAlign w:val="bottom"/>
            <w:gridSpan w:val="3"/>
          </w:tcPr>
          <w:p>
            <w:pPr>
              <w:jc w:val="center"/>
              <w:ind w:left="111"/>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p>
        </w:tc>
        <w:tc>
          <w:tcPr>
            <w:tcW w:w="280" w:type="dxa"/>
            <w:vAlign w:val="bottom"/>
          </w:tcPr>
          <w:p>
            <w:pPr>
              <w:spacing w:after="0"/>
              <w:rPr>
                <w:sz w:val="19"/>
                <w:szCs w:val="19"/>
                <w:color w:val="auto"/>
              </w:rPr>
            </w:pPr>
          </w:p>
        </w:tc>
        <w:tc>
          <w:tcPr>
            <w:tcW w:w="6640" w:type="dxa"/>
            <w:vAlign w:val="bottom"/>
            <w:gridSpan w:val="17"/>
          </w:tcPr>
          <w:p>
            <w:pPr>
              <w:spacing w:after="0"/>
              <w:rPr>
                <w:sz w:val="20"/>
                <w:szCs w:val="20"/>
                <w:color w:val="auto"/>
              </w:rPr>
            </w:pPr>
            <w:r>
              <w:rPr>
                <w:rFonts w:ascii="Arial" w:cs="Arial" w:eastAsia="Arial" w:hAnsi="Arial"/>
                <w:sz w:val="18"/>
                <w:szCs w:val="18"/>
                <w:color w:val="0000FF"/>
              </w:rPr>
              <w:t>Form of Restricted Stock Unit Award Grant Notice and Restricted Stock Unit Award</w:t>
            </w:r>
          </w:p>
        </w:tc>
        <w:tc>
          <w:tcPr>
            <w:tcW w:w="580" w:type="dxa"/>
            <w:vAlign w:val="bottom"/>
          </w:tcPr>
          <w:p>
            <w:pPr>
              <w:spacing w:after="0"/>
              <w:rPr>
                <w:sz w:val="19"/>
                <w:szCs w:val="19"/>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20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Agreement under the 2022 Employment Inducement Award Plan</w:t>
            </w:r>
          </w:p>
        </w:tc>
        <w:tc>
          <w:tcPr>
            <w:tcW w:w="138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 w:type="dxa"/>
            <w:vAlign w:val="bottom"/>
            <w:gridSpan w:val="3"/>
          </w:tcPr>
          <w:p>
            <w:pPr>
              <w:jc w:val="center"/>
              <w:ind w:left="111"/>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280" w:type="dxa"/>
            <w:vAlign w:val="bottom"/>
          </w:tcPr>
          <w:p>
            <w:pPr>
              <w:spacing w:after="0"/>
              <w:rPr>
                <w:sz w:val="19"/>
                <w:szCs w:val="19"/>
                <w:color w:val="auto"/>
              </w:rPr>
            </w:pPr>
          </w:p>
        </w:tc>
        <w:tc>
          <w:tcPr>
            <w:tcW w:w="6640" w:type="dxa"/>
            <w:vAlign w:val="bottom"/>
            <w:gridSpan w:val="17"/>
          </w:tcPr>
          <w:p>
            <w:pPr>
              <w:spacing w:after="0"/>
              <w:rPr>
                <w:sz w:val="20"/>
                <w:szCs w:val="20"/>
                <w:color w:val="auto"/>
              </w:rPr>
            </w:pPr>
            <w:r>
              <w:rPr>
                <w:rFonts w:ascii="Arial" w:cs="Arial" w:eastAsia="Arial" w:hAnsi="Arial"/>
                <w:sz w:val="18"/>
                <w:szCs w:val="18"/>
                <w:color w:val="0000FF"/>
              </w:rPr>
              <w:t>Certification of Principal Executive Officer pursuant to Rules 13a-14(a) and 15d-</w:t>
            </w:r>
          </w:p>
        </w:tc>
        <w:tc>
          <w:tcPr>
            <w:tcW w:w="580" w:type="dxa"/>
            <w:vAlign w:val="bottom"/>
          </w:tcPr>
          <w:p>
            <w:pPr>
              <w:spacing w:after="0"/>
              <w:rPr>
                <w:sz w:val="19"/>
                <w:szCs w:val="19"/>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7"/>
              </w:rPr>
              <w:t>14(a) under the Securities Exchange Act of 1934, as adopted pursuant to Section</w:t>
            </w:r>
          </w:p>
        </w:tc>
        <w:tc>
          <w:tcPr>
            <w:tcW w:w="6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gridSpan w:val="12"/>
          </w:tcPr>
          <w:p>
            <w:pPr>
              <w:spacing w:after="0"/>
              <w:rPr>
                <w:sz w:val="14"/>
                <w:szCs w:val="14"/>
                <w:color w:val="auto"/>
              </w:rPr>
            </w:pPr>
          </w:p>
        </w:tc>
        <w:tc>
          <w:tcPr>
            <w:tcW w:w="16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 w:type="dxa"/>
            <w:vAlign w:val="bottom"/>
            <w:gridSpan w:val="3"/>
          </w:tcPr>
          <w:p>
            <w:pPr>
              <w:jc w:val="center"/>
              <w:ind w:left="111"/>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280" w:type="dxa"/>
            <w:vAlign w:val="bottom"/>
          </w:tcPr>
          <w:p>
            <w:pPr>
              <w:spacing w:after="0"/>
              <w:rPr>
                <w:sz w:val="18"/>
                <w:szCs w:val="18"/>
                <w:color w:val="auto"/>
              </w:rPr>
            </w:pPr>
          </w:p>
        </w:tc>
        <w:tc>
          <w:tcPr>
            <w:tcW w:w="6640" w:type="dxa"/>
            <w:vAlign w:val="bottom"/>
            <w:gridSpan w:val="17"/>
          </w:tcPr>
          <w:p>
            <w:pPr>
              <w:spacing w:after="0"/>
              <w:rPr>
                <w:sz w:val="20"/>
                <w:szCs w:val="20"/>
                <w:color w:val="auto"/>
              </w:rPr>
            </w:pPr>
            <w:r>
              <w:rPr>
                <w:rFonts w:ascii="Arial" w:cs="Arial" w:eastAsia="Arial" w:hAnsi="Arial"/>
                <w:sz w:val="18"/>
                <w:szCs w:val="18"/>
                <w:color w:val="0000FF"/>
              </w:rPr>
              <w:t>Certification of Principal Financial Officer pursuant to Rules 13a-14(a) and 15d-</w:t>
            </w:r>
          </w:p>
        </w:tc>
        <w:tc>
          <w:tcPr>
            <w:tcW w:w="580" w:type="dxa"/>
            <w:vAlign w:val="bottom"/>
          </w:tcPr>
          <w:p>
            <w:pPr>
              <w:spacing w:after="0"/>
              <w:rPr>
                <w:sz w:val="18"/>
                <w:szCs w:val="18"/>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40" w:type="dxa"/>
            <w:vAlign w:val="bottom"/>
            <w:gridSpan w:val="8"/>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620" w:type="dxa"/>
            <w:vAlign w:val="bottom"/>
            <w:gridSpan w:val="16"/>
          </w:tcPr>
          <w:p>
            <w:pPr>
              <w:spacing w:after="0" w:line="156" w:lineRule="exact"/>
              <w:rPr>
                <w:sz w:val="20"/>
                <w:szCs w:val="20"/>
                <w:color w:val="auto"/>
              </w:rPr>
            </w:pPr>
            <w:r>
              <w:rPr>
                <w:rFonts w:ascii="Arial" w:cs="Arial" w:eastAsia="Arial" w:hAnsi="Arial"/>
                <w:sz w:val="18"/>
                <w:szCs w:val="18"/>
                <w:color w:val="0000FF"/>
              </w:rPr>
              <w:t>14(a) under the Securities Exchange Act of 1934, as adopted pursuant to Section</w:t>
            </w:r>
          </w:p>
        </w:tc>
        <w:tc>
          <w:tcPr>
            <w:tcW w:w="5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tcBorders>
              <w:top w:val="single" w:sz="8" w:color="0000FF"/>
            </w:tcBorders>
            <w:gridSpan w:val="12"/>
          </w:tcPr>
          <w:p>
            <w:pPr>
              <w:spacing w:after="0"/>
              <w:rPr>
                <w:sz w:val="14"/>
                <w:szCs w:val="14"/>
                <w:color w:val="auto"/>
              </w:rPr>
            </w:pPr>
          </w:p>
        </w:tc>
        <w:tc>
          <w:tcPr>
            <w:tcW w:w="16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r>
              <w:rPr>
                <w:rFonts w:ascii="Arial" w:cs="Arial" w:eastAsia="Arial" w:hAnsi="Arial"/>
                <w:sz w:val="18"/>
                <w:szCs w:val="18"/>
                <w:color w:val="000000"/>
                <w:w w:val="99"/>
              </w:rPr>
              <w:t>*</w:t>
            </w:r>
          </w:p>
        </w:tc>
        <w:tc>
          <w:tcPr>
            <w:tcW w:w="6640" w:type="dxa"/>
            <w:vAlign w:val="bottom"/>
            <w:gridSpan w:val="17"/>
          </w:tcPr>
          <w:p>
            <w:pPr>
              <w:spacing w:after="0"/>
              <w:rPr>
                <w:sz w:val="20"/>
                <w:szCs w:val="20"/>
                <w:color w:val="auto"/>
              </w:rPr>
            </w:pPr>
            <w:r>
              <w:rPr>
                <w:rFonts w:ascii="Arial" w:cs="Arial" w:eastAsia="Arial" w:hAnsi="Arial"/>
                <w:sz w:val="18"/>
                <w:szCs w:val="18"/>
                <w:color w:val="0000FF"/>
              </w:rPr>
              <w:t>Certification of Principal Executive Officer pursuant to 18 U.S.C. Section 1350, as</w:t>
            </w:r>
          </w:p>
        </w:tc>
        <w:tc>
          <w:tcPr>
            <w:tcW w:w="580" w:type="dxa"/>
            <w:vAlign w:val="bottom"/>
          </w:tcPr>
          <w:p>
            <w:pPr>
              <w:spacing w:after="0"/>
              <w:rPr>
                <w:sz w:val="18"/>
                <w:szCs w:val="18"/>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1000" w:type="dxa"/>
            <w:vAlign w:val="bottom"/>
            <w:tcBorders>
              <w:top w:val="single" w:sz="8" w:color="0000FF"/>
            </w:tcBorders>
            <w:gridSpan w:val="5"/>
          </w:tcPr>
          <w:p>
            <w:pPr>
              <w:spacing w:after="0"/>
              <w:rPr>
                <w:sz w:val="13"/>
                <w:szCs w:val="13"/>
                <w:color w:val="auto"/>
              </w:rPr>
            </w:pPr>
          </w:p>
        </w:tc>
        <w:tc>
          <w:tcPr>
            <w:tcW w:w="18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2</w:t>
            </w:r>
            <w:r>
              <w:rPr>
                <w:rFonts w:ascii="Arial" w:cs="Arial" w:eastAsia="Arial" w:hAnsi="Arial"/>
                <w:sz w:val="18"/>
                <w:szCs w:val="18"/>
                <w:color w:val="000000"/>
                <w:w w:val="99"/>
              </w:rPr>
              <w:t>*</w:t>
            </w:r>
          </w:p>
        </w:tc>
        <w:tc>
          <w:tcPr>
            <w:tcW w:w="6640" w:type="dxa"/>
            <w:vAlign w:val="bottom"/>
            <w:gridSpan w:val="17"/>
          </w:tcPr>
          <w:p>
            <w:pPr>
              <w:spacing w:after="0"/>
              <w:rPr>
                <w:sz w:val="20"/>
                <w:szCs w:val="20"/>
                <w:color w:val="auto"/>
              </w:rPr>
            </w:pPr>
            <w:r>
              <w:rPr>
                <w:rFonts w:ascii="Arial" w:cs="Arial" w:eastAsia="Arial" w:hAnsi="Arial"/>
                <w:sz w:val="18"/>
                <w:szCs w:val="18"/>
                <w:color w:val="0000FF"/>
              </w:rPr>
              <w:t>Certification of Principal Financial Officer pursuant to 18 U.S.C. Section 1350, as</w:t>
            </w:r>
          </w:p>
        </w:tc>
        <w:tc>
          <w:tcPr>
            <w:tcW w:w="580" w:type="dxa"/>
            <w:vAlign w:val="bottom"/>
          </w:tcPr>
          <w:p>
            <w:pPr>
              <w:spacing w:after="0"/>
              <w:rPr>
                <w:sz w:val="19"/>
                <w:szCs w:val="19"/>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4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940" w:type="dxa"/>
            <w:vAlign w:val="bottom"/>
            <w:tcBorders>
              <w:top w:val="single" w:sz="8" w:color="0000FF"/>
            </w:tcBorders>
            <w:gridSpan w:val="4"/>
          </w:tcPr>
          <w:p>
            <w:pPr>
              <w:spacing w:after="0"/>
              <w:rPr>
                <w:sz w:val="13"/>
                <w:szCs w:val="13"/>
                <w:color w:val="auto"/>
              </w:rPr>
            </w:pPr>
          </w:p>
        </w:tc>
        <w:tc>
          <w:tcPr>
            <w:tcW w:w="240" w:type="dxa"/>
            <w:vAlign w:val="bottom"/>
            <w:gridSpan w:val="4"/>
          </w:tcPr>
          <w:p>
            <w:pPr>
              <w:spacing w:after="0"/>
              <w:rPr>
                <w:sz w:val="13"/>
                <w:szCs w:val="13"/>
                <w:color w:val="auto"/>
              </w:rPr>
            </w:pPr>
          </w:p>
        </w:tc>
        <w:tc>
          <w:tcPr>
            <w:tcW w:w="5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460" w:type="dxa"/>
            <w:vAlign w:val="bottom"/>
            <w:gridSpan w:val="21"/>
          </w:tcPr>
          <w:p>
            <w:pPr>
              <w:ind w:left="80"/>
              <w:spacing w:after="0"/>
              <w:rPr>
                <w:sz w:val="20"/>
                <w:szCs w:val="20"/>
                <w:color w:val="auto"/>
              </w:rPr>
            </w:pPr>
            <w:r>
              <w:rPr>
                <w:rFonts w:ascii="Arial" w:cs="Arial" w:eastAsia="Arial" w:hAnsi="Arial"/>
                <w:sz w:val="18"/>
                <w:szCs w:val="18"/>
                <w:color w:val="auto"/>
              </w:rPr>
              <w:t>101.INS XBRL Instance Document - the instance document does not appear in the</w:t>
            </w:r>
          </w:p>
        </w:tc>
        <w:tc>
          <w:tcPr>
            <w:tcW w:w="580" w:type="dxa"/>
            <w:vAlign w:val="bottom"/>
          </w:tcPr>
          <w:p>
            <w:pPr>
              <w:spacing w:after="0"/>
              <w:rPr>
                <w:sz w:val="19"/>
                <w:szCs w:val="19"/>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40" w:type="dxa"/>
            <w:vAlign w:val="bottom"/>
            <w:gridSpan w:val="17"/>
          </w:tcPr>
          <w:p>
            <w:pPr>
              <w:spacing w:after="0" w:line="189"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5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4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gridSpan w:val="21"/>
          </w:tcPr>
          <w:p>
            <w:pPr>
              <w:ind w:left="40"/>
              <w:spacing w:after="0"/>
              <w:rPr>
                <w:sz w:val="20"/>
                <w:szCs w:val="20"/>
                <w:color w:val="auto"/>
              </w:rPr>
            </w:pPr>
            <w:r>
              <w:rPr>
                <w:rFonts w:ascii="Arial" w:cs="Arial" w:eastAsia="Arial" w:hAnsi="Arial"/>
                <w:sz w:val="18"/>
                <w:szCs w:val="18"/>
                <w:color w:val="auto"/>
              </w:rPr>
              <w:t>101.SCH XBRL Taxonomy Extension Schema Document.</w:t>
            </w:r>
          </w:p>
        </w:tc>
        <w:tc>
          <w:tcPr>
            <w:tcW w:w="580" w:type="dxa"/>
            <w:vAlign w:val="bottom"/>
          </w:tcPr>
          <w:p>
            <w:pPr>
              <w:spacing w:after="0"/>
              <w:rPr>
                <w:sz w:val="19"/>
                <w:szCs w:val="19"/>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460" w:type="dxa"/>
            <w:vAlign w:val="bottom"/>
            <w:gridSpan w:val="21"/>
          </w:tcPr>
          <w:p>
            <w:pPr>
              <w:ind w:left="60"/>
              <w:spacing w:after="0"/>
              <w:rPr>
                <w:sz w:val="20"/>
                <w:szCs w:val="20"/>
                <w:color w:val="auto"/>
              </w:rPr>
            </w:pPr>
            <w:r>
              <w:rPr>
                <w:rFonts w:ascii="Arial" w:cs="Arial" w:eastAsia="Arial" w:hAnsi="Arial"/>
                <w:sz w:val="18"/>
                <w:szCs w:val="18"/>
                <w:color w:val="auto"/>
              </w:rPr>
              <w:t>101.CAL XBRL Taxonomy Extension Calculation Linkbase Document.</w:t>
            </w:r>
          </w:p>
        </w:tc>
        <w:tc>
          <w:tcPr>
            <w:tcW w:w="580" w:type="dxa"/>
            <w:vAlign w:val="bottom"/>
          </w:tcPr>
          <w:p>
            <w:pPr>
              <w:spacing w:after="0"/>
              <w:rPr>
                <w:sz w:val="19"/>
                <w:szCs w:val="19"/>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460" w:type="dxa"/>
            <w:vAlign w:val="bottom"/>
            <w:gridSpan w:val="21"/>
          </w:tcPr>
          <w:p>
            <w:pPr>
              <w:ind w:left="60"/>
              <w:spacing w:after="0"/>
              <w:rPr>
                <w:sz w:val="20"/>
                <w:szCs w:val="20"/>
                <w:color w:val="auto"/>
              </w:rPr>
            </w:pPr>
            <w:r>
              <w:rPr>
                <w:rFonts w:ascii="Arial" w:cs="Arial" w:eastAsia="Arial" w:hAnsi="Arial"/>
                <w:sz w:val="18"/>
                <w:szCs w:val="18"/>
                <w:color w:val="auto"/>
              </w:rPr>
              <w:t>101.DEF XBRL Taxonomy Extension Definition Linkbase Document.</w:t>
            </w:r>
          </w:p>
        </w:tc>
        <w:tc>
          <w:tcPr>
            <w:tcW w:w="580" w:type="dxa"/>
            <w:vAlign w:val="bottom"/>
          </w:tcPr>
          <w:p>
            <w:pPr>
              <w:spacing w:after="0"/>
              <w:rPr>
                <w:sz w:val="19"/>
                <w:szCs w:val="19"/>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460" w:type="dxa"/>
            <w:vAlign w:val="bottom"/>
            <w:gridSpan w:val="21"/>
          </w:tcPr>
          <w:p>
            <w:pPr>
              <w:ind w:left="60"/>
              <w:spacing w:after="0"/>
              <w:rPr>
                <w:sz w:val="20"/>
                <w:szCs w:val="20"/>
                <w:color w:val="auto"/>
              </w:rPr>
            </w:pPr>
            <w:r>
              <w:rPr>
                <w:rFonts w:ascii="Arial" w:cs="Arial" w:eastAsia="Arial" w:hAnsi="Arial"/>
                <w:sz w:val="18"/>
                <w:szCs w:val="18"/>
                <w:color w:val="auto"/>
              </w:rPr>
              <w:t>101.LAB XBRL Taxonomy Extension Label Linkbase Document.</w:t>
            </w:r>
          </w:p>
        </w:tc>
        <w:tc>
          <w:tcPr>
            <w:tcW w:w="580" w:type="dxa"/>
            <w:vAlign w:val="bottom"/>
          </w:tcPr>
          <w:p>
            <w:pPr>
              <w:spacing w:after="0"/>
              <w:rPr>
                <w:sz w:val="19"/>
                <w:szCs w:val="19"/>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7460" w:type="dxa"/>
            <w:vAlign w:val="bottom"/>
            <w:gridSpan w:val="21"/>
          </w:tcPr>
          <w:p>
            <w:pPr>
              <w:ind w:left="40"/>
              <w:spacing w:after="0"/>
              <w:rPr>
                <w:sz w:val="20"/>
                <w:szCs w:val="20"/>
                <w:color w:val="auto"/>
              </w:rPr>
            </w:pPr>
            <w:r>
              <w:rPr>
                <w:rFonts w:ascii="Arial" w:cs="Arial" w:eastAsia="Arial" w:hAnsi="Arial"/>
                <w:sz w:val="18"/>
                <w:szCs w:val="18"/>
                <w:color w:val="auto"/>
              </w:rPr>
              <w:t>101.PRE XBRL Taxonomy Extension Presentation Linkbase Document.</w:t>
            </w:r>
          </w:p>
        </w:tc>
        <w:tc>
          <w:tcPr>
            <w:tcW w:w="580" w:type="dxa"/>
            <w:vAlign w:val="bottom"/>
          </w:tcPr>
          <w:p>
            <w:pPr>
              <w:spacing w:after="0"/>
              <w:rPr>
                <w:sz w:val="19"/>
                <w:szCs w:val="19"/>
                <w:color w:val="auto"/>
              </w:rPr>
            </w:pPr>
          </w:p>
        </w:tc>
        <w:tc>
          <w:tcPr>
            <w:tcW w:w="2320" w:type="dxa"/>
            <w:vAlign w:val="bottom"/>
          </w:tcPr>
          <w:p>
            <w:pPr>
              <w:jc w:val="center"/>
              <w:ind w:left="1557"/>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8"/>
        </w:trPr>
        <w:tc>
          <w:tcPr>
            <w:tcW w:w="540" w:type="dxa"/>
            <w:vAlign w:val="bottom"/>
            <w:gridSpan w:val="3"/>
          </w:tcPr>
          <w:p>
            <w:pPr>
              <w:jc w:val="center"/>
              <w:ind w:left="151"/>
              <w:spacing w:after="0" w:line="189" w:lineRule="exact"/>
              <w:rPr>
                <w:sz w:val="20"/>
                <w:szCs w:val="20"/>
                <w:color w:val="auto"/>
              </w:rPr>
            </w:pPr>
            <w:r>
              <w:rPr>
                <w:rFonts w:ascii="Arial" w:cs="Arial" w:eastAsia="Arial" w:hAnsi="Arial"/>
                <w:sz w:val="18"/>
                <w:szCs w:val="18"/>
                <w:color w:val="auto"/>
                <w:w w:val="99"/>
              </w:rPr>
              <w:t>104</w:t>
            </w:r>
          </w:p>
        </w:tc>
        <w:tc>
          <w:tcPr>
            <w:tcW w:w="280" w:type="dxa"/>
            <w:vAlign w:val="bottom"/>
          </w:tcPr>
          <w:p>
            <w:pPr>
              <w:spacing w:after="0"/>
              <w:rPr>
                <w:sz w:val="16"/>
                <w:szCs w:val="16"/>
                <w:color w:val="auto"/>
              </w:rPr>
            </w:pPr>
          </w:p>
        </w:tc>
        <w:tc>
          <w:tcPr>
            <w:tcW w:w="6640" w:type="dxa"/>
            <w:vAlign w:val="bottom"/>
            <w:gridSpan w:val="17"/>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 contained in</w:t>
            </w:r>
          </w:p>
        </w:tc>
        <w:tc>
          <w:tcPr>
            <w:tcW w:w="580" w:type="dxa"/>
            <w:vAlign w:val="bottom"/>
          </w:tcPr>
          <w:p>
            <w:pPr>
              <w:spacing w:after="0"/>
              <w:rPr>
                <w:sz w:val="16"/>
                <w:szCs w:val="16"/>
                <w:color w:val="auto"/>
              </w:rPr>
            </w:pPr>
          </w:p>
        </w:tc>
        <w:tc>
          <w:tcPr>
            <w:tcW w:w="2320" w:type="dxa"/>
            <w:vAlign w:val="bottom"/>
          </w:tcPr>
          <w:p>
            <w:pPr>
              <w:jc w:val="center"/>
              <w:ind w:left="1557"/>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40" w:type="dxa"/>
            <w:vAlign w:val="bottom"/>
            <w:gridSpan w:val="17"/>
          </w:tcPr>
          <w:p>
            <w:pPr>
              <w:spacing w:after="0"/>
              <w:rPr>
                <w:sz w:val="20"/>
                <w:szCs w:val="20"/>
                <w:color w:val="auto"/>
              </w:rPr>
            </w:pPr>
            <w:r>
              <w:rPr>
                <w:rFonts w:ascii="Arial" w:cs="Arial" w:eastAsia="Arial" w:hAnsi="Arial"/>
                <w:sz w:val="18"/>
                <w:szCs w:val="18"/>
                <w:color w:val="auto"/>
              </w:rPr>
              <w:t>Exhibits 101).</w:t>
            </w:r>
          </w:p>
        </w:tc>
        <w:tc>
          <w:tcPr>
            <w:tcW w:w="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840" w:right="2160" w:hanging="462"/>
        <w:spacing w:after="0" w:line="227" w:lineRule="auto"/>
        <w:tabs>
          <w:tab w:leader="none" w:pos="840" w:val="left"/>
        </w:tabs>
        <w:numPr>
          <w:ilvl w:val="0"/>
          <w:numId w:val="38"/>
        </w:numPr>
        <w:rPr>
          <w:rFonts w:ascii="Arial" w:cs="Arial" w:eastAsia="Arial" w:hAnsi="Arial"/>
          <w:sz w:val="18"/>
          <w:szCs w:val="18"/>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40" w:right="121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pacing w:after="0" w:line="311" w:lineRule="exact"/>
        <w:rPr>
          <w:sz w:val="20"/>
          <w:szCs w:val="20"/>
          <w:color w:val="auto"/>
        </w:rPr>
      </w:pPr>
    </w:p>
    <w:tbl>
      <w:tblPr>
        <w:tblLayout w:type="fixed"/>
        <w:tblInd w:w="6100" w:type="dxa"/>
        <w:tblCellMar>
          <w:top w:w="0" w:type="dxa"/>
          <w:left w:w="0" w:type="dxa"/>
          <w:bottom w:w="0" w:type="dxa"/>
          <w:right w:w="0" w:type="dxa"/>
        </w:tblCellMar>
      </w:tblPr>
      <w:tr>
        <w:trPr>
          <w:trHeight w:val="239"/>
        </w:trPr>
        <w:tc>
          <w:tcPr>
            <w:tcW w:w="1200" w:type="dxa"/>
            <w:vAlign w:val="bottom"/>
          </w:tcPr>
          <w:p>
            <w:pPr>
              <w:spacing w:after="0"/>
              <w:rPr>
                <w:sz w:val="20"/>
                <w:szCs w:val="20"/>
                <w:color w:val="auto"/>
              </w:rPr>
            </w:pPr>
            <w:r>
              <w:rPr>
                <w:rFonts w:ascii="Arial" w:cs="Arial" w:eastAsia="Arial" w:hAnsi="Arial"/>
                <w:sz w:val="18"/>
                <w:szCs w:val="18"/>
                <w:b w:val="1"/>
                <w:bCs w:val="1"/>
                <w:color w:val="auto"/>
              </w:rPr>
              <w:t>Arteris, Inc.</w:t>
            </w:r>
          </w:p>
        </w:tc>
        <w:tc>
          <w:tcPr>
            <w:tcW w:w="3940" w:type="dxa"/>
            <w:vAlign w:val="bottom"/>
          </w:tcPr>
          <w:p>
            <w:pPr>
              <w:spacing w:after="0"/>
              <w:rPr>
                <w:sz w:val="20"/>
                <w:szCs w:val="20"/>
                <w:color w:val="auto"/>
              </w:rPr>
            </w:pPr>
          </w:p>
        </w:tc>
      </w:tr>
      <w:tr>
        <w:trPr>
          <w:trHeight w:val="540"/>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 Charles Janac</w:t>
            </w:r>
          </w:p>
        </w:tc>
      </w:tr>
      <w:tr>
        <w:trPr>
          <w:trHeight w:val="250"/>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K. Charles Janac</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40"/>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Nicholas B. Hawkins</w:t>
            </w:r>
          </w:p>
        </w:tc>
      </w:tr>
      <w:tr>
        <w:trPr>
          <w:trHeight w:val="250"/>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Nicholas B. Hawkins</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0" w:right="33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SHARE PURCHASE AND SHAREHOLDERS AGREEMENT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Arteris HK Limited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Transchip Technology (Nanjing) Co., Ltd.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Arteris Semiconductor Technology (Nanjing) Co., Ltd.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SME Development (Shaoxing) Venture Fund, LLP</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Jiaxing Luojia Chuanzhi Investment Partnership Enterprise (Limited Partnership)</w:t>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auto"/>
        </w:rPr>
        <w:t>Gongqing City Guinie Zhuyu No. 3 Investment Partnership (Limited Partnership)</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auto"/>
        </w:rPr>
        <w:t>Jiaxing Catalpa Huixin Investment Partnership Enterprise (Limited Partnership)</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Gongqing City Guinie Zhuyu No. 5 venture capital partnership (limited partnership)</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Huzhou Hangxin Rongxie Equity Investment Partnership (Limited partnership)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Ningbo Transchip Information Consulting Partnership (Limited Partnership)</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 September 15, 2022</w:t>
      </w:r>
    </w:p>
    <w:p>
      <w:pPr>
        <w:sectPr>
          <w:pgSz w:w="11900" w:h="16838" w:orient="portrait"/>
          <w:cols w:equalWidth="0" w:num="1">
            <w:col w:w="9120"/>
          </w:cols>
          <w:pgMar w:left="1380" w:top="1440" w:right="1399" w:bottom="1440" w:gutter="0" w:footer="0" w:header="0"/>
        </w:sectPr>
      </w:pPr>
    </w:p>
    <w:bookmarkStart w:id="75" w:name="page76"/>
    <w:bookmarkEnd w:id="75"/>
    <w:p>
      <w:pPr>
        <w:jc w:val="right"/>
        <w:ind w:right="3459"/>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059"/>
          </w:cols>
          <w:pgMar w:left="400" w:top="1386" w:right="1440" w:bottom="1440" w:gutter="0" w:footer="0" w:header="0"/>
        </w:sectPr>
      </w:pPr>
    </w:p>
    <w:bookmarkStart w:id="76" w:name="page77"/>
    <w:bookmarkEnd w:id="76"/>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4"/>
          </w:tcPr>
          <w:p>
            <w:pPr>
              <w:ind w:left="140"/>
              <w:spacing w:after="0"/>
              <w:rPr>
                <w:sz w:val="20"/>
                <w:szCs w:val="20"/>
                <w:color w:val="auto"/>
              </w:rPr>
            </w:pPr>
            <w:r>
              <w:rPr>
                <w:rFonts w:ascii="Arial" w:cs="Arial" w:eastAsia="Arial" w:hAnsi="Arial"/>
                <w:sz w:val="22"/>
                <w:szCs w:val="22"/>
                <w:b w:val="1"/>
                <w:bCs w:val="1"/>
                <w:color w:val="auto"/>
              </w:rPr>
              <w:t>ARTICLE 1</w:t>
            </w:r>
          </w:p>
        </w:tc>
        <w:tc>
          <w:tcPr>
            <w:tcW w:w="5200" w:type="dxa"/>
            <w:vAlign w:val="bottom"/>
            <w:gridSpan w:val="3"/>
          </w:tcPr>
          <w:p>
            <w:pPr>
              <w:jc w:val="center"/>
              <w:spacing w:after="0"/>
              <w:rPr>
                <w:sz w:val="20"/>
                <w:szCs w:val="20"/>
                <w:color w:val="auto"/>
              </w:rPr>
            </w:pPr>
            <w:r>
              <w:rPr>
                <w:rFonts w:ascii="Arial" w:cs="Arial" w:eastAsia="Arial" w:hAnsi="Arial"/>
                <w:sz w:val="22"/>
                <w:szCs w:val="22"/>
                <w:b w:val="1"/>
                <w:bCs w:val="1"/>
                <w:color w:val="auto"/>
              </w:rPr>
              <w:t>DEFINITIONS AND INTERPRETATION RULES  2</w:t>
            </w:r>
          </w:p>
        </w:tc>
        <w:tc>
          <w:tcPr>
            <w:tcW w:w="680" w:type="dxa"/>
            <w:vAlign w:val="bottom"/>
          </w:tcPr>
          <w:p>
            <w:pPr>
              <w:spacing w:after="0"/>
              <w:rPr>
                <w:sz w:val="24"/>
                <w:szCs w:val="24"/>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1.1</w:t>
            </w:r>
          </w:p>
        </w:tc>
        <w:tc>
          <w:tcPr>
            <w:tcW w:w="1260" w:type="dxa"/>
            <w:vAlign w:val="bottom"/>
            <w:gridSpan w:val="3"/>
          </w:tcPr>
          <w:p>
            <w:pPr>
              <w:ind w:left="220"/>
              <w:spacing w:after="0"/>
              <w:rPr>
                <w:sz w:val="20"/>
                <w:szCs w:val="20"/>
                <w:color w:val="auto"/>
              </w:rPr>
            </w:pPr>
            <w:r>
              <w:rPr>
                <w:rFonts w:ascii="Arial" w:cs="Arial" w:eastAsia="Arial" w:hAnsi="Arial"/>
                <w:sz w:val="22"/>
                <w:szCs w:val="22"/>
                <w:color w:val="auto"/>
                <w:w w:val="99"/>
              </w:rPr>
              <w:t>Definitions</w:t>
            </w:r>
          </w:p>
        </w:tc>
        <w:tc>
          <w:tcPr>
            <w:tcW w:w="440" w:type="dxa"/>
            <w:vAlign w:val="bottom"/>
          </w:tcPr>
          <w:p>
            <w:pPr>
              <w:ind w:left="140"/>
              <w:spacing w:after="0"/>
              <w:rPr>
                <w:sz w:val="20"/>
                <w:szCs w:val="20"/>
                <w:color w:val="auto"/>
              </w:rPr>
            </w:pPr>
            <w:r>
              <w:rPr>
                <w:rFonts w:ascii="Arial" w:cs="Arial" w:eastAsia="Arial" w:hAnsi="Arial"/>
                <w:sz w:val="22"/>
                <w:szCs w:val="22"/>
                <w:color w:val="auto"/>
              </w:rPr>
              <w:t>2</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64"/>
        </w:trPr>
        <w:tc>
          <w:tcPr>
            <w:tcW w:w="920" w:type="dxa"/>
            <w:vAlign w:val="bottom"/>
          </w:tcPr>
          <w:p>
            <w:pPr>
              <w:ind w:left="320"/>
              <w:spacing w:after="0"/>
              <w:rPr>
                <w:sz w:val="20"/>
                <w:szCs w:val="20"/>
                <w:color w:val="auto"/>
              </w:rPr>
            </w:pPr>
            <w:r>
              <w:rPr>
                <w:rFonts w:ascii="Arial" w:cs="Arial" w:eastAsia="Arial" w:hAnsi="Arial"/>
                <w:sz w:val="22"/>
                <w:szCs w:val="22"/>
                <w:color w:val="auto"/>
              </w:rPr>
              <w:t>1.2</w:t>
            </w:r>
          </w:p>
        </w:tc>
        <w:tc>
          <w:tcPr>
            <w:tcW w:w="2240" w:type="dxa"/>
            <w:vAlign w:val="bottom"/>
            <w:gridSpan w:val="6"/>
          </w:tcPr>
          <w:p>
            <w:pPr>
              <w:ind w:left="220"/>
              <w:spacing w:after="0"/>
              <w:rPr>
                <w:sz w:val="20"/>
                <w:szCs w:val="20"/>
                <w:color w:val="auto"/>
              </w:rPr>
            </w:pPr>
            <w:r>
              <w:rPr>
                <w:rFonts w:ascii="Arial" w:cs="Arial" w:eastAsia="Arial" w:hAnsi="Arial"/>
                <w:sz w:val="22"/>
                <w:szCs w:val="22"/>
                <w:color w:val="auto"/>
                <w:w w:val="92"/>
              </w:rPr>
              <w:t>Rules of Interpretation</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rPr>
              <w:t>5</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4"/>
          </w:tcPr>
          <w:p>
            <w:pPr>
              <w:jc w:val="center"/>
              <w:ind w:left="12"/>
              <w:spacing w:after="0"/>
              <w:rPr>
                <w:sz w:val="20"/>
                <w:szCs w:val="20"/>
                <w:color w:val="auto"/>
              </w:rPr>
            </w:pPr>
            <w:r>
              <w:rPr>
                <w:rFonts w:ascii="Arial" w:cs="Arial" w:eastAsia="Arial" w:hAnsi="Arial"/>
                <w:sz w:val="22"/>
                <w:szCs w:val="22"/>
                <w:b w:val="1"/>
                <w:bCs w:val="1"/>
                <w:color w:val="auto"/>
              </w:rPr>
              <w:t>ARTICLE 2</w:t>
            </w:r>
          </w:p>
        </w:tc>
        <w:tc>
          <w:tcPr>
            <w:tcW w:w="6520" w:type="dxa"/>
            <w:vAlign w:val="bottom"/>
            <w:gridSpan w:val="6"/>
          </w:tcPr>
          <w:p>
            <w:pPr>
              <w:jc w:val="center"/>
              <w:spacing w:after="0"/>
              <w:rPr>
                <w:sz w:val="20"/>
                <w:szCs w:val="20"/>
                <w:color w:val="auto"/>
              </w:rPr>
            </w:pPr>
            <w:r>
              <w:rPr>
                <w:rFonts w:ascii="Arial" w:cs="Arial" w:eastAsia="Arial" w:hAnsi="Arial"/>
                <w:sz w:val="22"/>
                <w:szCs w:val="22"/>
                <w:b w:val="1"/>
                <w:bCs w:val="1"/>
                <w:color w:val="auto"/>
                <w:w w:val="99"/>
              </w:rPr>
              <w:t>SUBSCRIPTION AND TRANSFER OF REGISTERED CAPITAL  6</w:t>
            </w: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2.1</w:t>
            </w:r>
          </w:p>
        </w:tc>
        <w:tc>
          <w:tcPr>
            <w:tcW w:w="7860" w:type="dxa"/>
            <w:vAlign w:val="bottom"/>
            <w:gridSpan w:val="10"/>
          </w:tcPr>
          <w:p>
            <w:pPr>
              <w:ind w:left="220"/>
              <w:spacing w:after="0"/>
              <w:rPr>
                <w:sz w:val="20"/>
                <w:szCs w:val="20"/>
                <w:color w:val="auto"/>
              </w:rPr>
            </w:pPr>
            <w:r>
              <w:rPr>
                <w:rFonts w:ascii="Arial" w:cs="Arial" w:eastAsia="Arial" w:hAnsi="Arial"/>
                <w:sz w:val="22"/>
                <w:szCs w:val="22"/>
                <w:color w:val="auto"/>
              </w:rPr>
              <w:t>Capital Contributions of Investor D, Investor E and Investor F  6</w:t>
            </w: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2.2</w:t>
            </w:r>
          </w:p>
        </w:tc>
        <w:tc>
          <w:tcPr>
            <w:tcW w:w="2960" w:type="dxa"/>
            <w:vAlign w:val="bottom"/>
            <w:gridSpan w:val="8"/>
          </w:tcPr>
          <w:p>
            <w:pPr>
              <w:ind w:left="220"/>
              <w:spacing w:after="0"/>
              <w:rPr>
                <w:sz w:val="20"/>
                <w:szCs w:val="20"/>
                <w:color w:val="auto"/>
              </w:rPr>
            </w:pPr>
            <w:r>
              <w:rPr>
                <w:rFonts w:ascii="Arial" w:cs="Arial" w:eastAsia="Arial" w:hAnsi="Arial"/>
                <w:sz w:val="22"/>
                <w:szCs w:val="22"/>
                <w:color w:val="auto"/>
                <w:w w:val="93"/>
              </w:rPr>
              <w:t>Timing of Capital Contribution</w:t>
            </w:r>
          </w:p>
        </w:tc>
        <w:tc>
          <w:tcPr>
            <w:tcW w:w="560" w:type="dxa"/>
            <w:vAlign w:val="bottom"/>
          </w:tcPr>
          <w:p>
            <w:pPr>
              <w:jc w:val="right"/>
              <w:ind w:right="172"/>
              <w:spacing w:after="0"/>
              <w:rPr>
                <w:sz w:val="20"/>
                <w:szCs w:val="20"/>
                <w:color w:val="auto"/>
              </w:rPr>
            </w:pPr>
            <w:r>
              <w:rPr>
                <w:rFonts w:ascii="Arial" w:cs="Arial" w:eastAsia="Arial" w:hAnsi="Arial"/>
                <w:sz w:val="22"/>
                <w:szCs w:val="22"/>
                <w:color w:val="auto"/>
              </w:rPr>
              <w:t>6</w:t>
            </w: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64"/>
        </w:trPr>
        <w:tc>
          <w:tcPr>
            <w:tcW w:w="920" w:type="dxa"/>
            <w:vAlign w:val="bottom"/>
          </w:tcPr>
          <w:p>
            <w:pPr>
              <w:ind w:left="320"/>
              <w:spacing w:after="0"/>
              <w:rPr>
                <w:sz w:val="20"/>
                <w:szCs w:val="20"/>
                <w:color w:val="auto"/>
              </w:rPr>
            </w:pPr>
            <w:r>
              <w:rPr>
                <w:rFonts w:ascii="Arial" w:cs="Arial" w:eastAsia="Arial" w:hAnsi="Arial"/>
                <w:sz w:val="22"/>
                <w:szCs w:val="22"/>
                <w:color w:val="auto"/>
              </w:rPr>
              <w:t>2.3</w:t>
            </w:r>
          </w:p>
        </w:tc>
        <w:tc>
          <w:tcPr>
            <w:tcW w:w="2020" w:type="dxa"/>
            <w:vAlign w:val="bottom"/>
            <w:gridSpan w:val="5"/>
          </w:tcPr>
          <w:p>
            <w:pPr>
              <w:ind w:left="220"/>
              <w:spacing w:after="0"/>
              <w:rPr>
                <w:sz w:val="20"/>
                <w:szCs w:val="20"/>
                <w:color w:val="auto"/>
              </w:rPr>
            </w:pPr>
            <w:r>
              <w:rPr>
                <w:rFonts w:ascii="Arial" w:cs="Arial" w:eastAsia="Arial" w:hAnsi="Arial"/>
                <w:sz w:val="22"/>
                <w:szCs w:val="22"/>
                <w:color w:val="auto"/>
                <w:w w:val="98"/>
              </w:rPr>
              <w:t>Registered Capital</w:t>
            </w:r>
          </w:p>
        </w:tc>
        <w:tc>
          <w:tcPr>
            <w:tcW w:w="220" w:type="dxa"/>
            <w:vAlign w:val="bottom"/>
          </w:tcPr>
          <w:p>
            <w:pPr>
              <w:jc w:val="right"/>
              <w:spacing w:after="0"/>
              <w:rPr>
                <w:sz w:val="20"/>
                <w:szCs w:val="20"/>
                <w:color w:val="auto"/>
              </w:rPr>
            </w:pPr>
            <w:r>
              <w:rPr>
                <w:rFonts w:ascii="Arial" w:cs="Arial" w:eastAsia="Arial" w:hAnsi="Arial"/>
                <w:sz w:val="22"/>
                <w:szCs w:val="22"/>
                <w:color w:val="auto"/>
                <w:w w:val="81"/>
              </w:rPr>
              <w:t>6</w:t>
            </w: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22"/>
                <w:szCs w:val="22"/>
                <w:b w:val="1"/>
                <w:bCs w:val="1"/>
                <w:color w:val="auto"/>
              </w:rPr>
              <w:t>ARTICLE 3</w:t>
            </w:r>
          </w:p>
        </w:tc>
        <w:tc>
          <w:tcPr>
            <w:tcW w:w="5620" w:type="dxa"/>
            <w:vAlign w:val="bottom"/>
            <w:gridSpan w:val="4"/>
          </w:tcPr>
          <w:p>
            <w:pPr>
              <w:jc w:val="right"/>
              <w:spacing w:after="0"/>
              <w:rPr>
                <w:sz w:val="20"/>
                <w:szCs w:val="20"/>
                <w:color w:val="auto"/>
              </w:rPr>
            </w:pPr>
            <w:r>
              <w:rPr>
                <w:rFonts w:ascii="Arial" w:cs="Arial" w:eastAsia="Arial" w:hAnsi="Arial"/>
                <w:sz w:val="22"/>
                <w:szCs w:val="22"/>
                <w:b w:val="1"/>
                <w:bCs w:val="1"/>
                <w:color w:val="auto"/>
              </w:rPr>
              <w:t>CAPITAL CONTRIBUTION OF INVESTING PARTIES</w:t>
            </w:r>
          </w:p>
        </w:tc>
        <w:tc>
          <w:tcPr>
            <w:tcW w:w="680" w:type="dxa"/>
            <w:vAlign w:val="bottom"/>
          </w:tcPr>
          <w:p>
            <w:pPr>
              <w:jc w:val="right"/>
              <w:ind w:right="332"/>
              <w:spacing w:after="0"/>
              <w:rPr>
                <w:sz w:val="20"/>
                <w:szCs w:val="20"/>
                <w:color w:val="auto"/>
              </w:rPr>
            </w:pPr>
            <w:r>
              <w:rPr>
                <w:rFonts w:ascii="Arial" w:cs="Arial" w:eastAsia="Arial" w:hAnsi="Arial"/>
                <w:sz w:val="22"/>
                <w:szCs w:val="22"/>
                <w:b w:val="1"/>
                <w:bCs w:val="1"/>
                <w:color w:val="auto"/>
              </w:rPr>
              <w:t>7</w:t>
            </w: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3.1</w:t>
            </w:r>
          </w:p>
        </w:tc>
        <w:tc>
          <w:tcPr>
            <w:tcW w:w="2020" w:type="dxa"/>
            <w:vAlign w:val="bottom"/>
            <w:gridSpan w:val="5"/>
          </w:tcPr>
          <w:p>
            <w:pPr>
              <w:ind w:left="220"/>
              <w:spacing w:after="0"/>
              <w:rPr>
                <w:sz w:val="20"/>
                <w:szCs w:val="20"/>
                <w:color w:val="auto"/>
              </w:rPr>
            </w:pPr>
            <w:r>
              <w:rPr>
                <w:rFonts w:ascii="Arial" w:cs="Arial" w:eastAsia="Arial" w:hAnsi="Arial"/>
                <w:sz w:val="22"/>
                <w:szCs w:val="22"/>
                <w:color w:val="auto"/>
                <w:w w:val="93"/>
              </w:rPr>
              <w:t>Closing Conditions.</w:t>
            </w:r>
          </w:p>
        </w:tc>
        <w:tc>
          <w:tcPr>
            <w:tcW w:w="640" w:type="dxa"/>
            <w:vAlign w:val="bottom"/>
            <w:gridSpan w:val="2"/>
          </w:tcPr>
          <w:p>
            <w:pPr>
              <w:ind w:left="140"/>
              <w:spacing w:after="0"/>
              <w:rPr>
                <w:sz w:val="20"/>
                <w:szCs w:val="20"/>
                <w:color w:val="auto"/>
              </w:rPr>
            </w:pPr>
            <w:r>
              <w:rPr>
                <w:rFonts w:ascii="Arial" w:cs="Arial" w:eastAsia="Arial" w:hAnsi="Arial"/>
                <w:sz w:val="22"/>
                <w:szCs w:val="22"/>
                <w:color w:val="auto"/>
              </w:rPr>
              <w:t>7</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3.2</w:t>
            </w:r>
          </w:p>
        </w:tc>
        <w:tc>
          <w:tcPr>
            <w:tcW w:w="980" w:type="dxa"/>
            <w:vAlign w:val="bottom"/>
            <w:gridSpan w:val="2"/>
          </w:tcPr>
          <w:p>
            <w:pPr>
              <w:ind w:left="220"/>
              <w:spacing w:after="0"/>
              <w:rPr>
                <w:sz w:val="20"/>
                <w:szCs w:val="20"/>
                <w:color w:val="auto"/>
              </w:rPr>
            </w:pPr>
            <w:r>
              <w:rPr>
                <w:rFonts w:ascii="Arial" w:cs="Arial" w:eastAsia="Arial" w:hAnsi="Arial"/>
                <w:sz w:val="22"/>
                <w:szCs w:val="22"/>
                <w:color w:val="auto"/>
              </w:rPr>
              <w:t>Closing</w:t>
            </w:r>
          </w:p>
        </w:tc>
        <w:tc>
          <w:tcPr>
            <w:tcW w:w="280" w:type="dxa"/>
            <w:vAlign w:val="bottom"/>
          </w:tcPr>
          <w:p>
            <w:pPr>
              <w:jc w:val="right"/>
              <w:spacing w:after="0"/>
              <w:rPr>
                <w:sz w:val="20"/>
                <w:szCs w:val="20"/>
                <w:color w:val="auto"/>
              </w:rPr>
            </w:pPr>
            <w:r>
              <w:rPr>
                <w:rFonts w:ascii="Arial" w:cs="Arial" w:eastAsia="Arial" w:hAnsi="Arial"/>
                <w:sz w:val="22"/>
                <w:szCs w:val="22"/>
                <w:color w:val="auto"/>
              </w:rPr>
              <w:t>7</w:t>
            </w: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64"/>
        </w:trPr>
        <w:tc>
          <w:tcPr>
            <w:tcW w:w="920" w:type="dxa"/>
            <w:vAlign w:val="bottom"/>
          </w:tcPr>
          <w:p>
            <w:pPr>
              <w:ind w:left="320"/>
              <w:spacing w:after="0"/>
              <w:rPr>
                <w:sz w:val="20"/>
                <w:szCs w:val="20"/>
                <w:color w:val="auto"/>
              </w:rPr>
            </w:pPr>
            <w:r>
              <w:rPr>
                <w:rFonts w:ascii="Arial" w:cs="Arial" w:eastAsia="Arial" w:hAnsi="Arial"/>
                <w:sz w:val="22"/>
                <w:szCs w:val="22"/>
                <w:color w:val="auto"/>
              </w:rPr>
              <w:t>3.3</w:t>
            </w:r>
          </w:p>
        </w:tc>
        <w:tc>
          <w:tcPr>
            <w:tcW w:w="2960" w:type="dxa"/>
            <w:vAlign w:val="bottom"/>
            <w:gridSpan w:val="8"/>
          </w:tcPr>
          <w:p>
            <w:pPr>
              <w:ind w:left="220"/>
              <w:spacing w:after="0"/>
              <w:rPr>
                <w:sz w:val="20"/>
                <w:szCs w:val="20"/>
                <w:color w:val="auto"/>
              </w:rPr>
            </w:pPr>
            <w:r>
              <w:rPr>
                <w:rFonts w:ascii="Arial" w:cs="Arial" w:eastAsia="Arial" w:hAnsi="Arial"/>
                <w:sz w:val="22"/>
                <w:szCs w:val="22"/>
                <w:color w:val="auto"/>
                <w:w w:val="93"/>
              </w:rPr>
              <w:t>Rights of the Investing Parties</w:t>
            </w:r>
          </w:p>
        </w:tc>
        <w:tc>
          <w:tcPr>
            <w:tcW w:w="560" w:type="dxa"/>
            <w:vAlign w:val="bottom"/>
          </w:tcPr>
          <w:p>
            <w:pPr>
              <w:jc w:val="right"/>
              <w:ind w:right="252"/>
              <w:spacing w:after="0"/>
              <w:rPr>
                <w:sz w:val="20"/>
                <w:szCs w:val="20"/>
                <w:color w:val="auto"/>
              </w:rPr>
            </w:pPr>
            <w:r>
              <w:rPr>
                <w:rFonts w:ascii="Arial" w:cs="Arial" w:eastAsia="Arial" w:hAnsi="Arial"/>
                <w:sz w:val="22"/>
                <w:szCs w:val="22"/>
                <w:color w:val="auto"/>
              </w:rPr>
              <w:t>8</w:t>
            </w:r>
          </w:p>
        </w:tc>
        <w:tc>
          <w:tcPr>
            <w:tcW w:w="43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22"/>
                <w:szCs w:val="22"/>
                <w:b w:val="1"/>
                <w:bCs w:val="1"/>
                <w:color w:val="auto"/>
              </w:rPr>
              <w:t>ARTICLE 4</w:t>
            </w:r>
          </w:p>
        </w:tc>
        <w:tc>
          <w:tcPr>
            <w:tcW w:w="3200" w:type="dxa"/>
            <w:vAlign w:val="bottom"/>
            <w:gridSpan w:val="8"/>
          </w:tcPr>
          <w:p>
            <w:pPr>
              <w:ind w:left="120"/>
              <w:spacing w:after="0"/>
              <w:rPr>
                <w:sz w:val="20"/>
                <w:szCs w:val="20"/>
                <w:color w:val="auto"/>
              </w:rPr>
            </w:pPr>
            <w:r>
              <w:rPr>
                <w:rFonts w:ascii="Arial" w:cs="Arial" w:eastAsia="Arial" w:hAnsi="Arial"/>
                <w:sz w:val="22"/>
                <w:szCs w:val="22"/>
                <w:b w:val="1"/>
                <w:bCs w:val="1"/>
                <w:color w:val="auto"/>
              </w:rPr>
              <w:t>SHAREHOLDERS’ MEETING</w:t>
            </w:r>
          </w:p>
        </w:tc>
        <w:tc>
          <w:tcPr>
            <w:tcW w:w="4340" w:type="dxa"/>
            <w:vAlign w:val="bottom"/>
          </w:tcPr>
          <w:p>
            <w:pPr>
              <w:jc w:val="center"/>
              <w:ind w:right="3932"/>
              <w:spacing w:after="0"/>
              <w:rPr>
                <w:sz w:val="20"/>
                <w:szCs w:val="20"/>
                <w:color w:val="auto"/>
              </w:rPr>
            </w:pPr>
            <w:r>
              <w:rPr>
                <w:rFonts w:ascii="Arial" w:cs="Arial" w:eastAsia="Arial" w:hAnsi="Arial"/>
                <w:sz w:val="22"/>
                <w:szCs w:val="22"/>
                <w:b w:val="1"/>
                <w:bCs w:val="1"/>
                <w:color w:val="auto"/>
                <w:w w:val="81"/>
              </w:rPr>
              <w:t>8</w:t>
            </w:r>
          </w:p>
        </w:tc>
        <w:tc>
          <w:tcPr>
            <w:tcW w:w="680" w:type="dxa"/>
            <w:vAlign w:val="bottom"/>
          </w:tcPr>
          <w:p>
            <w:pPr>
              <w:spacing w:after="0"/>
              <w:rPr>
                <w:sz w:val="24"/>
                <w:szCs w:val="24"/>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4.1</w:t>
            </w:r>
          </w:p>
        </w:tc>
        <w:tc>
          <w:tcPr>
            <w:tcW w:w="980" w:type="dxa"/>
            <w:vAlign w:val="bottom"/>
            <w:gridSpan w:val="2"/>
          </w:tcPr>
          <w:p>
            <w:pPr>
              <w:ind w:left="220"/>
              <w:spacing w:after="0"/>
              <w:rPr>
                <w:sz w:val="20"/>
                <w:szCs w:val="20"/>
                <w:color w:val="auto"/>
              </w:rPr>
            </w:pPr>
            <w:r>
              <w:rPr>
                <w:rFonts w:ascii="Arial" w:cs="Arial" w:eastAsia="Arial" w:hAnsi="Arial"/>
                <w:sz w:val="22"/>
                <w:szCs w:val="22"/>
                <w:color w:val="auto"/>
                <w:w w:val="93"/>
              </w:rPr>
              <w:t>Quorum</w:t>
            </w:r>
          </w:p>
        </w:tc>
        <w:tc>
          <w:tcPr>
            <w:tcW w:w="280" w:type="dxa"/>
            <w:vAlign w:val="bottom"/>
          </w:tcPr>
          <w:p>
            <w:pPr>
              <w:jc w:val="right"/>
              <w:spacing w:after="0"/>
              <w:rPr>
                <w:sz w:val="20"/>
                <w:szCs w:val="20"/>
                <w:color w:val="auto"/>
              </w:rPr>
            </w:pPr>
            <w:r>
              <w:rPr>
                <w:rFonts w:ascii="Arial" w:cs="Arial" w:eastAsia="Arial" w:hAnsi="Arial"/>
                <w:sz w:val="22"/>
                <w:szCs w:val="22"/>
                <w:color w:val="auto"/>
              </w:rPr>
              <w:t>8</w:t>
            </w: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4.2</w:t>
            </w:r>
          </w:p>
        </w:tc>
        <w:tc>
          <w:tcPr>
            <w:tcW w:w="3520" w:type="dxa"/>
            <w:vAlign w:val="bottom"/>
            <w:gridSpan w:val="9"/>
          </w:tcPr>
          <w:p>
            <w:pPr>
              <w:ind w:left="220"/>
              <w:spacing w:after="0"/>
              <w:rPr>
                <w:sz w:val="20"/>
                <w:szCs w:val="20"/>
                <w:color w:val="auto"/>
              </w:rPr>
            </w:pPr>
            <w:r>
              <w:rPr>
                <w:rFonts w:ascii="Arial" w:cs="Arial" w:eastAsia="Arial" w:hAnsi="Arial"/>
                <w:sz w:val="22"/>
                <w:szCs w:val="22"/>
                <w:color w:val="auto"/>
                <w:w w:val="92"/>
              </w:rPr>
              <w:t>Resolution of Shareholders’ Meeting</w:t>
            </w:r>
          </w:p>
        </w:tc>
        <w:tc>
          <w:tcPr>
            <w:tcW w:w="4340" w:type="dxa"/>
            <w:vAlign w:val="bottom"/>
          </w:tcPr>
          <w:p>
            <w:pPr>
              <w:jc w:val="center"/>
              <w:ind w:right="3912"/>
              <w:spacing w:after="0"/>
              <w:rPr>
                <w:sz w:val="20"/>
                <w:szCs w:val="20"/>
                <w:color w:val="auto"/>
              </w:rPr>
            </w:pPr>
            <w:r>
              <w:rPr>
                <w:rFonts w:ascii="Arial" w:cs="Arial" w:eastAsia="Arial" w:hAnsi="Arial"/>
                <w:sz w:val="22"/>
                <w:szCs w:val="22"/>
                <w:color w:val="auto"/>
                <w:w w:val="97"/>
              </w:rPr>
              <w:t>8</w:t>
            </w: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4.3</w:t>
            </w:r>
          </w:p>
        </w:tc>
        <w:tc>
          <w:tcPr>
            <w:tcW w:w="2240" w:type="dxa"/>
            <w:vAlign w:val="bottom"/>
            <w:gridSpan w:val="6"/>
          </w:tcPr>
          <w:p>
            <w:pPr>
              <w:ind w:left="220"/>
              <w:spacing w:after="0"/>
              <w:rPr>
                <w:sz w:val="20"/>
                <w:szCs w:val="20"/>
                <w:color w:val="auto"/>
              </w:rPr>
            </w:pPr>
            <w:r>
              <w:rPr>
                <w:rFonts w:ascii="Arial" w:cs="Arial" w:eastAsia="Arial" w:hAnsi="Arial"/>
                <w:sz w:val="22"/>
                <w:szCs w:val="22"/>
                <w:color w:val="auto"/>
                <w:w w:val="97"/>
              </w:rPr>
              <w:t>Ordinary Resolutions</w:t>
            </w:r>
          </w:p>
        </w:tc>
        <w:tc>
          <w:tcPr>
            <w:tcW w:w="420" w:type="dxa"/>
            <w:vAlign w:val="bottom"/>
          </w:tcPr>
          <w:p>
            <w:pPr>
              <w:jc w:val="right"/>
              <w:ind w:right="172"/>
              <w:spacing w:after="0"/>
              <w:rPr>
                <w:sz w:val="20"/>
                <w:szCs w:val="20"/>
                <w:color w:val="auto"/>
              </w:rPr>
            </w:pPr>
            <w:r>
              <w:rPr>
                <w:rFonts w:ascii="Arial" w:cs="Arial" w:eastAsia="Arial" w:hAnsi="Arial"/>
                <w:sz w:val="22"/>
                <w:szCs w:val="22"/>
                <w:color w:val="auto"/>
                <w:w w:val="97"/>
              </w:rPr>
              <w:t>8</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4.4</w:t>
            </w:r>
          </w:p>
        </w:tc>
        <w:tc>
          <w:tcPr>
            <w:tcW w:w="2020" w:type="dxa"/>
            <w:vAlign w:val="bottom"/>
            <w:gridSpan w:val="5"/>
          </w:tcPr>
          <w:p>
            <w:pPr>
              <w:ind w:left="220"/>
              <w:spacing w:after="0"/>
              <w:rPr>
                <w:sz w:val="20"/>
                <w:szCs w:val="20"/>
                <w:color w:val="auto"/>
              </w:rPr>
            </w:pPr>
            <w:r>
              <w:rPr>
                <w:rFonts w:ascii="Arial" w:cs="Arial" w:eastAsia="Arial" w:hAnsi="Arial"/>
                <w:sz w:val="22"/>
                <w:szCs w:val="22"/>
                <w:color w:val="auto"/>
                <w:w w:val="92"/>
              </w:rPr>
              <w:t>Special Resolutions</w:t>
            </w:r>
          </w:p>
        </w:tc>
        <w:tc>
          <w:tcPr>
            <w:tcW w:w="220" w:type="dxa"/>
            <w:vAlign w:val="bottom"/>
          </w:tcPr>
          <w:p>
            <w:pPr>
              <w:jc w:val="right"/>
              <w:spacing w:after="0"/>
              <w:rPr>
                <w:sz w:val="20"/>
                <w:szCs w:val="20"/>
                <w:color w:val="auto"/>
              </w:rPr>
            </w:pPr>
            <w:r>
              <w:rPr>
                <w:rFonts w:ascii="Arial" w:cs="Arial" w:eastAsia="Arial" w:hAnsi="Arial"/>
                <w:sz w:val="22"/>
                <w:szCs w:val="22"/>
                <w:color w:val="auto"/>
              </w:rPr>
              <w:t>9</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4.5</w:t>
            </w:r>
          </w:p>
        </w:tc>
        <w:tc>
          <w:tcPr>
            <w:tcW w:w="7860" w:type="dxa"/>
            <w:vAlign w:val="bottom"/>
            <w:gridSpan w:val="10"/>
          </w:tcPr>
          <w:p>
            <w:pPr>
              <w:ind w:left="220"/>
              <w:spacing w:after="0"/>
              <w:rPr>
                <w:sz w:val="20"/>
                <w:szCs w:val="20"/>
                <w:color w:val="auto"/>
              </w:rPr>
            </w:pPr>
            <w:r>
              <w:rPr>
                <w:rFonts w:ascii="Arial" w:cs="Arial" w:eastAsia="Arial" w:hAnsi="Arial"/>
                <w:sz w:val="22"/>
                <w:szCs w:val="22"/>
                <w:color w:val="auto"/>
              </w:rPr>
              <w:t>The Initial Meeting of the Shareholders’ Meeting  9</w:t>
            </w: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4.6</w:t>
            </w:r>
          </w:p>
        </w:tc>
        <w:tc>
          <w:tcPr>
            <w:tcW w:w="1700" w:type="dxa"/>
            <w:vAlign w:val="bottom"/>
            <w:gridSpan w:val="4"/>
          </w:tcPr>
          <w:p>
            <w:pPr>
              <w:ind w:left="220"/>
              <w:spacing w:after="0"/>
              <w:rPr>
                <w:sz w:val="20"/>
                <w:szCs w:val="20"/>
                <w:color w:val="auto"/>
              </w:rPr>
            </w:pPr>
            <w:r>
              <w:rPr>
                <w:rFonts w:ascii="Arial" w:cs="Arial" w:eastAsia="Arial" w:hAnsi="Arial"/>
                <w:sz w:val="22"/>
                <w:szCs w:val="22"/>
                <w:color w:val="auto"/>
                <w:w w:val="90"/>
              </w:rPr>
              <w:t>Regular Meeting</w:t>
            </w:r>
          </w:p>
        </w:tc>
        <w:tc>
          <w:tcPr>
            <w:tcW w:w="320" w:type="dxa"/>
            <w:vAlign w:val="bottom"/>
          </w:tcPr>
          <w:p>
            <w:pPr>
              <w:jc w:val="right"/>
              <w:spacing w:after="0"/>
              <w:rPr>
                <w:sz w:val="20"/>
                <w:szCs w:val="20"/>
                <w:color w:val="auto"/>
              </w:rPr>
            </w:pPr>
            <w:r>
              <w:rPr>
                <w:rFonts w:ascii="Arial" w:cs="Arial" w:eastAsia="Arial" w:hAnsi="Arial"/>
                <w:sz w:val="22"/>
                <w:szCs w:val="22"/>
                <w:color w:val="auto"/>
              </w:rPr>
              <w:t>9</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4.7</w:t>
            </w:r>
          </w:p>
        </w:tc>
        <w:tc>
          <w:tcPr>
            <w:tcW w:w="1700" w:type="dxa"/>
            <w:vAlign w:val="bottom"/>
            <w:gridSpan w:val="4"/>
          </w:tcPr>
          <w:p>
            <w:pPr>
              <w:ind w:left="220"/>
              <w:spacing w:after="0"/>
              <w:rPr>
                <w:sz w:val="20"/>
                <w:szCs w:val="20"/>
                <w:color w:val="auto"/>
              </w:rPr>
            </w:pPr>
            <w:r>
              <w:rPr>
                <w:rFonts w:ascii="Arial" w:cs="Arial" w:eastAsia="Arial" w:hAnsi="Arial"/>
                <w:sz w:val="22"/>
                <w:szCs w:val="22"/>
                <w:color w:val="auto"/>
                <w:w w:val="96"/>
              </w:rPr>
              <w:t>Interim Meeting</w:t>
            </w:r>
          </w:p>
        </w:tc>
        <w:tc>
          <w:tcPr>
            <w:tcW w:w="320" w:type="dxa"/>
            <w:vAlign w:val="bottom"/>
          </w:tcPr>
          <w:p>
            <w:pPr>
              <w:jc w:val="right"/>
              <w:spacing w:after="0"/>
              <w:rPr>
                <w:sz w:val="20"/>
                <w:szCs w:val="20"/>
                <w:color w:val="auto"/>
              </w:rPr>
            </w:pPr>
            <w:r>
              <w:rPr>
                <w:rFonts w:ascii="Arial" w:cs="Arial" w:eastAsia="Arial" w:hAnsi="Arial"/>
                <w:sz w:val="22"/>
                <w:szCs w:val="22"/>
                <w:color w:val="auto"/>
              </w:rPr>
              <w:t>9</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4.8</w:t>
            </w:r>
          </w:p>
        </w:tc>
        <w:tc>
          <w:tcPr>
            <w:tcW w:w="2960" w:type="dxa"/>
            <w:vAlign w:val="bottom"/>
            <w:gridSpan w:val="8"/>
          </w:tcPr>
          <w:p>
            <w:pPr>
              <w:ind w:left="220"/>
              <w:spacing w:after="0"/>
              <w:rPr>
                <w:sz w:val="20"/>
                <w:szCs w:val="20"/>
                <w:color w:val="auto"/>
              </w:rPr>
            </w:pPr>
            <w:r>
              <w:rPr>
                <w:rFonts w:ascii="Arial" w:cs="Arial" w:eastAsia="Arial" w:hAnsi="Arial"/>
                <w:sz w:val="22"/>
                <w:szCs w:val="22"/>
                <w:color w:val="auto"/>
                <w:w w:val="95"/>
              </w:rPr>
              <w:t>Place and Method of Meeting</w:t>
            </w:r>
          </w:p>
        </w:tc>
        <w:tc>
          <w:tcPr>
            <w:tcW w:w="560" w:type="dxa"/>
            <w:vAlign w:val="bottom"/>
          </w:tcPr>
          <w:p>
            <w:pPr>
              <w:jc w:val="right"/>
              <w:ind w:right="312"/>
              <w:spacing w:after="0"/>
              <w:rPr>
                <w:sz w:val="20"/>
                <w:szCs w:val="20"/>
                <w:color w:val="auto"/>
              </w:rPr>
            </w:pPr>
            <w:r>
              <w:rPr>
                <w:rFonts w:ascii="Arial" w:cs="Arial" w:eastAsia="Arial" w:hAnsi="Arial"/>
                <w:sz w:val="22"/>
                <w:szCs w:val="22"/>
                <w:color w:val="auto"/>
                <w:w w:val="97"/>
              </w:rPr>
              <w:t>9</w:t>
            </w: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4.9</w:t>
            </w:r>
          </w:p>
        </w:tc>
        <w:tc>
          <w:tcPr>
            <w:tcW w:w="2240" w:type="dxa"/>
            <w:vAlign w:val="bottom"/>
            <w:gridSpan w:val="6"/>
          </w:tcPr>
          <w:p>
            <w:pPr>
              <w:ind w:left="220"/>
              <w:spacing w:after="0"/>
              <w:rPr>
                <w:sz w:val="20"/>
                <w:szCs w:val="20"/>
                <w:color w:val="auto"/>
              </w:rPr>
            </w:pPr>
            <w:r>
              <w:rPr>
                <w:rFonts w:ascii="Arial" w:cs="Arial" w:eastAsia="Arial" w:hAnsi="Arial"/>
                <w:sz w:val="22"/>
                <w:szCs w:val="22"/>
                <w:color w:val="auto"/>
                <w:w w:val="93"/>
              </w:rPr>
              <w:t>Attending the Meeting</w:t>
            </w:r>
          </w:p>
        </w:tc>
        <w:tc>
          <w:tcPr>
            <w:tcW w:w="420" w:type="dxa"/>
            <w:vAlign w:val="bottom"/>
          </w:tcPr>
          <w:p>
            <w:pPr>
              <w:jc w:val="right"/>
              <w:spacing w:after="0"/>
              <w:rPr>
                <w:sz w:val="20"/>
                <w:szCs w:val="20"/>
                <w:color w:val="auto"/>
              </w:rPr>
            </w:pPr>
            <w:r>
              <w:rPr>
                <w:rFonts w:ascii="Arial" w:cs="Arial" w:eastAsia="Arial" w:hAnsi="Arial"/>
                <w:sz w:val="22"/>
                <w:szCs w:val="22"/>
                <w:color w:val="auto"/>
              </w:rPr>
              <w:t>10</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4.10</w:t>
            </w:r>
          </w:p>
        </w:tc>
        <w:tc>
          <w:tcPr>
            <w:tcW w:w="980" w:type="dxa"/>
            <w:vAlign w:val="bottom"/>
            <w:gridSpan w:val="2"/>
          </w:tcPr>
          <w:p>
            <w:pPr>
              <w:ind w:left="220"/>
              <w:spacing w:after="0"/>
              <w:rPr>
                <w:sz w:val="20"/>
                <w:szCs w:val="20"/>
                <w:color w:val="auto"/>
              </w:rPr>
            </w:pPr>
            <w:r>
              <w:rPr>
                <w:rFonts w:ascii="Arial" w:cs="Arial" w:eastAsia="Arial" w:hAnsi="Arial"/>
                <w:sz w:val="22"/>
                <w:szCs w:val="22"/>
                <w:color w:val="auto"/>
              </w:rPr>
              <w:t>Notice</w:t>
            </w:r>
          </w:p>
        </w:tc>
        <w:tc>
          <w:tcPr>
            <w:tcW w:w="280" w:type="dxa"/>
            <w:vAlign w:val="bottom"/>
          </w:tcPr>
          <w:p>
            <w:pPr>
              <w:jc w:val="right"/>
              <w:spacing w:after="0"/>
              <w:rPr>
                <w:sz w:val="20"/>
                <w:szCs w:val="20"/>
                <w:color w:val="auto"/>
              </w:rPr>
            </w:pPr>
            <w:r>
              <w:rPr>
                <w:rFonts w:ascii="Arial" w:cs="Arial" w:eastAsia="Arial" w:hAnsi="Arial"/>
                <w:sz w:val="22"/>
                <w:szCs w:val="22"/>
                <w:color w:val="auto"/>
                <w:w w:val="89"/>
              </w:rPr>
              <w:t>10</w:t>
            </w: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4.11</w:t>
            </w:r>
          </w:p>
        </w:tc>
        <w:tc>
          <w:tcPr>
            <w:tcW w:w="1700" w:type="dxa"/>
            <w:vAlign w:val="bottom"/>
            <w:gridSpan w:val="4"/>
          </w:tcPr>
          <w:p>
            <w:pPr>
              <w:ind w:left="200"/>
              <w:spacing w:after="0"/>
              <w:rPr>
                <w:sz w:val="20"/>
                <w:szCs w:val="20"/>
                <w:color w:val="auto"/>
              </w:rPr>
            </w:pPr>
            <w:r>
              <w:rPr>
                <w:rFonts w:ascii="Arial" w:cs="Arial" w:eastAsia="Arial" w:hAnsi="Arial"/>
                <w:sz w:val="22"/>
                <w:szCs w:val="22"/>
                <w:color w:val="auto"/>
                <w:w w:val="91"/>
              </w:rPr>
              <w:t>Meeting Minutes</w:t>
            </w:r>
          </w:p>
        </w:tc>
        <w:tc>
          <w:tcPr>
            <w:tcW w:w="540" w:type="dxa"/>
            <w:vAlign w:val="bottom"/>
            <w:gridSpan w:val="2"/>
          </w:tcPr>
          <w:p>
            <w:pPr>
              <w:jc w:val="right"/>
              <w:ind w:right="12"/>
              <w:spacing w:after="0"/>
              <w:rPr>
                <w:sz w:val="20"/>
                <w:szCs w:val="20"/>
                <w:color w:val="auto"/>
              </w:rPr>
            </w:pPr>
            <w:r>
              <w:rPr>
                <w:rFonts w:ascii="Arial" w:cs="Arial" w:eastAsia="Arial" w:hAnsi="Arial"/>
                <w:sz w:val="22"/>
                <w:szCs w:val="22"/>
                <w:color w:val="auto"/>
              </w:rPr>
              <w:t>10</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64"/>
        </w:trPr>
        <w:tc>
          <w:tcPr>
            <w:tcW w:w="920" w:type="dxa"/>
            <w:vAlign w:val="bottom"/>
          </w:tcPr>
          <w:p>
            <w:pPr>
              <w:ind w:left="320"/>
              <w:spacing w:after="0"/>
              <w:rPr>
                <w:sz w:val="20"/>
                <w:szCs w:val="20"/>
                <w:color w:val="auto"/>
              </w:rPr>
            </w:pPr>
            <w:r>
              <w:rPr>
                <w:rFonts w:ascii="Arial" w:cs="Arial" w:eastAsia="Arial" w:hAnsi="Arial"/>
                <w:sz w:val="22"/>
                <w:szCs w:val="22"/>
                <w:color w:val="auto"/>
              </w:rPr>
              <w:t>4.12</w:t>
            </w:r>
          </w:p>
        </w:tc>
        <w:tc>
          <w:tcPr>
            <w:tcW w:w="2020" w:type="dxa"/>
            <w:vAlign w:val="bottom"/>
            <w:gridSpan w:val="5"/>
          </w:tcPr>
          <w:p>
            <w:pPr>
              <w:ind w:left="220"/>
              <w:spacing w:after="0"/>
              <w:rPr>
                <w:sz w:val="20"/>
                <w:szCs w:val="20"/>
                <w:color w:val="auto"/>
              </w:rPr>
            </w:pPr>
            <w:r>
              <w:rPr>
                <w:rFonts w:ascii="Arial" w:cs="Arial" w:eastAsia="Arial" w:hAnsi="Arial"/>
                <w:sz w:val="22"/>
                <w:szCs w:val="22"/>
                <w:color w:val="auto"/>
                <w:w w:val="99"/>
              </w:rPr>
              <w:t>Written Resolution</w:t>
            </w:r>
          </w:p>
        </w:tc>
        <w:tc>
          <w:tcPr>
            <w:tcW w:w="640" w:type="dxa"/>
            <w:vAlign w:val="bottom"/>
            <w:gridSpan w:val="2"/>
          </w:tcPr>
          <w:p>
            <w:pPr>
              <w:jc w:val="right"/>
              <w:ind w:right="272"/>
              <w:spacing w:after="0"/>
              <w:rPr>
                <w:sz w:val="20"/>
                <w:szCs w:val="20"/>
                <w:color w:val="auto"/>
              </w:rPr>
            </w:pPr>
            <w:r>
              <w:rPr>
                <w:rFonts w:ascii="Arial" w:cs="Arial" w:eastAsia="Arial" w:hAnsi="Arial"/>
                <w:sz w:val="22"/>
                <w:szCs w:val="22"/>
                <w:color w:val="auto"/>
                <w:w w:val="97"/>
              </w:rPr>
              <w:t>10</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22"/>
                <w:szCs w:val="22"/>
                <w:b w:val="1"/>
                <w:bCs w:val="1"/>
                <w:color w:val="auto"/>
              </w:rPr>
              <w:t>ARTICLE 5</w:t>
            </w:r>
          </w:p>
        </w:tc>
        <w:tc>
          <w:tcPr>
            <w:tcW w:w="940" w:type="dxa"/>
            <w:vAlign w:val="bottom"/>
            <w:gridSpan w:val="2"/>
          </w:tcPr>
          <w:p>
            <w:pPr>
              <w:ind w:left="120"/>
              <w:spacing w:after="0"/>
              <w:rPr>
                <w:sz w:val="20"/>
                <w:szCs w:val="20"/>
                <w:color w:val="auto"/>
              </w:rPr>
            </w:pPr>
            <w:r>
              <w:rPr>
                <w:rFonts w:ascii="Arial" w:cs="Arial" w:eastAsia="Arial" w:hAnsi="Arial"/>
                <w:sz w:val="22"/>
                <w:szCs w:val="22"/>
                <w:b w:val="1"/>
                <w:bCs w:val="1"/>
                <w:color w:val="auto"/>
                <w:w w:val="99"/>
              </w:rPr>
              <w:t>BOARD</w:t>
            </w:r>
          </w:p>
        </w:tc>
        <w:tc>
          <w:tcPr>
            <w:tcW w:w="440" w:type="dxa"/>
            <w:vAlign w:val="bottom"/>
          </w:tcPr>
          <w:p>
            <w:pPr>
              <w:ind w:left="160"/>
              <w:spacing w:after="0"/>
              <w:rPr>
                <w:sz w:val="20"/>
                <w:szCs w:val="20"/>
                <w:color w:val="auto"/>
              </w:rPr>
            </w:pPr>
            <w:r>
              <w:rPr>
                <w:rFonts w:ascii="Arial" w:cs="Arial" w:eastAsia="Arial" w:hAnsi="Arial"/>
                <w:sz w:val="22"/>
                <w:szCs w:val="22"/>
                <w:b w:val="1"/>
                <w:bCs w:val="1"/>
                <w:color w:val="auto"/>
              </w:rPr>
              <w:t>10</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5.1</w:t>
            </w:r>
          </w:p>
        </w:tc>
        <w:tc>
          <w:tcPr>
            <w:tcW w:w="2660" w:type="dxa"/>
            <w:vAlign w:val="bottom"/>
            <w:gridSpan w:val="7"/>
          </w:tcPr>
          <w:p>
            <w:pPr>
              <w:ind w:left="220"/>
              <w:spacing w:after="0"/>
              <w:rPr>
                <w:sz w:val="20"/>
                <w:szCs w:val="20"/>
                <w:color w:val="auto"/>
              </w:rPr>
            </w:pPr>
            <w:r>
              <w:rPr>
                <w:rFonts w:ascii="Arial" w:cs="Arial" w:eastAsia="Arial" w:hAnsi="Arial"/>
                <w:sz w:val="22"/>
                <w:szCs w:val="22"/>
                <w:color w:val="auto"/>
                <w:w w:val="97"/>
              </w:rPr>
              <w:t>Composition of the Board</w:t>
            </w:r>
          </w:p>
        </w:tc>
        <w:tc>
          <w:tcPr>
            <w:tcW w:w="300" w:type="dxa"/>
            <w:vAlign w:val="bottom"/>
          </w:tcPr>
          <w:p>
            <w:pPr>
              <w:jc w:val="right"/>
              <w:spacing w:after="0"/>
              <w:rPr>
                <w:sz w:val="20"/>
                <w:szCs w:val="20"/>
                <w:color w:val="auto"/>
              </w:rPr>
            </w:pPr>
            <w:r>
              <w:rPr>
                <w:rFonts w:ascii="Arial" w:cs="Arial" w:eastAsia="Arial" w:hAnsi="Arial"/>
                <w:sz w:val="22"/>
                <w:szCs w:val="22"/>
                <w:color w:val="auto"/>
                <w:w w:val="89"/>
              </w:rPr>
              <w:t>10</w:t>
            </w: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5.2</w:t>
            </w:r>
          </w:p>
        </w:tc>
        <w:tc>
          <w:tcPr>
            <w:tcW w:w="1700" w:type="dxa"/>
            <w:vAlign w:val="bottom"/>
            <w:gridSpan w:val="4"/>
          </w:tcPr>
          <w:p>
            <w:pPr>
              <w:ind w:left="220"/>
              <w:spacing w:after="0"/>
              <w:rPr>
                <w:sz w:val="20"/>
                <w:szCs w:val="20"/>
                <w:color w:val="auto"/>
              </w:rPr>
            </w:pPr>
            <w:r>
              <w:rPr>
                <w:rFonts w:ascii="Arial" w:cs="Arial" w:eastAsia="Arial" w:hAnsi="Arial"/>
                <w:sz w:val="22"/>
                <w:szCs w:val="22"/>
                <w:color w:val="auto"/>
              </w:rPr>
              <w:t>Term of Office</w:t>
            </w:r>
          </w:p>
        </w:tc>
        <w:tc>
          <w:tcPr>
            <w:tcW w:w="320" w:type="dxa"/>
            <w:vAlign w:val="bottom"/>
          </w:tcPr>
          <w:p>
            <w:pPr>
              <w:jc w:val="right"/>
              <w:spacing w:after="0"/>
              <w:rPr>
                <w:sz w:val="20"/>
                <w:szCs w:val="20"/>
                <w:color w:val="auto"/>
              </w:rPr>
            </w:pPr>
            <w:r>
              <w:rPr>
                <w:rFonts w:ascii="Arial" w:cs="Arial" w:eastAsia="Arial" w:hAnsi="Arial"/>
                <w:sz w:val="22"/>
                <w:szCs w:val="22"/>
                <w:color w:val="auto"/>
                <w:w w:val="89"/>
              </w:rPr>
              <w:t>10</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5.3</w:t>
            </w:r>
          </w:p>
        </w:tc>
        <w:tc>
          <w:tcPr>
            <w:tcW w:w="1260" w:type="dxa"/>
            <w:vAlign w:val="bottom"/>
            <w:gridSpan w:val="3"/>
          </w:tcPr>
          <w:p>
            <w:pPr>
              <w:ind w:left="220"/>
              <w:spacing w:after="0"/>
              <w:rPr>
                <w:sz w:val="20"/>
                <w:szCs w:val="20"/>
                <w:color w:val="auto"/>
              </w:rPr>
            </w:pPr>
            <w:r>
              <w:rPr>
                <w:rFonts w:ascii="Arial" w:cs="Arial" w:eastAsia="Arial" w:hAnsi="Arial"/>
                <w:sz w:val="22"/>
                <w:szCs w:val="22"/>
                <w:color w:val="auto"/>
              </w:rPr>
              <w:t>Chairman</w:t>
            </w:r>
          </w:p>
        </w:tc>
        <w:tc>
          <w:tcPr>
            <w:tcW w:w="440" w:type="dxa"/>
            <w:vAlign w:val="bottom"/>
          </w:tcPr>
          <w:p>
            <w:pPr>
              <w:ind w:left="20"/>
              <w:spacing w:after="0"/>
              <w:rPr>
                <w:sz w:val="20"/>
                <w:szCs w:val="20"/>
                <w:color w:val="auto"/>
              </w:rPr>
            </w:pPr>
            <w:r>
              <w:rPr>
                <w:rFonts w:ascii="Arial" w:cs="Arial" w:eastAsia="Arial" w:hAnsi="Arial"/>
                <w:sz w:val="22"/>
                <w:szCs w:val="22"/>
                <w:color w:val="auto"/>
              </w:rPr>
              <w:t>11</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5.4</w:t>
            </w:r>
          </w:p>
        </w:tc>
        <w:tc>
          <w:tcPr>
            <w:tcW w:w="1700" w:type="dxa"/>
            <w:vAlign w:val="bottom"/>
            <w:gridSpan w:val="4"/>
          </w:tcPr>
          <w:p>
            <w:pPr>
              <w:ind w:left="220"/>
              <w:spacing w:after="0"/>
              <w:rPr>
                <w:sz w:val="20"/>
                <w:szCs w:val="20"/>
                <w:color w:val="auto"/>
              </w:rPr>
            </w:pPr>
            <w:r>
              <w:rPr>
                <w:rFonts w:ascii="Arial" w:cs="Arial" w:eastAsia="Arial" w:hAnsi="Arial"/>
                <w:sz w:val="22"/>
                <w:szCs w:val="22"/>
                <w:color w:val="auto"/>
                <w:w w:val="94"/>
              </w:rPr>
              <w:t>Board Meetings</w:t>
            </w:r>
          </w:p>
        </w:tc>
        <w:tc>
          <w:tcPr>
            <w:tcW w:w="320" w:type="dxa"/>
            <w:vAlign w:val="bottom"/>
          </w:tcPr>
          <w:p>
            <w:pPr>
              <w:jc w:val="right"/>
              <w:spacing w:after="0"/>
              <w:rPr>
                <w:sz w:val="20"/>
                <w:szCs w:val="20"/>
                <w:color w:val="auto"/>
              </w:rPr>
            </w:pPr>
            <w:r>
              <w:rPr>
                <w:rFonts w:ascii="Arial" w:cs="Arial" w:eastAsia="Arial" w:hAnsi="Arial"/>
                <w:sz w:val="22"/>
                <w:szCs w:val="22"/>
                <w:color w:val="auto"/>
              </w:rPr>
              <w:t>11</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5.5</w:t>
            </w:r>
          </w:p>
        </w:tc>
        <w:tc>
          <w:tcPr>
            <w:tcW w:w="3520" w:type="dxa"/>
            <w:vAlign w:val="bottom"/>
            <w:gridSpan w:val="9"/>
          </w:tcPr>
          <w:p>
            <w:pPr>
              <w:ind w:left="220"/>
              <w:spacing w:after="0"/>
              <w:rPr>
                <w:sz w:val="20"/>
                <w:szCs w:val="20"/>
                <w:color w:val="auto"/>
              </w:rPr>
            </w:pPr>
            <w:r>
              <w:rPr>
                <w:rFonts w:ascii="Arial" w:cs="Arial" w:eastAsia="Arial" w:hAnsi="Arial"/>
                <w:sz w:val="22"/>
                <w:szCs w:val="22"/>
                <w:color w:val="auto"/>
                <w:w w:val="90"/>
              </w:rPr>
              <w:t>Quorum and Adoption of Resolutions</w:t>
            </w:r>
          </w:p>
        </w:tc>
        <w:tc>
          <w:tcPr>
            <w:tcW w:w="4340" w:type="dxa"/>
            <w:vAlign w:val="bottom"/>
          </w:tcPr>
          <w:p>
            <w:pPr>
              <w:jc w:val="right"/>
              <w:ind w:right="3852"/>
              <w:spacing w:after="0"/>
              <w:rPr>
                <w:sz w:val="20"/>
                <w:szCs w:val="20"/>
                <w:color w:val="auto"/>
              </w:rPr>
            </w:pPr>
            <w:r>
              <w:rPr>
                <w:rFonts w:ascii="Arial" w:cs="Arial" w:eastAsia="Arial" w:hAnsi="Arial"/>
                <w:sz w:val="22"/>
                <w:szCs w:val="22"/>
                <w:color w:val="auto"/>
              </w:rPr>
              <w:t>11</w:t>
            </w: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5.6</w:t>
            </w:r>
          </w:p>
        </w:tc>
        <w:tc>
          <w:tcPr>
            <w:tcW w:w="2020" w:type="dxa"/>
            <w:vAlign w:val="bottom"/>
            <w:gridSpan w:val="5"/>
          </w:tcPr>
          <w:p>
            <w:pPr>
              <w:ind w:left="220"/>
              <w:spacing w:after="0"/>
              <w:rPr>
                <w:sz w:val="20"/>
                <w:szCs w:val="20"/>
                <w:color w:val="auto"/>
              </w:rPr>
            </w:pPr>
            <w:r>
              <w:rPr>
                <w:rFonts w:ascii="Arial" w:cs="Arial" w:eastAsia="Arial" w:hAnsi="Arial"/>
                <w:sz w:val="22"/>
                <w:szCs w:val="22"/>
                <w:color w:val="auto"/>
                <w:w w:val="89"/>
              </w:rPr>
              <w:t>Powers of the Board</w:t>
            </w:r>
          </w:p>
        </w:tc>
        <w:tc>
          <w:tcPr>
            <w:tcW w:w="640" w:type="dxa"/>
            <w:vAlign w:val="bottom"/>
            <w:gridSpan w:val="2"/>
          </w:tcPr>
          <w:p>
            <w:pPr>
              <w:jc w:val="right"/>
              <w:ind w:right="132"/>
              <w:spacing w:after="0"/>
              <w:rPr>
                <w:sz w:val="20"/>
                <w:szCs w:val="20"/>
                <w:color w:val="auto"/>
              </w:rPr>
            </w:pPr>
            <w:r>
              <w:rPr>
                <w:rFonts w:ascii="Arial" w:cs="Arial" w:eastAsia="Arial" w:hAnsi="Arial"/>
                <w:sz w:val="22"/>
                <w:szCs w:val="22"/>
                <w:color w:val="auto"/>
              </w:rPr>
              <w:t>12</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5.7</w:t>
            </w:r>
          </w:p>
        </w:tc>
        <w:tc>
          <w:tcPr>
            <w:tcW w:w="2240" w:type="dxa"/>
            <w:vAlign w:val="bottom"/>
            <w:gridSpan w:val="6"/>
          </w:tcPr>
          <w:p>
            <w:pPr>
              <w:ind w:left="220"/>
              <w:spacing w:after="0"/>
              <w:rPr>
                <w:sz w:val="20"/>
                <w:szCs w:val="20"/>
                <w:color w:val="auto"/>
              </w:rPr>
            </w:pPr>
            <w:r>
              <w:rPr>
                <w:rFonts w:ascii="Arial" w:cs="Arial" w:eastAsia="Arial" w:hAnsi="Arial"/>
                <w:sz w:val="22"/>
                <w:szCs w:val="22"/>
                <w:color w:val="auto"/>
                <w:w w:val="97"/>
              </w:rPr>
              <w:t>Protective Provisions</w:t>
            </w:r>
          </w:p>
        </w:tc>
        <w:tc>
          <w:tcPr>
            <w:tcW w:w="420" w:type="dxa"/>
            <w:vAlign w:val="bottom"/>
          </w:tcPr>
          <w:p>
            <w:pPr>
              <w:jc w:val="right"/>
              <w:ind w:right="72"/>
              <w:spacing w:after="0"/>
              <w:rPr>
                <w:sz w:val="20"/>
                <w:szCs w:val="20"/>
                <w:color w:val="auto"/>
              </w:rPr>
            </w:pPr>
            <w:r>
              <w:rPr>
                <w:rFonts w:ascii="Arial" w:cs="Arial" w:eastAsia="Arial" w:hAnsi="Arial"/>
                <w:sz w:val="22"/>
                <w:szCs w:val="22"/>
                <w:color w:val="auto"/>
                <w:w w:val="89"/>
              </w:rPr>
              <w:t>14</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5.8</w:t>
            </w:r>
          </w:p>
        </w:tc>
        <w:tc>
          <w:tcPr>
            <w:tcW w:w="7860" w:type="dxa"/>
            <w:vAlign w:val="bottom"/>
            <w:gridSpan w:val="10"/>
          </w:tcPr>
          <w:p>
            <w:pPr>
              <w:ind w:left="220"/>
              <w:spacing w:after="0"/>
              <w:rPr>
                <w:sz w:val="20"/>
                <w:szCs w:val="20"/>
                <w:color w:val="auto"/>
              </w:rPr>
            </w:pPr>
            <w:r>
              <w:rPr>
                <w:rFonts w:ascii="Arial" w:cs="Arial" w:eastAsia="Arial" w:hAnsi="Arial"/>
                <w:sz w:val="22"/>
                <w:szCs w:val="22"/>
                <w:color w:val="auto"/>
              </w:rPr>
              <w:t>Directors’ Remuneration and Indemnification  14</w:t>
            </w:r>
          </w:p>
        </w:tc>
        <w:tc>
          <w:tcPr>
            <w:tcW w:w="680" w:type="dxa"/>
            <w:vAlign w:val="bottom"/>
          </w:tcPr>
          <w:p>
            <w:pPr>
              <w:spacing w:after="0"/>
              <w:rPr>
                <w:sz w:val="23"/>
                <w:szCs w:val="23"/>
                <w:color w:val="auto"/>
              </w:rPr>
            </w:pPr>
          </w:p>
        </w:tc>
      </w:tr>
      <w:tr>
        <w:trPr>
          <w:trHeight w:val="264"/>
        </w:trPr>
        <w:tc>
          <w:tcPr>
            <w:tcW w:w="920" w:type="dxa"/>
            <w:vAlign w:val="bottom"/>
          </w:tcPr>
          <w:p>
            <w:pPr>
              <w:ind w:left="320"/>
              <w:spacing w:after="0"/>
              <w:rPr>
                <w:sz w:val="20"/>
                <w:szCs w:val="20"/>
                <w:color w:val="auto"/>
              </w:rPr>
            </w:pPr>
            <w:r>
              <w:rPr>
                <w:rFonts w:ascii="Arial" w:cs="Arial" w:eastAsia="Arial" w:hAnsi="Arial"/>
                <w:sz w:val="22"/>
                <w:szCs w:val="22"/>
                <w:color w:val="auto"/>
              </w:rPr>
              <w:t>5.9</w:t>
            </w:r>
          </w:p>
        </w:tc>
        <w:tc>
          <w:tcPr>
            <w:tcW w:w="3520" w:type="dxa"/>
            <w:vAlign w:val="bottom"/>
            <w:gridSpan w:val="9"/>
          </w:tcPr>
          <w:p>
            <w:pPr>
              <w:ind w:left="220"/>
              <w:spacing w:after="0"/>
              <w:rPr>
                <w:sz w:val="20"/>
                <w:szCs w:val="20"/>
                <w:color w:val="auto"/>
              </w:rPr>
            </w:pPr>
            <w:r>
              <w:rPr>
                <w:rFonts w:ascii="Arial" w:cs="Arial" w:eastAsia="Arial" w:hAnsi="Arial"/>
                <w:sz w:val="22"/>
                <w:szCs w:val="22"/>
                <w:color w:val="auto"/>
                <w:w w:val="94"/>
              </w:rPr>
              <w:t>Meeting Minutes of Board Meetings</w:t>
            </w:r>
          </w:p>
        </w:tc>
        <w:tc>
          <w:tcPr>
            <w:tcW w:w="4340" w:type="dxa"/>
            <w:vAlign w:val="bottom"/>
          </w:tcPr>
          <w:p>
            <w:pPr>
              <w:jc w:val="center"/>
              <w:ind w:right="3892"/>
              <w:spacing w:after="0"/>
              <w:rPr>
                <w:sz w:val="20"/>
                <w:szCs w:val="20"/>
                <w:color w:val="auto"/>
              </w:rPr>
            </w:pPr>
            <w:r>
              <w:rPr>
                <w:rFonts w:ascii="Arial" w:cs="Arial" w:eastAsia="Arial" w:hAnsi="Arial"/>
                <w:sz w:val="22"/>
                <w:szCs w:val="22"/>
                <w:color w:val="auto"/>
                <w:w w:val="89"/>
              </w:rPr>
              <w:t>14</w:t>
            </w:r>
          </w:p>
        </w:tc>
        <w:tc>
          <w:tcPr>
            <w:tcW w:w="680" w:type="dxa"/>
            <w:vAlign w:val="bottom"/>
          </w:tcPr>
          <w:p>
            <w:pPr>
              <w:spacing w:after="0"/>
              <w:rPr>
                <w:sz w:val="22"/>
                <w:szCs w:val="22"/>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22"/>
                <w:szCs w:val="22"/>
                <w:b w:val="1"/>
                <w:bCs w:val="1"/>
                <w:color w:val="auto"/>
              </w:rPr>
              <w:t>ARTICLE 6</w:t>
            </w:r>
          </w:p>
        </w:tc>
        <w:tc>
          <w:tcPr>
            <w:tcW w:w="1700" w:type="dxa"/>
            <w:vAlign w:val="bottom"/>
            <w:gridSpan w:val="4"/>
          </w:tcPr>
          <w:p>
            <w:pPr>
              <w:ind w:left="120"/>
              <w:spacing w:after="0"/>
              <w:rPr>
                <w:sz w:val="20"/>
                <w:szCs w:val="20"/>
                <w:color w:val="auto"/>
              </w:rPr>
            </w:pPr>
            <w:r>
              <w:rPr>
                <w:rFonts w:ascii="Arial" w:cs="Arial" w:eastAsia="Arial" w:hAnsi="Arial"/>
                <w:sz w:val="22"/>
                <w:szCs w:val="22"/>
                <w:b w:val="1"/>
                <w:bCs w:val="1"/>
                <w:color w:val="auto"/>
                <w:w w:val="98"/>
              </w:rPr>
              <w:t>SUPERVISORS</w:t>
            </w:r>
          </w:p>
        </w:tc>
        <w:tc>
          <w:tcPr>
            <w:tcW w:w="640" w:type="dxa"/>
            <w:vAlign w:val="bottom"/>
            <w:gridSpan w:val="2"/>
          </w:tcPr>
          <w:p>
            <w:pPr>
              <w:ind w:left="140"/>
              <w:spacing w:after="0"/>
              <w:rPr>
                <w:sz w:val="20"/>
                <w:szCs w:val="20"/>
                <w:color w:val="auto"/>
              </w:rPr>
            </w:pPr>
            <w:r>
              <w:rPr>
                <w:rFonts w:ascii="Arial" w:cs="Arial" w:eastAsia="Arial" w:hAnsi="Arial"/>
                <w:sz w:val="22"/>
                <w:szCs w:val="22"/>
                <w:b w:val="1"/>
                <w:bCs w:val="1"/>
                <w:color w:val="auto"/>
              </w:rPr>
              <w:t>15</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6.1</w:t>
            </w:r>
          </w:p>
        </w:tc>
        <w:tc>
          <w:tcPr>
            <w:tcW w:w="2660" w:type="dxa"/>
            <w:vAlign w:val="bottom"/>
            <w:gridSpan w:val="7"/>
          </w:tcPr>
          <w:p>
            <w:pPr>
              <w:ind w:left="220"/>
              <w:spacing w:after="0"/>
              <w:rPr>
                <w:sz w:val="20"/>
                <w:szCs w:val="20"/>
                <w:color w:val="auto"/>
              </w:rPr>
            </w:pPr>
            <w:r>
              <w:rPr>
                <w:rFonts w:ascii="Arial" w:cs="Arial" w:eastAsia="Arial" w:hAnsi="Arial"/>
                <w:sz w:val="22"/>
                <w:szCs w:val="22"/>
                <w:color w:val="auto"/>
                <w:w w:val="89"/>
              </w:rPr>
              <w:t>Appointment of Supervisors</w:t>
            </w:r>
          </w:p>
        </w:tc>
        <w:tc>
          <w:tcPr>
            <w:tcW w:w="860" w:type="dxa"/>
            <w:vAlign w:val="bottom"/>
            <w:gridSpan w:val="2"/>
          </w:tcPr>
          <w:p>
            <w:pPr>
              <w:jc w:val="right"/>
              <w:ind w:right="312"/>
              <w:spacing w:after="0"/>
              <w:rPr>
                <w:sz w:val="20"/>
                <w:szCs w:val="20"/>
                <w:color w:val="auto"/>
              </w:rPr>
            </w:pPr>
            <w:r>
              <w:rPr>
                <w:rFonts w:ascii="Arial" w:cs="Arial" w:eastAsia="Arial" w:hAnsi="Arial"/>
                <w:sz w:val="22"/>
                <w:szCs w:val="22"/>
                <w:color w:val="auto"/>
              </w:rPr>
              <w:t>15</w:t>
            </w: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64"/>
        </w:trPr>
        <w:tc>
          <w:tcPr>
            <w:tcW w:w="920" w:type="dxa"/>
            <w:vAlign w:val="bottom"/>
          </w:tcPr>
          <w:p>
            <w:pPr>
              <w:ind w:left="320"/>
              <w:spacing w:after="0"/>
              <w:rPr>
                <w:sz w:val="20"/>
                <w:szCs w:val="20"/>
                <w:color w:val="auto"/>
              </w:rPr>
            </w:pPr>
            <w:r>
              <w:rPr>
                <w:rFonts w:ascii="Arial" w:cs="Arial" w:eastAsia="Arial" w:hAnsi="Arial"/>
                <w:sz w:val="22"/>
                <w:szCs w:val="22"/>
                <w:color w:val="auto"/>
              </w:rPr>
              <w:t>6.2</w:t>
            </w:r>
          </w:p>
        </w:tc>
        <w:tc>
          <w:tcPr>
            <w:tcW w:w="2240" w:type="dxa"/>
            <w:vAlign w:val="bottom"/>
            <w:gridSpan w:val="6"/>
          </w:tcPr>
          <w:p>
            <w:pPr>
              <w:ind w:left="220"/>
              <w:spacing w:after="0"/>
              <w:rPr>
                <w:sz w:val="20"/>
                <w:szCs w:val="20"/>
                <w:color w:val="auto"/>
              </w:rPr>
            </w:pPr>
            <w:r>
              <w:rPr>
                <w:rFonts w:ascii="Arial" w:cs="Arial" w:eastAsia="Arial" w:hAnsi="Arial"/>
                <w:sz w:val="22"/>
                <w:szCs w:val="22"/>
                <w:color w:val="auto"/>
                <w:w w:val="90"/>
              </w:rPr>
              <w:t>Powers of Supervisors</w:t>
            </w:r>
          </w:p>
        </w:tc>
        <w:tc>
          <w:tcPr>
            <w:tcW w:w="420" w:type="dxa"/>
            <w:vAlign w:val="bottom"/>
          </w:tcPr>
          <w:p>
            <w:pPr>
              <w:jc w:val="right"/>
              <w:spacing w:after="0"/>
              <w:rPr>
                <w:sz w:val="20"/>
                <w:szCs w:val="20"/>
                <w:color w:val="auto"/>
              </w:rPr>
            </w:pPr>
            <w:r>
              <w:rPr>
                <w:rFonts w:ascii="Arial" w:cs="Arial" w:eastAsia="Arial" w:hAnsi="Arial"/>
                <w:sz w:val="22"/>
                <w:szCs w:val="22"/>
                <w:color w:val="auto"/>
              </w:rPr>
              <w:t>15</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22"/>
                <w:szCs w:val="22"/>
                <w:b w:val="1"/>
                <w:bCs w:val="1"/>
                <w:color w:val="auto"/>
              </w:rPr>
              <w:t>ARTICLE 7</w:t>
            </w:r>
          </w:p>
        </w:tc>
        <w:tc>
          <w:tcPr>
            <w:tcW w:w="5620" w:type="dxa"/>
            <w:vAlign w:val="bottom"/>
            <w:gridSpan w:val="4"/>
          </w:tcPr>
          <w:p>
            <w:pPr>
              <w:jc w:val="right"/>
              <w:ind w:right="52"/>
              <w:spacing w:after="0"/>
              <w:rPr>
                <w:sz w:val="20"/>
                <w:szCs w:val="20"/>
                <w:color w:val="auto"/>
              </w:rPr>
            </w:pPr>
            <w:r>
              <w:rPr>
                <w:rFonts w:ascii="Arial" w:cs="Arial" w:eastAsia="Arial" w:hAnsi="Arial"/>
                <w:sz w:val="22"/>
                <w:szCs w:val="22"/>
                <w:b w:val="1"/>
                <w:bCs w:val="1"/>
                <w:color w:val="auto"/>
              </w:rPr>
              <w:t>OPERATION AND MANAGEMENT ORGANIZATION</w:t>
            </w:r>
          </w:p>
        </w:tc>
        <w:tc>
          <w:tcPr>
            <w:tcW w:w="680" w:type="dxa"/>
            <w:vAlign w:val="bottom"/>
          </w:tcPr>
          <w:p>
            <w:pPr>
              <w:jc w:val="right"/>
              <w:ind w:right="292"/>
              <w:spacing w:after="0"/>
              <w:rPr>
                <w:sz w:val="20"/>
                <w:szCs w:val="20"/>
                <w:color w:val="auto"/>
              </w:rPr>
            </w:pPr>
            <w:r>
              <w:rPr>
                <w:rFonts w:ascii="Arial" w:cs="Arial" w:eastAsia="Arial" w:hAnsi="Arial"/>
                <w:sz w:val="22"/>
                <w:szCs w:val="22"/>
                <w:b w:val="1"/>
                <w:bCs w:val="1"/>
                <w:color w:val="auto"/>
              </w:rPr>
              <w:t>15</w:t>
            </w:r>
          </w:p>
        </w:tc>
      </w:tr>
      <w:tr>
        <w:trPr>
          <w:trHeight w:val="274"/>
        </w:trPr>
        <w:tc>
          <w:tcPr>
            <w:tcW w:w="920" w:type="dxa"/>
            <w:vAlign w:val="bottom"/>
          </w:tcPr>
          <w:p>
            <w:pPr>
              <w:ind w:left="320"/>
              <w:spacing w:after="0"/>
              <w:rPr>
                <w:sz w:val="20"/>
                <w:szCs w:val="20"/>
                <w:color w:val="auto"/>
              </w:rPr>
            </w:pPr>
            <w:r>
              <w:rPr>
                <w:rFonts w:ascii="Arial" w:cs="Arial" w:eastAsia="Arial" w:hAnsi="Arial"/>
                <w:sz w:val="22"/>
                <w:szCs w:val="22"/>
                <w:color w:val="auto"/>
              </w:rPr>
              <w:t>7.1</w:t>
            </w:r>
          </w:p>
        </w:tc>
        <w:tc>
          <w:tcPr>
            <w:tcW w:w="2240" w:type="dxa"/>
            <w:vAlign w:val="bottom"/>
            <w:gridSpan w:val="6"/>
          </w:tcPr>
          <w:p>
            <w:pPr>
              <w:ind w:left="220"/>
              <w:spacing w:after="0"/>
              <w:rPr>
                <w:sz w:val="20"/>
                <w:szCs w:val="20"/>
                <w:color w:val="auto"/>
              </w:rPr>
            </w:pPr>
            <w:r>
              <w:rPr>
                <w:rFonts w:ascii="Arial" w:cs="Arial" w:eastAsia="Arial" w:hAnsi="Arial"/>
                <w:sz w:val="22"/>
                <w:szCs w:val="22"/>
                <w:color w:val="auto"/>
                <w:w w:val="96"/>
              </w:rPr>
              <w:t>Management System</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w w:val="81"/>
              </w:rPr>
              <w:t>15</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87"/>
        </w:trPr>
        <w:tc>
          <w:tcPr>
            <w:tcW w:w="920" w:type="dxa"/>
            <w:vAlign w:val="bottom"/>
          </w:tcPr>
          <w:p>
            <w:pPr>
              <w:ind w:left="320"/>
              <w:spacing w:after="0"/>
              <w:rPr>
                <w:sz w:val="20"/>
                <w:szCs w:val="20"/>
                <w:color w:val="auto"/>
              </w:rPr>
            </w:pPr>
            <w:r>
              <w:rPr>
                <w:rFonts w:ascii="Arial" w:cs="Arial" w:eastAsia="Arial" w:hAnsi="Arial"/>
                <w:sz w:val="22"/>
                <w:szCs w:val="22"/>
                <w:color w:val="auto"/>
              </w:rPr>
              <w:t>7.2</w:t>
            </w:r>
          </w:p>
        </w:tc>
        <w:tc>
          <w:tcPr>
            <w:tcW w:w="7860" w:type="dxa"/>
            <w:vAlign w:val="bottom"/>
            <w:gridSpan w:val="10"/>
          </w:tcPr>
          <w:p>
            <w:pPr>
              <w:ind w:left="220"/>
              <w:spacing w:after="0"/>
              <w:rPr>
                <w:sz w:val="20"/>
                <w:szCs w:val="20"/>
                <w:color w:val="auto"/>
              </w:rPr>
            </w:pPr>
            <w:r>
              <w:rPr>
                <w:rFonts w:ascii="Arial" w:cs="Arial" w:eastAsia="Arial" w:hAnsi="Arial"/>
                <w:sz w:val="22"/>
                <w:szCs w:val="22"/>
                <w:color w:val="auto"/>
              </w:rPr>
              <w:t>Powers and Responsibilities of the General Manager  16</w:t>
            </w:r>
          </w:p>
        </w:tc>
        <w:tc>
          <w:tcPr>
            <w:tcW w:w="680" w:type="dxa"/>
            <w:vAlign w:val="bottom"/>
          </w:tcPr>
          <w:p>
            <w:pPr>
              <w:spacing w:after="0"/>
              <w:rPr>
                <w:sz w:val="24"/>
                <w:szCs w:val="24"/>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22"/>
                <w:szCs w:val="22"/>
                <w:b w:val="1"/>
                <w:bCs w:val="1"/>
                <w:color w:val="auto"/>
              </w:rPr>
              <w:t>ARTICLE 8</w:t>
            </w:r>
          </w:p>
        </w:tc>
        <w:tc>
          <w:tcPr>
            <w:tcW w:w="2340" w:type="dxa"/>
            <w:vAlign w:val="bottom"/>
            <w:gridSpan w:val="6"/>
          </w:tcPr>
          <w:p>
            <w:pPr>
              <w:ind w:left="120"/>
              <w:spacing w:after="0"/>
              <w:rPr>
                <w:sz w:val="20"/>
                <w:szCs w:val="20"/>
                <w:color w:val="auto"/>
              </w:rPr>
            </w:pPr>
            <w:r>
              <w:rPr>
                <w:rFonts w:ascii="Arial" w:cs="Arial" w:eastAsia="Arial" w:hAnsi="Arial"/>
                <w:sz w:val="22"/>
                <w:szCs w:val="22"/>
                <w:b w:val="1"/>
                <w:bCs w:val="1"/>
                <w:color w:val="auto"/>
              </w:rPr>
              <w:t>CONFIDENTIALITY</w:t>
            </w:r>
          </w:p>
        </w:tc>
        <w:tc>
          <w:tcPr>
            <w:tcW w:w="300" w:type="dxa"/>
            <w:vAlign w:val="bottom"/>
          </w:tcPr>
          <w:p>
            <w:pPr>
              <w:jc w:val="right"/>
              <w:spacing w:after="0"/>
              <w:rPr>
                <w:sz w:val="20"/>
                <w:szCs w:val="20"/>
                <w:color w:val="auto"/>
              </w:rPr>
            </w:pPr>
            <w:r>
              <w:rPr>
                <w:rFonts w:ascii="Arial" w:cs="Arial" w:eastAsia="Arial" w:hAnsi="Arial"/>
                <w:sz w:val="22"/>
                <w:szCs w:val="22"/>
                <w:b w:val="1"/>
                <w:bCs w:val="1"/>
                <w:color w:val="auto"/>
                <w:w w:val="97"/>
              </w:rPr>
              <w:t>17</w:t>
            </w:r>
          </w:p>
        </w:tc>
        <w:tc>
          <w:tcPr>
            <w:tcW w:w="5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8.1</w:t>
            </w:r>
          </w:p>
        </w:tc>
        <w:tc>
          <w:tcPr>
            <w:tcW w:w="1700" w:type="dxa"/>
            <w:vAlign w:val="bottom"/>
            <w:gridSpan w:val="4"/>
          </w:tcPr>
          <w:p>
            <w:pPr>
              <w:ind w:left="220"/>
              <w:spacing w:after="0"/>
              <w:rPr>
                <w:sz w:val="20"/>
                <w:szCs w:val="20"/>
                <w:color w:val="auto"/>
              </w:rPr>
            </w:pPr>
            <w:r>
              <w:rPr>
                <w:rFonts w:ascii="Arial" w:cs="Arial" w:eastAsia="Arial" w:hAnsi="Arial"/>
                <w:sz w:val="22"/>
                <w:szCs w:val="22"/>
                <w:color w:val="auto"/>
              </w:rPr>
              <w:t>Confidentiality</w:t>
            </w:r>
          </w:p>
        </w:tc>
        <w:tc>
          <w:tcPr>
            <w:tcW w:w="320" w:type="dxa"/>
            <w:vAlign w:val="bottom"/>
          </w:tcPr>
          <w:p>
            <w:pPr>
              <w:jc w:val="right"/>
              <w:spacing w:after="0"/>
              <w:rPr>
                <w:sz w:val="20"/>
                <w:szCs w:val="20"/>
                <w:color w:val="auto"/>
              </w:rPr>
            </w:pPr>
            <w:r>
              <w:rPr>
                <w:rFonts w:ascii="Arial" w:cs="Arial" w:eastAsia="Arial" w:hAnsi="Arial"/>
                <w:sz w:val="22"/>
                <w:szCs w:val="22"/>
                <w:color w:val="auto"/>
                <w:w w:val="97"/>
              </w:rPr>
              <w:t>17</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8.2</w:t>
            </w:r>
          </w:p>
        </w:tc>
        <w:tc>
          <w:tcPr>
            <w:tcW w:w="1260" w:type="dxa"/>
            <w:vAlign w:val="bottom"/>
            <w:gridSpan w:val="3"/>
          </w:tcPr>
          <w:p>
            <w:pPr>
              <w:ind w:left="220"/>
              <w:spacing w:after="0"/>
              <w:rPr>
                <w:sz w:val="20"/>
                <w:szCs w:val="20"/>
                <w:color w:val="auto"/>
              </w:rPr>
            </w:pPr>
            <w:r>
              <w:rPr>
                <w:rFonts w:ascii="Arial" w:cs="Arial" w:eastAsia="Arial" w:hAnsi="Arial"/>
                <w:sz w:val="22"/>
                <w:szCs w:val="22"/>
                <w:color w:val="auto"/>
                <w:w w:val="94"/>
              </w:rPr>
              <w:t>Exceptions</w:t>
            </w:r>
          </w:p>
        </w:tc>
        <w:tc>
          <w:tcPr>
            <w:tcW w:w="440" w:type="dxa"/>
            <w:vAlign w:val="bottom"/>
          </w:tcPr>
          <w:p>
            <w:pPr>
              <w:ind w:left="120"/>
              <w:spacing w:after="0"/>
              <w:rPr>
                <w:sz w:val="20"/>
                <w:szCs w:val="20"/>
                <w:color w:val="auto"/>
              </w:rPr>
            </w:pPr>
            <w:r>
              <w:rPr>
                <w:rFonts w:ascii="Arial" w:cs="Arial" w:eastAsia="Arial" w:hAnsi="Arial"/>
                <w:sz w:val="22"/>
                <w:szCs w:val="22"/>
                <w:color w:val="auto"/>
              </w:rPr>
              <w:t>17</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8.3</w:t>
            </w:r>
          </w:p>
        </w:tc>
        <w:tc>
          <w:tcPr>
            <w:tcW w:w="2240" w:type="dxa"/>
            <w:vAlign w:val="bottom"/>
            <w:gridSpan w:val="6"/>
          </w:tcPr>
          <w:p>
            <w:pPr>
              <w:ind w:left="220"/>
              <w:spacing w:after="0"/>
              <w:rPr>
                <w:sz w:val="20"/>
                <w:szCs w:val="20"/>
                <w:color w:val="auto"/>
              </w:rPr>
            </w:pPr>
            <w:r>
              <w:rPr>
                <w:rFonts w:ascii="Arial" w:cs="Arial" w:eastAsia="Arial" w:hAnsi="Arial"/>
                <w:sz w:val="22"/>
                <w:szCs w:val="22"/>
                <w:color w:val="auto"/>
                <w:w w:val="88"/>
              </w:rPr>
              <w:t>Measures of Protection</w:t>
            </w:r>
          </w:p>
        </w:tc>
        <w:tc>
          <w:tcPr>
            <w:tcW w:w="420" w:type="dxa"/>
            <w:vAlign w:val="bottom"/>
          </w:tcPr>
          <w:p>
            <w:pPr>
              <w:jc w:val="right"/>
              <w:spacing w:after="0"/>
              <w:rPr>
                <w:sz w:val="20"/>
                <w:szCs w:val="20"/>
                <w:color w:val="auto"/>
              </w:rPr>
            </w:pPr>
            <w:r>
              <w:rPr>
                <w:rFonts w:ascii="Arial" w:cs="Arial" w:eastAsia="Arial" w:hAnsi="Arial"/>
                <w:sz w:val="22"/>
                <w:szCs w:val="22"/>
                <w:color w:val="auto"/>
              </w:rPr>
              <w:t>18</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20" w:type="dxa"/>
            <w:vAlign w:val="bottom"/>
          </w:tcPr>
          <w:p>
            <w:pPr>
              <w:ind w:left="320"/>
              <w:spacing w:after="0"/>
              <w:rPr>
                <w:sz w:val="20"/>
                <w:szCs w:val="20"/>
                <w:color w:val="auto"/>
              </w:rPr>
            </w:pPr>
            <w:r>
              <w:rPr>
                <w:rFonts w:ascii="Arial" w:cs="Arial" w:eastAsia="Arial" w:hAnsi="Arial"/>
                <w:sz w:val="22"/>
                <w:szCs w:val="22"/>
                <w:color w:val="auto"/>
              </w:rPr>
              <w:t>8.4</w:t>
            </w:r>
          </w:p>
        </w:tc>
        <w:tc>
          <w:tcPr>
            <w:tcW w:w="980" w:type="dxa"/>
            <w:vAlign w:val="bottom"/>
            <w:gridSpan w:val="2"/>
          </w:tcPr>
          <w:p>
            <w:pPr>
              <w:ind w:left="220"/>
              <w:spacing w:after="0"/>
              <w:rPr>
                <w:sz w:val="20"/>
                <w:szCs w:val="20"/>
                <w:color w:val="auto"/>
              </w:rPr>
            </w:pPr>
            <w:r>
              <w:rPr>
                <w:rFonts w:ascii="Arial" w:cs="Arial" w:eastAsia="Arial" w:hAnsi="Arial"/>
                <w:sz w:val="22"/>
                <w:szCs w:val="22"/>
                <w:color w:val="auto"/>
              </w:rPr>
              <w:t>Breach</w:t>
            </w:r>
          </w:p>
        </w:tc>
        <w:tc>
          <w:tcPr>
            <w:tcW w:w="280" w:type="dxa"/>
            <w:vAlign w:val="bottom"/>
          </w:tcPr>
          <w:p>
            <w:pPr>
              <w:jc w:val="right"/>
              <w:spacing w:after="0"/>
              <w:rPr>
                <w:sz w:val="20"/>
                <w:szCs w:val="20"/>
                <w:color w:val="auto"/>
              </w:rPr>
            </w:pPr>
            <w:r>
              <w:rPr>
                <w:rFonts w:ascii="Arial" w:cs="Arial" w:eastAsia="Arial" w:hAnsi="Arial"/>
                <w:sz w:val="22"/>
                <w:szCs w:val="22"/>
                <w:color w:val="auto"/>
              </w:rPr>
              <w:t>18</w:t>
            </w: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4"/>
        </w:trPr>
        <w:tc>
          <w:tcPr>
            <w:tcW w:w="920" w:type="dxa"/>
            <w:vAlign w:val="bottom"/>
          </w:tcPr>
          <w:p>
            <w:pPr>
              <w:ind w:left="320"/>
              <w:spacing w:after="0"/>
              <w:rPr>
                <w:sz w:val="20"/>
                <w:szCs w:val="20"/>
                <w:color w:val="auto"/>
              </w:rPr>
            </w:pPr>
            <w:r>
              <w:rPr>
                <w:rFonts w:ascii="Arial" w:cs="Arial" w:eastAsia="Arial" w:hAnsi="Arial"/>
                <w:sz w:val="22"/>
                <w:szCs w:val="22"/>
                <w:color w:val="auto"/>
              </w:rPr>
              <w:t>8.5</w:t>
            </w:r>
          </w:p>
        </w:tc>
        <w:tc>
          <w:tcPr>
            <w:tcW w:w="980" w:type="dxa"/>
            <w:vAlign w:val="bottom"/>
            <w:gridSpan w:val="2"/>
          </w:tcPr>
          <w:p>
            <w:pPr>
              <w:ind w:left="220"/>
              <w:spacing w:after="0"/>
              <w:rPr>
                <w:sz w:val="20"/>
                <w:szCs w:val="20"/>
                <w:color w:val="auto"/>
              </w:rPr>
            </w:pPr>
            <w:r>
              <w:rPr>
                <w:rFonts w:ascii="Arial" w:cs="Arial" w:eastAsia="Arial" w:hAnsi="Arial"/>
                <w:sz w:val="22"/>
                <w:szCs w:val="22"/>
                <w:color w:val="auto"/>
                <w:w w:val="94"/>
              </w:rPr>
              <w:t>Survival</w:t>
            </w:r>
          </w:p>
        </w:tc>
        <w:tc>
          <w:tcPr>
            <w:tcW w:w="720" w:type="dxa"/>
            <w:vAlign w:val="bottom"/>
            <w:gridSpan w:val="2"/>
          </w:tcPr>
          <w:p>
            <w:pPr>
              <w:jc w:val="right"/>
              <w:ind w:right="212"/>
              <w:spacing w:after="0"/>
              <w:rPr>
                <w:sz w:val="20"/>
                <w:szCs w:val="20"/>
                <w:color w:val="auto"/>
              </w:rPr>
            </w:pPr>
            <w:r>
              <w:rPr>
                <w:rFonts w:ascii="Arial" w:cs="Arial" w:eastAsia="Arial" w:hAnsi="Arial"/>
                <w:sz w:val="22"/>
                <w:szCs w:val="22"/>
                <w:color w:val="auto"/>
              </w:rPr>
              <w:t>18</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6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059"/>
          </w:cols>
          <w:pgMar w:left="400" w:top="1440" w:right="1440" w:bottom="8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059"/>
          </w:cols>
          <w:pgMar w:left="400" w:top="1440" w:right="1440" w:bottom="800" w:gutter="0" w:footer="0" w:header="0"/>
          <w:type w:val="continuous"/>
        </w:sectPr>
      </w:pPr>
    </w:p>
    <w:bookmarkStart w:id="77" w:name="page78"/>
    <w:bookmarkEnd w:id="77"/>
    <w:tbl>
      <w:tblPr>
        <w:tblLayout w:type="fixed"/>
        <w:tblInd w:w="20" w:type="dxa"/>
        <w:tblCellMar>
          <w:top w:w="0" w:type="dxa"/>
          <w:left w:w="0" w:type="dxa"/>
          <w:bottom w:w="0" w:type="dxa"/>
          <w:right w:w="0" w:type="dxa"/>
        </w:tblCellMar>
      </w:tblPr>
      <w:tr>
        <w:trPr>
          <w:trHeight w:val="276"/>
        </w:trPr>
        <w:tc>
          <w:tcPr>
            <w:tcW w:w="6700" w:type="dxa"/>
            <w:vAlign w:val="bottom"/>
            <w:gridSpan w:val="10"/>
          </w:tcPr>
          <w:p>
            <w:pPr>
              <w:spacing w:after="0"/>
              <w:rPr>
                <w:sz w:val="20"/>
                <w:szCs w:val="20"/>
                <w:color w:val="auto"/>
              </w:rPr>
            </w:pPr>
            <w:r>
              <w:rPr>
                <w:rFonts w:ascii="Arial" w:cs="Arial" w:eastAsia="Arial" w:hAnsi="Arial"/>
                <w:sz w:val="22"/>
                <w:szCs w:val="22"/>
                <w:b w:val="1"/>
                <w:bCs w:val="1"/>
                <w:color w:val="auto"/>
              </w:rPr>
              <w:t>ARTICLE 9  FINANCE, AUDIT AND DISTRIBUTION OF PROFIT</w:t>
            </w:r>
          </w:p>
        </w:tc>
        <w:tc>
          <w:tcPr>
            <w:tcW w:w="1000" w:type="dxa"/>
            <w:vAlign w:val="bottom"/>
          </w:tcPr>
          <w:p>
            <w:pPr>
              <w:jc w:val="right"/>
              <w:ind w:right="632"/>
              <w:spacing w:after="0"/>
              <w:rPr>
                <w:sz w:val="20"/>
                <w:szCs w:val="20"/>
                <w:color w:val="auto"/>
              </w:rPr>
            </w:pPr>
            <w:r>
              <w:rPr>
                <w:rFonts w:ascii="Arial" w:cs="Arial" w:eastAsia="Arial" w:hAnsi="Arial"/>
                <w:sz w:val="22"/>
                <w:szCs w:val="22"/>
                <w:b w:val="1"/>
                <w:bCs w:val="1"/>
                <w:color w:val="auto"/>
                <w:w w:val="97"/>
              </w:rPr>
              <w:t>18</w:t>
            </w: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9.1</w:t>
            </w:r>
          </w:p>
        </w:tc>
        <w:tc>
          <w:tcPr>
            <w:tcW w:w="3160" w:type="dxa"/>
            <w:vAlign w:val="bottom"/>
            <w:gridSpan w:val="7"/>
          </w:tcPr>
          <w:p>
            <w:pPr>
              <w:ind w:left="180"/>
              <w:spacing w:after="0"/>
              <w:rPr>
                <w:sz w:val="20"/>
                <w:szCs w:val="20"/>
                <w:color w:val="auto"/>
              </w:rPr>
            </w:pPr>
            <w:r>
              <w:rPr>
                <w:rFonts w:ascii="Arial" w:cs="Arial" w:eastAsia="Arial" w:hAnsi="Arial"/>
                <w:sz w:val="22"/>
                <w:szCs w:val="22"/>
                <w:color w:val="auto"/>
                <w:w w:val="90"/>
              </w:rPr>
              <w:t>Financial and Accounting System</w:t>
            </w:r>
          </w:p>
        </w:tc>
        <w:tc>
          <w:tcPr>
            <w:tcW w:w="2160" w:type="dxa"/>
            <w:vAlign w:val="bottom"/>
          </w:tcPr>
          <w:p>
            <w:pPr>
              <w:jc w:val="right"/>
              <w:ind w:right="1692"/>
              <w:spacing w:after="0"/>
              <w:rPr>
                <w:sz w:val="20"/>
                <w:szCs w:val="20"/>
                <w:color w:val="auto"/>
              </w:rPr>
            </w:pPr>
            <w:r>
              <w:rPr>
                <w:rFonts w:ascii="Arial" w:cs="Arial" w:eastAsia="Arial" w:hAnsi="Arial"/>
                <w:sz w:val="22"/>
                <w:szCs w:val="22"/>
                <w:color w:val="auto"/>
              </w:rPr>
              <w:t>18</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9.2</w:t>
            </w:r>
          </w:p>
        </w:tc>
        <w:tc>
          <w:tcPr>
            <w:tcW w:w="980" w:type="dxa"/>
            <w:vAlign w:val="bottom"/>
          </w:tcPr>
          <w:p>
            <w:pPr>
              <w:ind w:left="180"/>
              <w:spacing w:after="0"/>
              <w:rPr>
                <w:sz w:val="20"/>
                <w:szCs w:val="20"/>
                <w:color w:val="auto"/>
              </w:rPr>
            </w:pPr>
            <w:r>
              <w:rPr>
                <w:rFonts w:ascii="Arial" w:cs="Arial" w:eastAsia="Arial" w:hAnsi="Arial"/>
                <w:sz w:val="22"/>
                <w:szCs w:val="22"/>
                <w:color w:val="auto"/>
                <w:w w:val="98"/>
              </w:rPr>
              <w:t>Auditing</w:t>
            </w:r>
          </w:p>
        </w:tc>
        <w:tc>
          <w:tcPr>
            <w:tcW w:w="700" w:type="dxa"/>
            <w:vAlign w:val="bottom"/>
            <w:gridSpan w:val="2"/>
          </w:tcPr>
          <w:p>
            <w:pPr>
              <w:jc w:val="right"/>
              <w:ind w:right="192"/>
              <w:spacing w:after="0"/>
              <w:rPr>
                <w:sz w:val="20"/>
                <w:szCs w:val="20"/>
                <w:color w:val="auto"/>
              </w:rPr>
            </w:pPr>
            <w:r>
              <w:rPr>
                <w:rFonts w:ascii="Arial" w:cs="Arial" w:eastAsia="Arial" w:hAnsi="Arial"/>
                <w:sz w:val="22"/>
                <w:szCs w:val="22"/>
                <w:color w:val="auto"/>
              </w:rPr>
              <w:t>19</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9.3</w:t>
            </w:r>
          </w:p>
        </w:tc>
        <w:tc>
          <w:tcPr>
            <w:tcW w:w="3160" w:type="dxa"/>
            <w:vAlign w:val="bottom"/>
            <w:gridSpan w:val="7"/>
          </w:tcPr>
          <w:p>
            <w:pPr>
              <w:ind w:left="180"/>
              <w:spacing w:after="0"/>
              <w:rPr>
                <w:sz w:val="20"/>
                <w:szCs w:val="20"/>
                <w:color w:val="auto"/>
              </w:rPr>
            </w:pPr>
            <w:r>
              <w:rPr>
                <w:rFonts w:ascii="Arial" w:cs="Arial" w:eastAsia="Arial" w:hAnsi="Arial"/>
                <w:sz w:val="22"/>
                <w:szCs w:val="22"/>
                <w:color w:val="auto"/>
                <w:w w:val="90"/>
              </w:rPr>
              <w:t>Information and Inspection Rights</w:t>
            </w:r>
          </w:p>
        </w:tc>
        <w:tc>
          <w:tcPr>
            <w:tcW w:w="2160" w:type="dxa"/>
            <w:vAlign w:val="bottom"/>
          </w:tcPr>
          <w:p>
            <w:pPr>
              <w:jc w:val="right"/>
              <w:ind w:right="1632"/>
              <w:spacing w:after="0"/>
              <w:rPr>
                <w:sz w:val="20"/>
                <w:szCs w:val="20"/>
                <w:color w:val="auto"/>
              </w:rPr>
            </w:pPr>
            <w:r>
              <w:rPr>
                <w:rFonts w:ascii="Arial" w:cs="Arial" w:eastAsia="Arial" w:hAnsi="Arial"/>
                <w:sz w:val="22"/>
                <w:szCs w:val="22"/>
                <w:color w:val="auto"/>
              </w:rPr>
              <w:t>19</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9.4</w:t>
            </w:r>
          </w:p>
        </w:tc>
        <w:tc>
          <w:tcPr>
            <w:tcW w:w="2280" w:type="dxa"/>
            <w:vAlign w:val="bottom"/>
            <w:gridSpan w:val="5"/>
          </w:tcPr>
          <w:p>
            <w:pPr>
              <w:ind w:left="180"/>
              <w:spacing w:after="0"/>
              <w:rPr>
                <w:sz w:val="20"/>
                <w:szCs w:val="20"/>
                <w:color w:val="auto"/>
              </w:rPr>
            </w:pPr>
            <w:r>
              <w:rPr>
                <w:rFonts w:ascii="Arial" w:cs="Arial" w:eastAsia="Arial" w:hAnsi="Arial"/>
                <w:sz w:val="22"/>
                <w:szCs w:val="22"/>
                <w:color w:val="auto"/>
              </w:rPr>
              <w:t>Distribution of Profits</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19</w:t>
            </w: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960" w:type="dxa"/>
            <w:vAlign w:val="bottom"/>
          </w:tcPr>
          <w:p>
            <w:pPr>
              <w:ind w:left="320"/>
              <w:spacing w:after="0"/>
              <w:rPr>
                <w:sz w:val="20"/>
                <w:szCs w:val="20"/>
                <w:color w:val="auto"/>
              </w:rPr>
            </w:pPr>
            <w:r>
              <w:rPr>
                <w:rFonts w:ascii="Arial" w:cs="Arial" w:eastAsia="Arial" w:hAnsi="Arial"/>
                <w:sz w:val="22"/>
                <w:szCs w:val="22"/>
                <w:color w:val="auto"/>
              </w:rPr>
              <w:t>9.5</w:t>
            </w:r>
          </w:p>
        </w:tc>
        <w:tc>
          <w:tcPr>
            <w:tcW w:w="3160" w:type="dxa"/>
            <w:vAlign w:val="bottom"/>
            <w:gridSpan w:val="7"/>
          </w:tcPr>
          <w:p>
            <w:pPr>
              <w:ind w:left="180"/>
              <w:spacing w:after="0"/>
              <w:rPr>
                <w:sz w:val="20"/>
                <w:szCs w:val="20"/>
                <w:color w:val="auto"/>
              </w:rPr>
            </w:pPr>
            <w:r>
              <w:rPr>
                <w:rFonts w:ascii="Arial" w:cs="Arial" w:eastAsia="Arial" w:hAnsi="Arial"/>
                <w:sz w:val="22"/>
                <w:szCs w:val="22"/>
                <w:color w:val="auto"/>
                <w:w w:val="93"/>
              </w:rPr>
              <w:t>Budgets and Business Plans  20</w:t>
            </w:r>
          </w:p>
        </w:tc>
        <w:tc>
          <w:tcPr>
            <w:tcW w:w="2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7700" w:type="dxa"/>
            <w:vAlign w:val="bottom"/>
            <w:gridSpan w:val="11"/>
          </w:tcPr>
          <w:p>
            <w:pPr>
              <w:spacing w:after="0"/>
              <w:rPr>
                <w:sz w:val="20"/>
                <w:szCs w:val="20"/>
                <w:color w:val="auto"/>
              </w:rPr>
            </w:pPr>
            <w:r>
              <w:rPr>
                <w:rFonts w:ascii="Arial" w:cs="Arial" w:eastAsia="Arial" w:hAnsi="Arial"/>
                <w:sz w:val="22"/>
                <w:szCs w:val="22"/>
                <w:b w:val="1"/>
                <w:bCs w:val="1"/>
                <w:color w:val="auto"/>
                <w:w w:val="98"/>
              </w:rPr>
              <w:t>ARTICLE 10 REPRESENTATIONS AND WARRANTIES OF THE PARTIES  20</w:t>
            </w:r>
          </w:p>
        </w:tc>
      </w:tr>
      <w:tr>
        <w:trPr>
          <w:trHeight w:val="276"/>
        </w:trPr>
        <w:tc>
          <w:tcPr>
            <w:tcW w:w="4120" w:type="dxa"/>
            <w:vAlign w:val="bottom"/>
            <w:gridSpan w:val="8"/>
          </w:tcPr>
          <w:p>
            <w:pPr>
              <w:spacing w:after="0"/>
              <w:rPr>
                <w:sz w:val="20"/>
                <w:szCs w:val="20"/>
                <w:color w:val="auto"/>
              </w:rPr>
            </w:pPr>
            <w:r>
              <w:rPr>
                <w:rFonts w:ascii="Arial" w:cs="Arial" w:eastAsia="Arial" w:hAnsi="Arial"/>
                <w:sz w:val="22"/>
                <w:szCs w:val="22"/>
                <w:b w:val="1"/>
                <w:bCs w:val="1"/>
                <w:color w:val="auto"/>
                <w:w w:val="99"/>
              </w:rPr>
              <w:t>ARTICLE 11 ADDITIONAL COVENANTS</w:t>
            </w:r>
          </w:p>
        </w:tc>
        <w:tc>
          <w:tcPr>
            <w:tcW w:w="2160" w:type="dxa"/>
            <w:vAlign w:val="bottom"/>
          </w:tcPr>
          <w:p>
            <w:pPr>
              <w:jc w:val="right"/>
              <w:ind w:right="1632"/>
              <w:spacing w:after="0"/>
              <w:rPr>
                <w:sz w:val="20"/>
                <w:szCs w:val="20"/>
                <w:color w:val="auto"/>
              </w:rPr>
            </w:pPr>
            <w:r>
              <w:rPr>
                <w:rFonts w:ascii="Arial" w:cs="Arial" w:eastAsia="Arial" w:hAnsi="Arial"/>
                <w:sz w:val="22"/>
                <w:szCs w:val="22"/>
                <w:b w:val="1"/>
                <w:bCs w:val="1"/>
                <w:color w:val="auto"/>
              </w:rPr>
              <w:t>20</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11.1</w:t>
            </w:r>
          </w:p>
        </w:tc>
        <w:tc>
          <w:tcPr>
            <w:tcW w:w="1900" w:type="dxa"/>
            <w:vAlign w:val="bottom"/>
            <w:gridSpan w:val="4"/>
          </w:tcPr>
          <w:p>
            <w:pPr>
              <w:ind w:left="160"/>
              <w:spacing w:after="0"/>
              <w:rPr>
                <w:sz w:val="20"/>
                <w:szCs w:val="20"/>
                <w:color w:val="auto"/>
              </w:rPr>
            </w:pPr>
            <w:r>
              <w:rPr>
                <w:rFonts w:ascii="Arial" w:cs="Arial" w:eastAsia="Arial" w:hAnsi="Arial"/>
                <w:sz w:val="22"/>
                <w:szCs w:val="22"/>
                <w:color w:val="auto"/>
              </w:rPr>
              <w:t>Non-Competition</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20</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960" w:type="dxa"/>
            <w:vAlign w:val="bottom"/>
          </w:tcPr>
          <w:p>
            <w:pPr>
              <w:ind w:left="320"/>
              <w:spacing w:after="0"/>
              <w:rPr>
                <w:sz w:val="20"/>
                <w:szCs w:val="20"/>
                <w:color w:val="auto"/>
              </w:rPr>
            </w:pPr>
            <w:r>
              <w:rPr>
                <w:rFonts w:ascii="Arial" w:cs="Arial" w:eastAsia="Arial" w:hAnsi="Arial"/>
                <w:sz w:val="22"/>
                <w:szCs w:val="22"/>
                <w:color w:val="auto"/>
              </w:rPr>
              <w:t>11.2</w:t>
            </w:r>
          </w:p>
        </w:tc>
        <w:tc>
          <w:tcPr>
            <w:tcW w:w="1680" w:type="dxa"/>
            <w:vAlign w:val="bottom"/>
            <w:gridSpan w:val="3"/>
          </w:tcPr>
          <w:p>
            <w:pPr>
              <w:ind w:left="160"/>
              <w:spacing w:after="0"/>
              <w:rPr>
                <w:sz w:val="20"/>
                <w:szCs w:val="20"/>
                <w:color w:val="auto"/>
              </w:rPr>
            </w:pPr>
            <w:r>
              <w:rPr>
                <w:rFonts w:ascii="Arial" w:cs="Arial" w:eastAsia="Arial" w:hAnsi="Arial"/>
                <w:sz w:val="22"/>
                <w:szCs w:val="22"/>
                <w:color w:val="auto"/>
              </w:rPr>
              <w:t>Export Control</w:t>
            </w:r>
          </w:p>
        </w:tc>
        <w:tc>
          <w:tcPr>
            <w:tcW w:w="220" w:type="dxa"/>
            <w:vAlign w:val="bottom"/>
          </w:tcPr>
          <w:p>
            <w:pPr>
              <w:jc w:val="right"/>
              <w:spacing w:after="0"/>
              <w:rPr>
                <w:sz w:val="20"/>
                <w:szCs w:val="20"/>
                <w:color w:val="auto"/>
              </w:rPr>
            </w:pPr>
            <w:r>
              <w:rPr>
                <w:rFonts w:ascii="Arial" w:cs="Arial" w:eastAsia="Arial" w:hAnsi="Arial"/>
                <w:sz w:val="22"/>
                <w:szCs w:val="22"/>
                <w:color w:val="auto"/>
                <w:w w:val="81"/>
              </w:rPr>
              <w:t>21</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6280" w:type="dxa"/>
            <w:vAlign w:val="bottom"/>
            <w:gridSpan w:val="9"/>
          </w:tcPr>
          <w:p>
            <w:pPr>
              <w:spacing w:after="0"/>
              <w:rPr>
                <w:sz w:val="20"/>
                <w:szCs w:val="20"/>
                <w:color w:val="auto"/>
              </w:rPr>
            </w:pPr>
            <w:r>
              <w:rPr>
                <w:rFonts w:ascii="Arial" w:cs="Arial" w:eastAsia="Arial" w:hAnsi="Arial"/>
                <w:sz w:val="22"/>
                <w:szCs w:val="22"/>
                <w:b w:val="1"/>
                <w:bCs w:val="1"/>
                <w:color w:val="auto"/>
              </w:rPr>
              <w:t>ARTICLE 12 TERM AND TERMINATION OF THE COMPANY</w:t>
            </w:r>
          </w:p>
        </w:tc>
        <w:tc>
          <w:tcPr>
            <w:tcW w:w="420" w:type="dxa"/>
            <w:vAlign w:val="bottom"/>
          </w:tcPr>
          <w:p>
            <w:pPr>
              <w:jc w:val="right"/>
              <w:ind w:right="32"/>
              <w:spacing w:after="0"/>
              <w:rPr>
                <w:sz w:val="20"/>
                <w:szCs w:val="20"/>
                <w:color w:val="auto"/>
              </w:rPr>
            </w:pPr>
            <w:r>
              <w:rPr>
                <w:rFonts w:ascii="Arial" w:cs="Arial" w:eastAsia="Arial" w:hAnsi="Arial"/>
                <w:sz w:val="22"/>
                <w:szCs w:val="22"/>
                <w:b w:val="1"/>
                <w:bCs w:val="1"/>
                <w:color w:val="auto"/>
              </w:rPr>
              <w:t>21</w:t>
            </w:r>
          </w:p>
        </w:tc>
        <w:tc>
          <w:tcPr>
            <w:tcW w:w="1000" w:type="dxa"/>
            <w:vAlign w:val="bottom"/>
          </w:tcPr>
          <w:p>
            <w:pPr>
              <w:spacing w:after="0"/>
              <w:rPr>
                <w:sz w:val="24"/>
                <w:szCs w:val="24"/>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12.1</w:t>
            </w:r>
          </w:p>
        </w:tc>
        <w:tc>
          <w:tcPr>
            <w:tcW w:w="2280" w:type="dxa"/>
            <w:vAlign w:val="bottom"/>
            <w:gridSpan w:val="5"/>
          </w:tcPr>
          <w:p>
            <w:pPr>
              <w:ind w:left="180"/>
              <w:spacing w:after="0"/>
              <w:rPr>
                <w:sz w:val="20"/>
                <w:szCs w:val="20"/>
                <w:color w:val="auto"/>
              </w:rPr>
            </w:pPr>
            <w:r>
              <w:rPr>
                <w:rFonts w:ascii="Arial" w:cs="Arial" w:eastAsia="Arial" w:hAnsi="Arial"/>
                <w:sz w:val="22"/>
                <w:szCs w:val="22"/>
                <w:color w:val="auto"/>
                <w:w w:val="97"/>
              </w:rPr>
              <w:t>Term of the Company</w:t>
            </w:r>
          </w:p>
        </w:tc>
        <w:tc>
          <w:tcPr>
            <w:tcW w:w="260" w:type="dxa"/>
            <w:vAlign w:val="bottom"/>
          </w:tcPr>
          <w:p>
            <w:pPr>
              <w:jc w:val="right"/>
              <w:spacing w:after="0"/>
              <w:rPr>
                <w:sz w:val="20"/>
                <w:szCs w:val="20"/>
                <w:color w:val="auto"/>
              </w:rPr>
            </w:pPr>
            <w:r>
              <w:rPr>
                <w:rFonts w:ascii="Arial" w:cs="Arial" w:eastAsia="Arial" w:hAnsi="Arial"/>
                <w:sz w:val="22"/>
                <w:szCs w:val="22"/>
                <w:color w:val="auto"/>
                <w:w w:val="81"/>
              </w:rPr>
              <w:t>21</w:t>
            </w: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12.2</w:t>
            </w:r>
          </w:p>
        </w:tc>
        <w:tc>
          <w:tcPr>
            <w:tcW w:w="2280" w:type="dxa"/>
            <w:vAlign w:val="bottom"/>
            <w:gridSpan w:val="5"/>
          </w:tcPr>
          <w:p>
            <w:pPr>
              <w:ind w:left="180"/>
              <w:spacing w:after="0"/>
              <w:rPr>
                <w:sz w:val="20"/>
                <w:szCs w:val="20"/>
                <w:color w:val="auto"/>
              </w:rPr>
            </w:pPr>
            <w:r>
              <w:rPr>
                <w:rFonts w:ascii="Arial" w:cs="Arial" w:eastAsia="Arial" w:hAnsi="Arial"/>
                <w:sz w:val="22"/>
                <w:szCs w:val="22"/>
                <w:color w:val="auto"/>
                <w:w w:val="97"/>
              </w:rPr>
              <w:t>Events of Termination</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21</w:t>
            </w: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12.3</w:t>
            </w:r>
          </w:p>
        </w:tc>
        <w:tc>
          <w:tcPr>
            <w:tcW w:w="5740" w:type="dxa"/>
            <w:vAlign w:val="bottom"/>
            <w:gridSpan w:val="9"/>
          </w:tcPr>
          <w:p>
            <w:pPr>
              <w:ind w:left="180"/>
              <w:spacing w:after="0"/>
              <w:rPr>
                <w:sz w:val="20"/>
                <w:szCs w:val="20"/>
                <w:color w:val="auto"/>
              </w:rPr>
            </w:pPr>
            <w:r>
              <w:rPr>
                <w:rFonts w:ascii="Arial" w:cs="Arial" w:eastAsia="Arial" w:hAnsi="Arial"/>
                <w:sz w:val="22"/>
                <w:szCs w:val="22"/>
                <w:color w:val="auto"/>
                <w:w w:val="91"/>
              </w:rPr>
              <w:t>Shareholders’ Meeting to Discuss Termination and Dissolution</w:t>
            </w:r>
          </w:p>
        </w:tc>
        <w:tc>
          <w:tcPr>
            <w:tcW w:w="1000" w:type="dxa"/>
            <w:vAlign w:val="bottom"/>
          </w:tcPr>
          <w:p>
            <w:pPr>
              <w:jc w:val="right"/>
              <w:ind w:right="592"/>
              <w:spacing w:after="0"/>
              <w:rPr>
                <w:sz w:val="20"/>
                <w:szCs w:val="20"/>
                <w:color w:val="auto"/>
              </w:rPr>
            </w:pPr>
            <w:r>
              <w:rPr>
                <w:rFonts w:ascii="Arial" w:cs="Arial" w:eastAsia="Arial" w:hAnsi="Arial"/>
                <w:sz w:val="22"/>
                <w:szCs w:val="22"/>
                <w:color w:val="auto"/>
              </w:rPr>
              <w:t>21</w:t>
            </w:r>
          </w:p>
        </w:tc>
      </w:tr>
      <w:tr>
        <w:trPr>
          <w:trHeight w:val="264"/>
        </w:trPr>
        <w:tc>
          <w:tcPr>
            <w:tcW w:w="960" w:type="dxa"/>
            <w:vAlign w:val="bottom"/>
          </w:tcPr>
          <w:p>
            <w:pPr>
              <w:ind w:left="320"/>
              <w:spacing w:after="0"/>
              <w:rPr>
                <w:sz w:val="20"/>
                <w:szCs w:val="20"/>
                <w:color w:val="auto"/>
              </w:rPr>
            </w:pPr>
            <w:r>
              <w:rPr>
                <w:rFonts w:ascii="Arial" w:cs="Arial" w:eastAsia="Arial" w:hAnsi="Arial"/>
                <w:sz w:val="22"/>
                <w:szCs w:val="22"/>
                <w:color w:val="auto"/>
              </w:rPr>
              <w:t>12.4</w:t>
            </w:r>
          </w:p>
        </w:tc>
        <w:tc>
          <w:tcPr>
            <w:tcW w:w="5320" w:type="dxa"/>
            <w:vAlign w:val="bottom"/>
            <w:gridSpan w:val="8"/>
          </w:tcPr>
          <w:p>
            <w:pPr>
              <w:ind w:left="180"/>
              <w:spacing w:after="0"/>
              <w:rPr>
                <w:sz w:val="20"/>
                <w:szCs w:val="20"/>
                <w:color w:val="auto"/>
              </w:rPr>
            </w:pPr>
            <w:r>
              <w:rPr>
                <w:rFonts w:ascii="Arial" w:cs="Arial" w:eastAsia="Arial" w:hAnsi="Arial"/>
                <w:sz w:val="22"/>
                <w:szCs w:val="22"/>
                <w:color w:val="auto"/>
              </w:rPr>
              <w:t>Dissolution due to Termination  22</w:t>
            </w: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6280" w:type="dxa"/>
            <w:vAlign w:val="bottom"/>
            <w:gridSpan w:val="9"/>
          </w:tcPr>
          <w:p>
            <w:pPr>
              <w:spacing w:after="0"/>
              <w:rPr>
                <w:sz w:val="20"/>
                <w:szCs w:val="20"/>
                <w:color w:val="auto"/>
              </w:rPr>
            </w:pPr>
            <w:r>
              <w:rPr>
                <w:rFonts w:ascii="Arial" w:cs="Arial" w:eastAsia="Arial" w:hAnsi="Arial"/>
                <w:sz w:val="22"/>
                <w:szCs w:val="22"/>
                <w:b w:val="1"/>
                <w:bCs w:val="1"/>
                <w:color w:val="auto"/>
              </w:rPr>
              <w:t>ARTICLE 13 DISSOLUTION AND LIQUIDATION  22</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13.1</w:t>
            </w:r>
          </w:p>
        </w:tc>
        <w:tc>
          <w:tcPr>
            <w:tcW w:w="2280" w:type="dxa"/>
            <w:vAlign w:val="bottom"/>
            <w:gridSpan w:val="5"/>
          </w:tcPr>
          <w:p>
            <w:pPr>
              <w:ind w:left="180"/>
              <w:spacing w:after="0"/>
              <w:rPr>
                <w:sz w:val="20"/>
                <w:szCs w:val="20"/>
                <w:color w:val="auto"/>
              </w:rPr>
            </w:pPr>
            <w:r>
              <w:rPr>
                <w:rFonts w:ascii="Arial" w:cs="Arial" w:eastAsia="Arial" w:hAnsi="Arial"/>
                <w:sz w:val="22"/>
                <w:szCs w:val="22"/>
                <w:color w:val="auto"/>
                <w:w w:val="95"/>
              </w:rPr>
              <w:t>Liquidation Committee</w:t>
            </w:r>
          </w:p>
        </w:tc>
        <w:tc>
          <w:tcPr>
            <w:tcW w:w="880" w:type="dxa"/>
            <w:vAlign w:val="bottom"/>
            <w:gridSpan w:val="2"/>
          </w:tcPr>
          <w:p>
            <w:pPr>
              <w:jc w:val="right"/>
              <w:ind w:right="432"/>
              <w:spacing w:after="0"/>
              <w:rPr>
                <w:sz w:val="20"/>
                <w:szCs w:val="20"/>
                <w:color w:val="auto"/>
              </w:rPr>
            </w:pPr>
            <w:r>
              <w:rPr>
                <w:rFonts w:ascii="Arial" w:cs="Arial" w:eastAsia="Arial" w:hAnsi="Arial"/>
                <w:sz w:val="22"/>
                <w:szCs w:val="22"/>
                <w:color w:val="auto"/>
              </w:rPr>
              <w:t>22</w:t>
            </w: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13.2</w:t>
            </w:r>
          </w:p>
        </w:tc>
        <w:tc>
          <w:tcPr>
            <w:tcW w:w="2540" w:type="dxa"/>
            <w:vAlign w:val="bottom"/>
            <w:gridSpan w:val="6"/>
          </w:tcPr>
          <w:p>
            <w:pPr>
              <w:ind w:left="180"/>
              <w:spacing w:after="0"/>
              <w:rPr>
                <w:sz w:val="20"/>
                <w:szCs w:val="20"/>
                <w:color w:val="auto"/>
              </w:rPr>
            </w:pPr>
            <w:r>
              <w:rPr>
                <w:rFonts w:ascii="Arial" w:cs="Arial" w:eastAsia="Arial" w:hAnsi="Arial"/>
                <w:sz w:val="22"/>
                <w:szCs w:val="22"/>
                <w:color w:val="auto"/>
              </w:rPr>
              <w:t>Principles of Liquidation</w:t>
            </w:r>
          </w:p>
        </w:tc>
        <w:tc>
          <w:tcPr>
            <w:tcW w:w="620" w:type="dxa"/>
            <w:vAlign w:val="bottom"/>
          </w:tcPr>
          <w:p>
            <w:pPr>
              <w:jc w:val="right"/>
              <w:ind w:right="292"/>
              <w:spacing w:after="0"/>
              <w:rPr>
                <w:sz w:val="20"/>
                <w:szCs w:val="20"/>
                <w:color w:val="auto"/>
              </w:rPr>
            </w:pPr>
            <w:r>
              <w:rPr>
                <w:rFonts w:ascii="Arial" w:cs="Arial" w:eastAsia="Arial" w:hAnsi="Arial"/>
                <w:sz w:val="22"/>
                <w:szCs w:val="22"/>
                <w:color w:val="auto"/>
                <w:w w:val="81"/>
              </w:rPr>
              <w:t>22</w:t>
            </w: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960" w:type="dxa"/>
            <w:vAlign w:val="bottom"/>
          </w:tcPr>
          <w:p>
            <w:pPr>
              <w:ind w:left="320"/>
              <w:spacing w:after="0"/>
              <w:rPr>
                <w:sz w:val="20"/>
                <w:szCs w:val="20"/>
                <w:color w:val="auto"/>
              </w:rPr>
            </w:pPr>
            <w:r>
              <w:rPr>
                <w:rFonts w:ascii="Arial" w:cs="Arial" w:eastAsia="Arial" w:hAnsi="Arial"/>
                <w:sz w:val="22"/>
                <w:szCs w:val="22"/>
                <w:color w:val="auto"/>
              </w:rPr>
              <w:t>13.3</w:t>
            </w:r>
          </w:p>
        </w:tc>
        <w:tc>
          <w:tcPr>
            <w:tcW w:w="980" w:type="dxa"/>
            <w:vAlign w:val="bottom"/>
          </w:tcPr>
          <w:p>
            <w:pPr>
              <w:ind w:left="180"/>
              <w:spacing w:after="0"/>
              <w:rPr>
                <w:sz w:val="20"/>
                <w:szCs w:val="20"/>
                <w:color w:val="auto"/>
              </w:rPr>
            </w:pPr>
            <w:r>
              <w:rPr>
                <w:rFonts w:ascii="Arial" w:cs="Arial" w:eastAsia="Arial" w:hAnsi="Arial"/>
                <w:sz w:val="22"/>
                <w:szCs w:val="22"/>
                <w:color w:val="auto"/>
                <w:w w:val="99"/>
              </w:rPr>
              <w:t>Survival</w:t>
            </w:r>
          </w:p>
        </w:tc>
        <w:tc>
          <w:tcPr>
            <w:tcW w:w="700" w:type="dxa"/>
            <w:vAlign w:val="bottom"/>
            <w:gridSpan w:val="2"/>
          </w:tcPr>
          <w:p>
            <w:pPr>
              <w:jc w:val="right"/>
              <w:ind w:right="232"/>
              <w:spacing w:after="0"/>
              <w:rPr>
                <w:sz w:val="20"/>
                <w:szCs w:val="20"/>
                <w:color w:val="auto"/>
              </w:rPr>
            </w:pPr>
            <w:r>
              <w:rPr>
                <w:rFonts w:ascii="Arial" w:cs="Arial" w:eastAsia="Arial" w:hAnsi="Arial"/>
                <w:sz w:val="22"/>
                <w:szCs w:val="22"/>
                <w:color w:val="auto"/>
              </w:rPr>
              <w:t>22</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3500" w:type="dxa"/>
            <w:vAlign w:val="bottom"/>
            <w:gridSpan w:val="7"/>
          </w:tcPr>
          <w:p>
            <w:pPr>
              <w:spacing w:after="0"/>
              <w:rPr>
                <w:sz w:val="20"/>
                <w:szCs w:val="20"/>
                <w:color w:val="auto"/>
              </w:rPr>
            </w:pPr>
            <w:r>
              <w:rPr>
                <w:rFonts w:ascii="Arial" w:cs="Arial" w:eastAsia="Arial" w:hAnsi="Arial"/>
                <w:sz w:val="22"/>
                <w:szCs w:val="22"/>
                <w:b w:val="1"/>
                <w:bCs w:val="1"/>
                <w:color w:val="auto"/>
              </w:rPr>
              <w:t>ARTICLE 14 INDEMNIFICATION</w:t>
            </w:r>
          </w:p>
        </w:tc>
        <w:tc>
          <w:tcPr>
            <w:tcW w:w="620" w:type="dxa"/>
            <w:vAlign w:val="bottom"/>
          </w:tcPr>
          <w:p>
            <w:pPr>
              <w:jc w:val="right"/>
              <w:ind w:right="232"/>
              <w:spacing w:after="0"/>
              <w:rPr>
                <w:sz w:val="20"/>
                <w:szCs w:val="20"/>
                <w:color w:val="auto"/>
              </w:rPr>
            </w:pPr>
            <w:r>
              <w:rPr>
                <w:rFonts w:ascii="Arial" w:cs="Arial" w:eastAsia="Arial" w:hAnsi="Arial"/>
                <w:sz w:val="22"/>
                <w:szCs w:val="22"/>
                <w:b w:val="1"/>
                <w:bCs w:val="1"/>
                <w:color w:val="auto"/>
              </w:rPr>
              <w:t>22</w:t>
            </w:r>
          </w:p>
        </w:tc>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14.1</w:t>
            </w:r>
          </w:p>
        </w:tc>
        <w:tc>
          <w:tcPr>
            <w:tcW w:w="2540" w:type="dxa"/>
            <w:vAlign w:val="bottom"/>
            <w:gridSpan w:val="6"/>
          </w:tcPr>
          <w:p>
            <w:pPr>
              <w:ind w:left="180"/>
              <w:spacing w:after="0"/>
              <w:rPr>
                <w:sz w:val="20"/>
                <w:szCs w:val="20"/>
                <w:color w:val="auto"/>
              </w:rPr>
            </w:pPr>
            <w:r>
              <w:rPr>
                <w:rFonts w:ascii="Arial" w:cs="Arial" w:eastAsia="Arial" w:hAnsi="Arial"/>
                <w:sz w:val="22"/>
                <w:szCs w:val="22"/>
                <w:color w:val="auto"/>
                <w:w w:val="91"/>
              </w:rPr>
              <w:t>Indemnification for Breach</w:t>
            </w:r>
          </w:p>
        </w:tc>
        <w:tc>
          <w:tcPr>
            <w:tcW w:w="620" w:type="dxa"/>
            <w:vAlign w:val="bottom"/>
          </w:tcPr>
          <w:p>
            <w:pPr>
              <w:jc w:val="right"/>
              <w:ind w:right="92"/>
              <w:spacing w:after="0"/>
              <w:rPr>
                <w:sz w:val="20"/>
                <w:szCs w:val="20"/>
                <w:color w:val="auto"/>
              </w:rPr>
            </w:pPr>
            <w:r>
              <w:rPr>
                <w:rFonts w:ascii="Arial" w:cs="Arial" w:eastAsia="Arial" w:hAnsi="Arial"/>
                <w:sz w:val="22"/>
                <w:szCs w:val="22"/>
                <w:color w:val="auto"/>
              </w:rPr>
              <w:t>22</w:t>
            </w: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960" w:type="dxa"/>
            <w:vAlign w:val="bottom"/>
          </w:tcPr>
          <w:p>
            <w:pPr>
              <w:ind w:left="320"/>
              <w:spacing w:after="0"/>
              <w:rPr>
                <w:sz w:val="20"/>
                <w:szCs w:val="20"/>
                <w:color w:val="auto"/>
              </w:rPr>
            </w:pPr>
            <w:r>
              <w:rPr>
                <w:rFonts w:ascii="Arial" w:cs="Arial" w:eastAsia="Arial" w:hAnsi="Arial"/>
                <w:sz w:val="22"/>
                <w:szCs w:val="22"/>
                <w:color w:val="auto"/>
              </w:rPr>
              <w:t>14.2</w:t>
            </w:r>
          </w:p>
        </w:tc>
        <w:tc>
          <w:tcPr>
            <w:tcW w:w="2540" w:type="dxa"/>
            <w:vAlign w:val="bottom"/>
            <w:gridSpan w:val="6"/>
          </w:tcPr>
          <w:p>
            <w:pPr>
              <w:ind w:left="180"/>
              <w:spacing w:after="0"/>
              <w:rPr>
                <w:sz w:val="20"/>
                <w:szCs w:val="20"/>
                <w:color w:val="auto"/>
              </w:rPr>
            </w:pPr>
            <w:r>
              <w:rPr>
                <w:rFonts w:ascii="Arial" w:cs="Arial" w:eastAsia="Arial" w:hAnsi="Arial"/>
                <w:sz w:val="22"/>
                <w:szCs w:val="22"/>
                <w:color w:val="auto"/>
                <w:w w:val="98"/>
              </w:rPr>
              <w:t>Damages for Breach  23</w:t>
            </w:r>
          </w:p>
        </w:tc>
        <w:tc>
          <w:tcPr>
            <w:tcW w:w="6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6280" w:type="dxa"/>
            <w:vAlign w:val="bottom"/>
            <w:gridSpan w:val="9"/>
          </w:tcPr>
          <w:p>
            <w:pPr>
              <w:spacing w:after="0"/>
              <w:rPr>
                <w:sz w:val="20"/>
                <w:szCs w:val="20"/>
                <w:color w:val="auto"/>
              </w:rPr>
            </w:pPr>
            <w:r>
              <w:rPr>
                <w:rFonts w:ascii="Arial" w:cs="Arial" w:eastAsia="Arial" w:hAnsi="Arial"/>
                <w:sz w:val="22"/>
                <w:szCs w:val="22"/>
                <w:b w:val="1"/>
                <w:bCs w:val="1"/>
                <w:color w:val="auto"/>
                <w:w w:val="99"/>
              </w:rPr>
              <w:t>ARTICLE 15 GOVERNING LAW AND DISPUTE RESOLUTION</w:t>
            </w:r>
          </w:p>
        </w:tc>
        <w:tc>
          <w:tcPr>
            <w:tcW w:w="420" w:type="dxa"/>
            <w:vAlign w:val="bottom"/>
          </w:tcPr>
          <w:p>
            <w:pPr>
              <w:jc w:val="right"/>
              <w:spacing w:after="0"/>
              <w:rPr>
                <w:sz w:val="20"/>
                <w:szCs w:val="20"/>
                <w:color w:val="auto"/>
              </w:rPr>
            </w:pPr>
            <w:r>
              <w:rPr>
                <w:rFonts w:ascii="Arial" w:cs="Arial" w:eastAsia="Arial" w:hAnsi="Arial"/>
                <w:sz w:val="22"/>
                <w:szCs w:val="22"/>
                <w:b w:val="1"/>
                <w:bCs w:val="1"/>
                <w:color w:val="auto"/>
              </w:rPr>
              <w:t>23</w:t>
            </w:r>
          </w:p>
        </w:tc>
        <w:tc>
          <w:tcPr>
            <w:tcW w:w="1000" w:type="dxa"/>
            <w:vAlign w:val="bottom"/>
          </w:tcPr>
          <w:p>
            <w:pPr>
              <w:spacing w:after="0"/>
              <w:rPr>
                <w:sz w:val="24"/>
                <w:szCs w:val="24"/>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15.1</w:t>
            </w:r>
          </w:p>
        </w:tc>
        <w:tc>
          <w:tcPr>
            <w:tcW w:w="1680" w:type="dxa"/>
            <w:vAlign w:val="bottom"/>
            <w:gridSpan w:val="3"/>
          </w:tcPr>
          <w:p>
            <w:pPr>
              <w:ind w:left="180"/>
              <w:spacing w:after="0"/>
              <w:rPr>
                <w:sz w:val="20"/>
                <w:szCs w:val="20"/>
                <w:color w:val="auto"/>
              </w:rPr>
            </w:pPr>
            <w:r>
              <w:rPr>
                <w:rFonts w:ascii="Arial" w:cs="Arial" w:eastAsia="Arial" w:hAnsi="Arial"/>
                <w:sz w:val="22"/>
                <w:szCs w:val="22"/>
                <w:color w:val="auto"/>
              </w:rPr>
              <w:t>Applicable Law</w:t>
            </w:r>
          </w:p>
        </w:tc>
        <w:tc>
          <w:tcPr>
            <w:tcW w:w="600" w:type="dxa"/>
            <w:vAlign w:val="bottom"/>
            <w:gridSpan w:val="2"/>
          </w:tcPr>
          <w:p>
            <w:pPr>
              <w:jc w:val="right"/>
              <w:ind w:right="192"/>
              <w:spacing w:after="0"/>
              <w:rPr>
                <w:sz w:val="20"/>
                <w:szCs w:val="20"/>
                <w:color w:val="auto"/>
              </w:rPr>
            </w:pPr>
            <w:r>
              <w:rPr>
                <w:rFonts w:ascii="Arial" w:cs="Arial" w:eastAsia="Arial" w:hAnsi="Arial"/>
                <w:sz w:val="22"/>
                <w:szCs w:val="22"/>
                <w:color w:val="auto"/>
              </w:rPr>
              <w:t>23</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15.2</w:t>
            </w:r>
          </w:p>
        </w:tc>
        <w:tc>
          <w:tcPr>
            <w:tcW w:w="1900" w:type="dxa"/>
            <w:vAlign w:val="bottom"/>
            <w:gridSpan w:val="4"/>
          </w:tcPr>
          <w:p>
            <w:pPr>
              <w:ind w:left="180"/>
              <w:spacing w:after="0"/>
              <w:rPr>
                <w:sz w:val="20"/>
                <w:szCs w:val="20"/>
                <w:color w:val="auto"/>
              </w:rPr>
            </w:pPr>
            <w:r>
              <w:rPr>
                <w:rFonts w:ascii="Arial" w:cs="Arial" w:eastAsia="Arial" w:hAnsi="Arial"/>
                <w:sz w:val="22"/>
                <w:szCs w:val="22"/>
                <w:color w:val="auto"/>
                <w:w w:val="92"/>
              </w:rPr>
              <w:t>Dispute Resolution</w:t>
            </w:r>
          </w:p>
        </w:tc>
        <w:tc>
          <w:tcPr>
            <w:tcW w:w="380" w:type="dxa"/>
            <w:vAlign w:val="bottom"/>
          </w:tcPr>
          <w:p>
            <w:pPr>
              <w:jc w:val="right"/>
              <w:spacing w:after="0"/>
              <w:rPr>
                <w:sz w:val="20"/>
                <w:szCs w:val="20"/>
                <w:color w:val="auto"/>
              </w:rPr>
            </w:pPr>
            <w:r>
              <w:rPr>
                <w:rFonts w:ascii="Arial" w:cs="Arial" w:eastAsia="Arial" w:hAnsi="Arial"/>
                <w:sz w:val="22"/>
                <w:szCs w:val="22"/>
                <w:color w:val="auto"/>
              </w:rPr>
              <w:t>23</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15.3</w:t>
            </w:r>
          </w:p>
        </w:tc>
        <w:tc>
          <w:tcPr>
            <w:tcW w:w="1240" w:type="dxa"/>
            <w:vAlign w:val="bottom"/>
            <w:gridSpan w:val="2"/>
          </w:tcPr>
          <w:p>
            <w:pPr>
              <w:ind w:left="180"/>
              <w:spacing w:after="0"/>
              <w:rPr>
                <w:sz w:val="20"/>
                <w:szCs w:val="20"/>
                <w:color w:val="auto"/>
              </w:rPr>
            </w:pPr>
            <w:r>
              <w:rPr>
                <w:rFonts w:ascii="Arial" w:cs="Arial" w:eastAsia="Arial" w:hAnsi="Arial"/>
                <w:sz w:val="22"/>
                <w:szCs w:val="22"/>
                <w:color w:val="auto"/>
              </w:rPr>
              <w:t>Arbitration</w:t>
            </w:r>
          </w:p>
        </w:tc>
        <w:tc>
          <w:tcPr>
            <w:tcW w:w="440" w:type="dxa"/>
            <w:vAlign w:val="bottom"/>
          </w:tcPr>
          <w:p>
            <w:pPr>
              <w:jc w:val="right"/>
              <w:ind w:right="12"/>
              <w:spacing w:after="0"/>
              <w:rPr>
                <w:sz w:val="20"/>
                <w:szCs w:val="20"/>
                <w:color w:val="auto"/>
              </w:rPr>
            </w:pPr>
            <w:r>
              <w:rPr>
                <w:rFonts w:ascii="Arial" w:cs="Arial" w:eastAsia="Arial" w:hAnsi="Arial"/>
                <w:sz w:val="22"/>
                <w:szCs w:val="22"/>
                <w:color w:val="auto"/>
              </w:rPr>
              <w:t>23</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960" w:type="dxa"/>
            <w:vAlign w:val="bottom"/>
          </w:tcPr>
          <w:p>
            <w:pPr>
              <w:ind w:left="320"/>
              <w:spacing w:after="0"/>
              <w:rPr>
                <w:sz w:val="20"/>
                <w:szCs w:val="20"/>
                <w:color w:val="auto"/>
              </w:rPr>
            </w:pPr>
            <w:r>
              <w:rPr>
                <w:rFonts w:ascii="Arial" w:cs="Arial" w:eastAsia="Arial" w:hAnsi="Arial"/>
                <w:sz w:val="22"/>
                <w:szCs w:val="22"/>
                <w:color w:val="auto"/>
              </w:rPr>
              <w:t>15.4</w:t>
            </w:r>
          </w:p>
        </w:tc>
        <w:tc>
          <w:tcPr>
            <w:tcW w:w="2280" w:type="dxa"/>
            <w:vAlign w:val="bottom"/>
            <w:gridSpan w:val="5"/>
          </w:tcPr>
          <w:p>
            <w:pPr>
              <w:ind w:left="180"/>
              <w:spacing w:after="0"/>
              <w:rPr>
                <w:sz w:val="20"/>
                <w:szCs w:val="20"/>
                <w:color w:val="auto"/>
              </w:rPr>
            </w:pPr>
            <w:r>
              <w:rPr>
                <w:rFonts w:ascii="Arial" w:cs="Arial" w:eastAsia="Arial" w:hAnsi="Arial"/>
                <w:sz w:val="22"/>
                <w:szCs w:val="22"/>
                <w:color w:val="auto"/>
                <w:w w:val="89"/>
              </w:rPr>
              <w:t>Continued Performance</w:t>
            </w:r>
          </w:p>
        </w:tc>
        <w:tc>
          <w:tcPr>
            <w:tcW w:w="880" w:type="dxa"/>
            <w:vAlign w:val="bottom"/>
            <w:gridSpan w:val="2"/>
          </w:tcPr>
          <w:p>
            <w:pPr>
              <w:jc w:val="right"/>
              <w:ind w:right="392"/>
              <w:spacing w:after="0"/>
              <w:rPr>
                <w:sz w:val="20"/>
                <w:szCs w:val="20"/>
                <w:color w:val="auto"/>
              </w:rPr>
            </w:pPr>
            <w:r>
              <w:rPr>
                <w:rFonts w:ascii="Arial" w:cs="Arial" w:eastAsia="Arial" w:hAnsi="Arial"/>
                <w:sz w:val="22"/>
                <w:szCs w:val="22"/>
                <w:color w:val="auto"/>
              </w:rPr>
              <w:t>24</w:t>
            </w:r>
          </w:p>
        </w:tc>
        <w:tc>
          <w:tcPr>
            <w:tcW w:w="2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6280" w:type="dxa"/>
            <w:vAlign w:val="bottom"/>
            <w:gridSpan w:val="9"/>
          </w:tcPr>
          <w:p>
            <w:pPr>
              <w:spacing w:after="0"/>
              <w:rPr>
                <w:sz w:val="20"/>
                <w:szCs w:val="20"/>
                <w:color w:val="auto"/>
              </w:rPr>
            </w:pPr>
            <w:r>
              <w:rPr>
                <w:rFonts w:ascii="Arial" w:cs="Arial" w:eastAsia="Arial" w:hAnsi="Arial"/>
                <w:sz w:val="22"/>
                <w:szCs w:val="22"/>
                <w:b w:val="1"/>
                <w:bCs w:val="1"/>
                <w:color w:val="auto"/>
              </w:rPr>
              <w:t>ARTICLE 16 MISCELLANEOUS PROVISIONS  24</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16.1</w:t>
            </w:r>
          </w:p>
        </w:tc>
        <w:tc>
          <w:tcPr>
            <w:tcW w:w="3160" w:type="dxa"/>
            <w:vAlign w:val="bottom"/>
            <w:gridSpan w:val="7"/>
          </w:tcPr>
          <w:p>
            <w:pPr>
              <w:ind w:left="180"/>
              <w:spacing w:after="0"/>
              <w:rPr>
                <w:sz w:val="20"/>
                <w:szCs w:val="20"/>
                <w:color w:val="auto"/>
              </w:rPr>
            </w:pPr>
            <w:r>
              <w:rPr>
                <w:rFonts w:ascii="Arial" w:cs="Arial" w:eastAsia="Arial" w:hAnsi="Arial"/>
                <w:sz w:val="22"/>
                <w:szCs w:val="22"/>
                <w:color w:val="auto"/>
                <w:w w:val="95"/>
              </w:rPr>
              <w:t>Effectiveness of this Agreement</w:t>
            </w:r>
          </w:p>
        </w:tc>
        <w:tc>
          <w:tcPr>
            <w:tcW w:w="2160" w:type="dxa"/>
            <w:vAlign w:val="bottom"/>
          </w:tcPr>
          <w:p>
            <w:pPr>
              <w:jc w:val="right"/>
              <w:ind w:right="1832"/>
              <w:spacing w:after="0"/>
              <w:rPr>
                <w:sz w:val="20"/>
                <w:szCs w:val="20"/>
                <w:color w:val="auto"/>
              </w:rPr>
            </w:pPr>
            <w:r>
              <w:rPr>
                <w:rFonts w:ascii="Arial" w:cs="Arial" w:eastAsia="Arial" w:hAnsi="Arial"/>
                <w:sz w:val="22"/>
                <w:szCs w:val="22"/>
                <w:color w:val="auto"/>
                <w:w w:val="81"/>
              </w:rPr>
              <w:t>24</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16.2</w:t>
            </w:r>
          </w:p>
        </w:tc>
        <w:tc>
          <w:tcPr>
            <w:tcW w:w="1900" w:type="dxa"/>
            <w:vAlign w:val="bottom"/>
            <w:gridSpan w:val="4"/>
          </w:tcPr>
          <w:p>
            <w:pPr>
              <w:ind w:left="180"/>
              <w:spacing w:after="0"/>
              <w:rPr>
                <w:sz w:val="20"/>
                <w:szCs w:val="20"/>
                <w:color w:val="auto"/>
              </w:rPr>
            </w:pPr>
            <w:r>
              <w:rPr>
                <w:rFonts w:ascii="Arial" w:cs="Arial" w:eastAsia="Arial" w:hAnsi="Arial"/>
                <w:sz w:val="22"/>
                <w:szCs w:val="22"/>
                <w:color w:val="auto"/>
                <w:w w:val="99"/>
              </w:rPr>
              <w:t>Entire Agreement</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w w:val="89"/>
              </w:rPr>
              <w:t>24</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16.3</w:t>
            </w:r>
          </w:p>
        </w:tc>
        <w:tc>
          <w:tcPr>
            <w:tcW w:w="1240" w:type="dxa"/>
            <w:vAlign w:val="bottom"/>
            <w:gridSpan w:val="2"/>
          </w:tcPr>
          <w:p>
            <w:pPr>
              <w:ind w:left="180"/>
              <w:spacing w:after="0"/>
              <w:rPr>
                <w:sz w:val="20"/>
                <w:szCs w:val="20"/>
                <w:color w:val="auto"/>
              </w:rPr>
            </w:pPr>
            <w:r>
              <w:rPr>
                <w:rFonts w:ascii="Arial" w:cs="Arial" w:eastAsia="Arial" w:hAnsi="Arial"/>
                <w:sz w:val="22"/>
                <w:szCs w:val="22"/>
                <w:color w:val="auto"/>
              </w:rPr>
              <w:t>Language</w:t>
            </w:r>
          </w:p>
        </w:tc>
        <w:tc>
          <w:tcPr>
            <w:tcW w:w="440" w:type="dxa"/>
            <w:vAlign w:val="bottom"/>
          </w:tcPr>
          <w:p>
            <w:pPr>
              <w:jc w:val="right"/>
              <w:ind w:right="112"/>
              <w:spacing w:after="0"/>
              <w:rPr>
                <w:sz w:val="20"/>
                <w:szCs w:val="20"/>
                <w:color w:val="auto"/>
              </w:rPr>
            </w:pPr>
            <w:r>
              <w:rPr>
                <w:rFonts w:ascii="Arial" w:cs="Arial" w:eastAsia="Arial" w:hAnsi="Arial"/>
                <w:sz w:val="22"/>
                <w:szCs w:val="22"/>
                <w:color w:val="auto"/>
                <w:w w:val="81"/>
              </w:rPr>
              <w:t>24</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16.4</w:t>
            </w:r>
          </w:p>
        </w:tc>
        <w:tc>
          <w:tcPr>
            <w:tcW w:w="1240" w:type="dxa"/>
            <w:vAlign w:val="bottom"/>
            <w:gridSpan w:val="2"/>
          </w:tcPr>
          <w:p>
            <w:pPr>
              <w:ind w:left="180"/>
              <w:spacing w:after="0"/>
              <w:rPr>
                <w:sz w:val="20"/>
                <w:szCs w:val="20"/>
                <w:color w:val="auto"/>
              </w:rPr>
            </w:pPr>
            <w:r>
              <w:rPr>
                <w:rFonts w:ascii="Arial" w:cs="Arial" w:eastAsia="Arial" w:hAnsi="Arial"/>
                <w:sz w:val="22"/>
                <w:szCs w:val="22"/>
                <w:color w:val="auto"/>
                <w:w w:val="87"/>
              </w:rPr>
              <w:t>Amendment</w:t>
            </w:r>
          </w:p>
        </w:tc>
        <w:tc>
          <w:tcPr>
            <w:tcW w:w="440" w:type="dxa"/>
            <w:vAlign w:val="bottom"/>
          </w:tcPr>
          <w:p>
            <w:pPr>
              <w:jc w:val="right"/>
              <w:spacing w:after="0"/>
              <w:rPr>
                <w:sz w:val="20"/>
                <w:szCs w:val="20"/>
                <w:color w:val="auto"/>
              </w:rPr>
            </w:pPr>
            <w:r>
              <w:rPr>
                <w:rFonts w:ascii="Arial" w:cs="Arial" w:eastAsia="Arial" w:hAnsi="Arial"/>
                <w:sz w:val="22"/>
                <w:szCs w:val="22"/>
                <w:color w:val="auto"/>
              </w:rPr>
              <w:t>24</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16.5</w:t>
            </w:r>
          </w:p>
        </w:tc>
        <w:tc>
          <w:tcPr>
            <w:tcW w:w="1240" w:type="dxa"/>
            <w:vAlign w:val="bottom"/>
            <w:gridSpan w:val="2"/>
          </w:tcPr>
          <w:p>
            <w:pPr>
              <w:ind w:left="180"/>
              <w:spacing w:after="0"/>
              <w:rPr>
                <w:sz w:val="20"/>
                <w:szCs w:val="20"/>
                <w:color w:val="auto"/>
              </w:rPr>
            </w:pPr>
            <w:r>
              <w:rPr>
                <w:rFonts w:ascii="Arial" w:cs="Arial" w:eastAsia="Arial" w:hAnsi="Arial"/>
                <w:sz w:val="22"/>
                <w:szCs w:val="22"/>
                <w:color w:val="auto"/>
                <w:w w:val="91"/>
              </w:rPr>
              <w:t>Severability</w:t>
            </w:r>
          </w:p>
        </w:tc>
        <w:tc>
          <w:tcPr>
            <w:tcW w:w="440" w:type="dxa"/>
            <w:vAlign w:val="bottom"/>
          </w:tcPr>
          <w:p>
            <w:pPr>
              <w:jc w:val="right"/>
              <w:spacing w:after="0"/>
              <w:rPr>
                <w:sz w:val="20"/>
                <w:szCs w:val="20"/>
                <w:color w:val="auto"/>
              </w:rPr>
            </w:pPr>
            <w:r>
              <w:rPr>
                <w:rFonts w:ascii="Arial" w:cs="Arial" w:eastAsia="Arial" w:hAnsi="Arial"/>
                <w:sz w:val="22"/>
                <w:szCs w:val="22"/>
                <w:color w:val="auto"/>
              </w:rPr>
              <w:t>24</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4"/>
        </w:trPr>
        <w:tc>
          <w:tcPr>
            <w:tcW w:w="960" w:type="dxa"/>
            <w:vAlign w:val="bottom"/>
          </w:tcPr>
          <w:p>
            <w:pPr>
              <w:ind w:left="320"/>
              <w:spacing w:after="0"/>
              <w:rPr>
                <w:sz w:val="20"/>
                <w:szCs w:val="20"/>
                <w:color w:val="auto"/>
              </w:rPr>
            </w:pPr>
            <w:r>
              <w:rPr>
                <w:rFonts w:ascii="Arial" w:cs="Arial" w:eastAsia="Arial" w:hAnsi="Arial"/>
                <w:sz w:val="22"/>
                <w:szCs w:val="22"/>
                <w:color w:val="auto"/>
              </w:rPr>
              <w:t>16.6</w:t>
            </w:r>
          </w:p>
        </w:tc>
        <w:tc>
          <w:tcPr>
            <w:tcW w:w="1680" w:type="dxa"/>
            <w:vAlign w:val="bottom"/>
            <w:gridSpan w:val="3"/>
          </w:tcPr>
          <w:p>
            <w:pPr>
              <w:ind w:left="180"/>
              <w:spacing w:after="0"/>
              <w:rPr>
                <w:sz w:val="20"/>
                <w:szCs w:val="20"/>
                <w:color w:val="auto"/>
              </w:rPr>
            </w:pPr>
            <w:r>
              <w:rPr>
                <w:rFonts w:ascii="Arial" w:cs="Arial" w:eastAsia="Arial" w:hAnsi="Arial"/>
                <w:sz w:val="22"/>
                <w:szCs w:val="22"/>
                <w:color w:val="auto"/>
                <w:w w:val="86"/>
              </w:rPr>
              <w:t>Parties in Interest</w:t>
            </w:r>
          </w:p>
        </w:tc>
        <w:tc>
          <w:tcPr>
            <w:tcW w:w="220" w:type="dxa"/>
            <w:vAlign w:val="bottom"/>
          </w:tcPr>
          <w:p>
            <w:pPr>
              <w:spacing w:after="0"/>
              <w:rPr>
                <w:sz w:val="23"/>
                <w:szCs w:val="23"/>
                <w:color w:val="auto"/>
              </w:rPr>
            </w:pP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24</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60"/>
        </w:trPr>
        <w:tc>
          <w:tcPr>
            <w:tcW w:w="960" w:type="dxa"/>
            <w:vAlign w:val="bottom"/>
          </w:tcPr>
          <w:p>
            <w:pPr>
              <w:ind w:left="320"/>
              <w:spacing w:after="0"/>
              <w:rPr>
                <w:sz w:val="20"/>
                <w:szCs w:val="20"/>
                <w:color w:val="auto"/>
              </w:rPr>
            </w:pPr>
            <w:r>
              <w:rPr>
                <w:rFonts w:ascii="Arial" w:cs="Arial" w:eastAsia="Arial" w:hAnsi="Arial"/>
                <w:sz w:val="22"/>
                <w:szCs w:val="22"/>
                <w:color w:val="auto"/>
              </w:rPr>
              <w:t>16.7</w:t>
            </w:r>
          </w:p>
        </w:tc>
        <w:tc>
          <w:tcPr>
            <w:tcW w:w="1900" w:type="dxa"/>
            <w:vAlign w:val="bottom"/>
            <w:gridSpan w:val="4"/>
          </w:tcPr>
          <w:p>
            <w:pPr>
              <w:ind w:left="180"/>
              <w:spacing w:after="0"/>
              <w:rPr>
                <w:sz w:val="20"/>
                <w:szCs w:val="20"/>
                <w:color w:val="auto"/>
              </w:rPr>
            </w:pPr>
            <w:r>
              <w:rPr>
                <w:rFonts w:ascii="Arial" w:cs="Arial" w:eastAsia="Arial" w:hAnsi="Arial"/>
                <w:sz w:val="22"/>
                <w:szCs w:val="22"/>
                <w:color w:val="auto"/>
                <w:w w:val="84"/>
              </w:rPr>
              <w:t>Costs and Expenses</w:t>
            </w:r>
          </w:p>
        </w:tc>
        <w:tc>
          <w:tcPr>
            <w:tcW w:w="640" w:type="dxa"/>
            <w:vAlign w:val="bottom"/>
            <w:gridSpan w:val="2"/>
          </w:tcPr>
          <w:p>
            <w:pPr>
              <w:jc w:val="right"/>
              <w:ind w:right="112"/>
              <w:spacing w:after="0"/>
              <w:rPr>
                <w:sz w:val="20"/>
                <w:szCs w:val="20"/>
                <w:color w:val="auto"/>
              </w:rPr>
            </w:pPr>
            <w:r>
              <w:rPr>
                <w:rFonts w:ascii="Arial" w:cs="Arial" w:eastAsia="Arial" w:hAnsi="Arial"/>
                <w:sz w:val="22"/>
                <w:szCs w:val="22"/>
                <w:color w:val="auto"/>
              </w:rPr>
              <w:t>25</w:t>
            </w: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16.8</w:t>
            </w:r>
          </w:p>
        </w:tc>
        <w:tc>
          <w:tcPr>
            <w:tcW w:w="980" w:type="dxa"/>
            <w:vAlign w:val="bottom"/>
          </w:tcPr>
          <w:p>
            <w:pPr>
              <w:ind w:left="180"/>
              <w:spacing w:after="0"/>
              <w:rPr>
                <w:sz w:val="20"/>
                <w:szCs w:val="20"/>
                <w:color w:val="auto"/>
              </w:rPr>
            </w:pPr>
            <w:r>
              <w:rPr>
                <w:rFonts w:ascii="Arial" w:cs="Arial" w:eastAsia="Arial" w:hAnsi="Arial"/>
                <w:sz w:val="22"/>
                <w:szCs w:val="22"/>
                <w:color w:val="auto"/>
              </w:rPr>
              <w:t>Waiver</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25</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16.9</w:t>
            </w:r>
          </w:p>
        </w:tc>
        <w:tc>
          <w:tcPr>
            <w:tcW w:w="1240" w:type="dxa"/>
            <w:vAlign w:val="bottom"/>
            <w:gridSpan w:val="2"/>
          </w:tcPr>
          <w:p>
            <w:pPr>
              <w:ind w:left="180"/>
              <w:spacing w:after="0"/>
              <w:rPr>
                <w:sz w:val="20"/>
                <w:szCs w:val="20"/>
                <w:color w:val="auto"/>
              </w:rPr>
            </w:pPr>
            <w:r>
              <w:rPr>
                <w:rFonts w:ascii="Arial" w:cs="Arial" w:eastAsia="Arial" w:hAnsi="Arial"/>
                <w:sz w:val="22"/>
                <w:szCs w:val="22"/>
                <w:color w:val="auto"/>
                <w:w w:val="96"/>
              </w:rPr>
              <w:t>No Agency</w:t>
            </w:r>
          </w:p>
        </w:tc>
        <w:tc>
          <w:tcPr>
            <w:tcW w:w="440" w:type="dxa"/>
            <w:vAlign w:val="bottom"/>
          </w:tcPr>
          <w:p>
            <w:pPr>
              <w:jc w:val="right"/>
              <w:spacing w:after="0"/>
              <w:rPr>
                <w:sz w:val="20"/>
                <w:szCs w:val="20"/>
                <w:color w:val="auto"/>
              </w:rPr>
            </w:pPr>
            <w:r>
              <w:rPr>
                <w:rFonts w:ascii="Arial" w:cs="Arial" w:eastAsia="Arial" w:hAnsi="Arial"/>
                <w:sz w:val="22"/>
                <w:szCs w:val="22"/>
                <w:color w:val="auto"/>
              </w:rPr>
              <w:t>25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960" w:type="dxa"/>
            <w:vAlign w:val="bottom"/>
          </w:tcPr>
          <w:p>
            <w:pPr>
              <w:ind w:left="320"/>
              <w:spacing w:after="0"/>
              <w:rPr>
                <w:sz w:val="20"/>
                <w:szCs w:val="20"/>
                <w:color w:val="auto"/>
              </w:rPr>
            </w:pPr>
            <w:r>
              <w:rPr>
                <w:rFonts w:ascii="Arial" w:cs="Arial" w:eastAsia="Arial" w:hAnsi="Arial"/>
                <w:sz w:val="22"/>
                <w:szCs w:val="22"/>
                <w:color w:val="auto"/>
              </w:rPr>
              <w:t>16.10</w:t>
            </w:r>
          </w:p>
        </w:tc>
        <w:tc>
          <w:tcPr>
            <w:tcW w:w="980" w:type="dxa"/>
            <w:vAlign w:val="bottom"/>
          </w:tcPr>
          <w:p>
            <w:pPr>
              <w:ind w:left="180"/>
              <w:spacing w:after="0"/>
              <w:rPr>
                <w:sz w:val="20"/>
                <w:szCs w:val="20"/>
                <w:color w:val="auto"/>
              </w:rPr>
            </w:pPr>
            <w:r>
              <w:rPr>
                <w:rFonts w:ascii="Arial" w:cs="Arial" w:eastAsia="Arial" w:hAnsi="Arial"/>
                <w:sz w:val="22"/>
                <w:szCs w:val="22"/>
                <w:color w:val="auto"/>
              </w:rPr>
              <w:t>Notices</w:t>
            </w:r>
          </w:p>
        </w:tc>
        <w:tc>
          <w:tcPr>
            <w:tcW w:w="700" w:type="dxa"/>
            <w:vAlign w:val="bottom"/>
            <w:gridSpan w:val="2"/>
          </w:tcPr>
          <w:p>
            <w:pPr>
              <w:jc w:val="right"/>
              <w:ind w:right="312"/>
              <w:spacing w:after="0"/>
              <w:rPr>
                <w:sz w:val="20"/>
                <w:szCs w:val="20"/>
                <w:color w:val="auto"/>
              </w:rPr>
            </w:pPr>
            <w:r>
              <w:rPr>
                <w:rFonts w:ascii="Arial" w:cs="Arial" w:eastAsia="Arial" w:hAnsi="Arial"/>
                <w:sz w:val="22"/>
                <w:szCs w:val="22"/>
                <w:color w:val="auto"/>
              </w:rPr>
              <w:t>25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4"/>
        </w:trPr>
        <w:tc>
          <w:tcPr>
            <w:tcW w:w="960" w:type="dxa"/>
            <w:vAlign w:val="bottom"/>
          </w:tcPr>
          <w:p>
            <w:pPr>
              <w:ind w:left="320"/>
              <w:spacing w:after="0"/>
              <w:rPr>
                <w:sz w:val="20"/>
                <w:szCs w:val="20"/>
                <w:color w:val="auto"/>
              </w:rPr>
            </w:pPr>
            <w:r>
              <w:rPr>
                <w:rFonts w:ascii="Arial" w:cs="Arial" w:eastAsia="Arial" w:hAnsi="Arial"/>
                <w:sz w:val="22"/>
                <w:szCs w:val="22"/>
                <w:color w:val="auto"/>
              </w:rPr>
              <w:t>16.11</w:t>
            </w:r>
          </w:p>
        </w:tc>
        <w:tc>
          <w:tcPr>
            <w:tcW w:w="980" w:type="dxa"/>
            <w:vAlign w:val="bottom"/>
          </w:tcPr>
          <w:p>
            <w:pPr>
              <w:ind w:left="160"/>
              <w:spacing w:after="0"/>
              <w:rPr>
                <w:sz w:val="20"/>
                <w:szCs w:val="20"/>
                <w:color w:val="auto"/>
              </w:rPr>
            </w:pPr>
            <w:r>
              <w:rPr>
                <w:rFonts w:ascii="Arial" w:cs="Arial" w:eastAsia="Arial" w:hAnsi="Arial"/>
                <w:sz w:val="22"/>
                <w:szCs w:val="22"/>
                <w:color w:val="auto"/>
                <w:w w:val="97"/>
              </w:rPr>
              <w:t>Publicity</w:t>
            </w:r>
          </w:p>
        </w:tc>
        <w:tc>
          <w:tcPr>
            <w:tcW w:w="700" w:type="dxa"/>
            <w:vAlign w:val="bottom"/>
            <w:gridSpan w:val="2"/>
          </w:tcPr>
          <w:p>
            <w:pPr>
              <w:jc w:val="right"/>
              <w:ind w:right="192"/>
              <w:spacing w:after="0"/>
              <w:rPr>
                <w:sz w:val="20"/>
                <w:szCs w:val="20"/>
                <w:color w:val="auto"/>
              </w:rPr>
            </w:pPr>
            <w:r>
              <w:rPr>
                <w:rFonts w:ascii="Arial" w:cs="Arial" w:eastAsia="Arial" w:hAnsi="Arial"/>
                <w:sz w:val="22"/>
                <w:szCs w:val="22"/>
                <w:color w:val="auto"/>
              </w:rPr>
              <w:t>28</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059"/>
          </w:cols>
          <w:pgMar w:left="400" w:top="1381" w:right="1440" w:bottom="1440" w:gutter="0" w:footer="0" w:header="0"/>
        </w:sectPr>
      </w:pPr>
    </w:p>
    <w:bookmarkStart w:id="78" w:name="page79"/>
    <w:bookmarkEnd w:id="78"/>
    <w:p>
      <w:pPr>
        <w:spacing w:after="0" w:line="200" w:lineRule="exact"/>
        <w:rPr>
          <w:sz w:val="20"/>
          <w:szCs w:val="20"/>
          <w:color w:val="auto"/>
        </w:rPr>
      </w:pPr>
    </w:p>
    <w:p>
      <w:pPr>
        <w:spacing w:after="0" w:line="252"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20"/>
          <w:szCs w:val="20"/>
          <w:color w:val="auto"/>
        </w:rPr>
        <w:t>Schedule 1</w:t>
      </w:r>
      <w:r>
        <w:rPr>
          <w:sz w:val="20"/>
          <w:szCs w:val="20"/>
          <w:color w:val="auto"/>
        </w:rPr>
        <w:tab/>
      </w:r>
      <w:r>
        <w:rPr>
          <w:rFonts w:ascii="Arial" w:cs="Arial" w:eastAsia="Arial" w:hAnsi="Arial"/>
          <w:sz w:val="16"/>
          <w:szCs w:val="16"/>
          <w:color w:val="auto"/>
        </w:rPr>
        <w:t>Rights of the Investing Parties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059"/>
          </w:cols>
          <w:pgMar w:left="400" w:top="1440" w:right="1440" w:bottom="1440" w:gutter="0" w:footer="0" w:header="0"/>
        </w:sectPr>
      </w:pPr>
    </w:p>
    <w:bookmarkStart w:id="79" w:name="page80"/>
    <w:bookmarkEnd w:id="79"/>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SHARE PURCHASE AND SHAREHOLDERS AGREEMENT PREAMBLE</w:t>
      </w:r>
    </w:p>
    <w:p>
      <w:pPr>
        <w:spacing w:after="0" w:line="72"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THIS SHARE PURCHASE AND SHAREHOLDERS AGREEMENT, dated this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w:t>
      </w:r>
    </w:p>
    <w:p>
      <w:pPr>
        <w:ind w:left="340"/>
        <w:spacing w:after="0"/>
        <w:rPr>
          <w:sz w:val="20"/>
          <w:szCs w:val="20"/>
          <w:color w:val="auto"/>
        </w:rPr>
      </w:pPr>
      <w:r>
        <w:rPr>
          <w:rFonts w:ascii="Arial" w:cs="Arial" w:eastAsia="Arial" w:hAnsi="Arial"/>
          <w:sz w:val="20"/>
          <w:szCs w:val="20"/>
          <w:color w:val="auto"/>
        </w:rPr>
        <w:t>September, 2022 (this “</w:t>
      </w:r>
      <w:r>
        <w:rPr>
          <w:rFonts w:ascii="Arial" w:cs="Arial" w:eastAsia="Arial" w:hAnsi="Arial"/>
          <w:sz w:val="20"/>
          <w:szCs w:val="20"/>
          <w:b w:val="1"/>
          <w:bCs w:val="1"/>
          <w:color w:val="auto"/>
        </w:rPr>
        <w:t>Agreement</w:t>
      </w:r>
      <w:r>
        <w:rPr>
          <w:rFonts w:ascii="Arial" w:cs="Arial" w:eastAsia="Arial" w:hAnsi="Arial"/>
          <w:sz w:val="20"/>
          <w:szCs w:val="20"/>
          <w:color w:val="auto"/>
        </w:rPr>
        <w:t>”), is made by and among:</w:t>
      </w:r>
    </w:p>
    <w:p>
      <w:pPr>
        <w:spacing w:after="0" w:line="207" w:lineRule="exact"/>
        <w:rPr>
          <w:sz w:val="20"/>
          <w:szCs w:val="20"/>
          <w:color w:val="auto"/>
        </w:rPr>
      </w:pPr>
    </w:p>
    <w:p>
      <w:pPr>
        <w:ind w:left="860" w:right="300" w:hanging="519"/>
        <w:spacing w:after="0" w:line="223" w:lineRule="exact"/>
        <w:tabs>
          <w:tab w:leader="none" w:pos="853"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auto"/>
        </w:rPr>
        <w:t xml:space="preserve">Transchip Technology (Nanjing) Co., Ltd. </w:t>
      </w:r>
      <w:r>
        <w:rPr>
          <w:rFonts w:ascii="Arial" w:cs="Arial" w:eastAsia="Arial" w:hAnsi="Arial"/>
          <w:sz w:val="20"/>
          <w:szCs w:val="20"/>
          <w:color w:val="auto"/>
        </w:rPr>
        <w:t>(</w:t>
      </w:r>
      <w:r>
        <w:rPr>
          <w:rFonts w:ascii="SimSun" w:cs="SimSun" w:eastAsia="SimSun" w:hAnsi="SimSun"/>
          <w:sz w:val="20"/>
          <w:szCs w:val="20"/>
          <w:color w:val="auto"/>
        </w:rPr>
        <w:t>传智驿芯科技（南京）有限公司</w:t>
      </w:r>
      <w:r>
        <w:rPr>
          <w:rFonts w:ascii="Arial" w:cs="Arial" w:eastAsia="Arial" w:hAnsi="Arial"/>
          <w:sz w:val="20"/>
          <w:szCs w:val="20"/>
          <w:color w:val="auto"/>
        </w:rPr>
        <w:t>), a limited liability company incorporated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laws of the PRC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ind w:left="3760" w:hanging="502"/>
        <w:spacing w:after="0"/>
        <w:tabs>
          <w:tab w:leader="none" w:pos="3760" w:val="left"/>
        </w:tabs>
        <w:numPr>
          <w:ilvl w:val="1"/>
          <w:numId w:val="39"/>
        </w:numPr>
        <w:rPr>
          <w:rFonts w:ascii="Arial" w:cs="Arial" w:eastAsia="Arial" w:hAnsi="Arial"/>
          <w:sz w:val="19"/>
          <w:szCs w:val="19"/>
          <w:color w:val="auto"/>
        </w:rPr>
      </w:pPr>
      <w:r>
        <w:rPr>
          <w:rFonts w:ascii="Arial" w:cs="Arial" w:eastAsia="Arial" w:hAnsi="Arial"/>
          <w:sz w:val="19"/>
          <w:szCs w:val="19"/>
          <w:b w:val="1"/>
          <w:bCs w:val="1"/>
          <w:color w:val="auto"/>
        </w:rPr>
        <w:t xml:space="preserve">Arteris HK Limited, </w:t>
      </w:r>
      <w:r>
        <w:rPr>
          <w:rFonts w:ascii="Arial" w:cs="Arial" w:eastAsia="Arial" w:hAnsi="Arial"/>
          <w:sz w:val="19"/>
          <w:szCs w:val="19"/>
          <w:color w:val="auto"/>
        </w:rPr>
        <w:t>a company incorporated under the laws of Hong Kong</w:t>
      </w:r>
      <w:r>
        <w:rPr>
          <w:rFonts w:ascii="Arial" w:cs="Arial" w:eastAsia="Arial" w:hAnsi="Arial"/>
          <w:sz w:val="19"/>
          <w:szCs w:val="19"/>
          <w:b w:val="1"/>
          <w:bCs w:val="1"/>
          <w:color w:val="auto"/>
        </w:rPr>
        <w:t xml:space="preserve"> (“AHK”)</w:t>
      </w:r>
      <w:r>
        <w:rPr>
          <w:rFonts w:ascii="Arial" w:cs="Arial" w:eastAsia="Arial" w:hAnsi="Arial"/>
          <w:sz w:val="19"/>
          <w:szCs w:val="19"/>
          <w:color w:val="auto"/>
        </w:rPr>
        <w:t>;</w:t>
      </w:r>
    </w:p>
    <w:p>
      <w:pPr>
        <w:spacing w:after="0" w:line="241" w:lineRule="exact"/>
        <w:rPr>
          <w:sz w:val="20"/>
          <w:szCs w:val="20"/>
          <w:color w:val="auto"/>
        </w:rPr>
      </w:pPr>
    </w:p>
    <w:p>
      <w:pPr>
        <w:ind w:left="860" w:right="700" w:hanging="519"/>
        <w:spacing w:after="0" w:line="243" w:lineRule="exact"/>
        <w:tabs>
          <w:tab w:leader="none" w:pos="853" w:val="left"/>
        </w:tabs>
        <w:numPr>
          <w:ilvl w:val="0"/>
          <w:numId w:val="40"/>
        </w:numPr>
        <w:rPr>
          <w:rFonts w:ascii="Arial" w:cs="Arial" w:eastAsia="Arial" w:hAnsi="Arial"/>
          <w:sz w:val="19"/>
          <w:szCs w:val="19"/>
          <w:color w:val="auto"/>
        </w:rPr>
      </w:pPr>
      <w:r>
        <w:rPr>
          <w:rFonts w:ascii="Arial" w:cs="Arial" w:eastAsia="Arial" w:hAnsi="Arial"/>
          <w:sz w:val="19"/>
          <w:szCs w:val="19"/>
          <w:b w:val="1"/>
          <w:bCs w:val="1"/>
          <w:color w:val="auto"/>
        </w:rPr>
        <w:t xml:space="preserve">Arteris Semiconductor Technology (Nanjing) Co., Ltd. </w:t>
      </w:r>
      <w:r>
        <w:rPr>
          <w:rFonts w:ascii="Arial" w:cs="Arial" w:eastAsia="Arial" w:hAnsi="Arial"/>
          <w:sz w:val="19"/>
          <w:szCs w:val="19"/>
          <w:color w:val="auto"/>
        </w:rPr>
        <w:t>(</w:t>
      </w:r>
      <w:r>
        <w:rPr>
          <w:rFonts w:ascii="SimSun" w:cs="SimSun" w:eastAsia="SimSun" w:hAnsi="SimSun"/>
          <w:sz w:val="19"/>
          <w:szCs w:val="19"/>
          <w:color w:val="auto"/>
        </w:rPr>
        <w:t>安通思半导体技术（南京）有限公司</w:t>
      </w:r>
      <w:r>
        <w:rPr>
          <w:rFonts w:ascii="Arial" w:cs="Arial" w:eastAsia="Arial" w:hAnsi="Arial"/>
          <w:sz w:val="19"/>
          <w:szCs w:val="19"/>
          <w:color w:val="auto"/>
        </w:rPr>
        <w:t>), a limited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incorporated under the laws of the PRC (the “</w:t>
      </w:r>
      <w:r>
        <w:rPr>
          <w:rFonts w:ascii="Arial" w:cs="Arial" w:eastAsia="Arial" w:hAnsi="Arial"/>
          <w:sz w:val="19"/>
          <w:szCs w:val="19"/>
          <w:b w:val="1"/>
          <w:bCs w:val="1"/>
          <w:color w:val="auto"/>
        </w:rPr>
        <w:t>Original Shareholder</w:t>
      </w:r>
      <w:r>
        <w:rPr>
          <w:rFonts w:ascii="Arial" w:cs="Arial" w:eastAsia="Arial" w:hAnsi="Arial"/>
          <w:sz w:val="19"/>
          <w:szCs w:val="19"/>
          <w:color w:val="auto"/>
        </w:rPr>
        <w:t>” or “</w:t>
      </w:r>
      <w:r>
        <w:rPr>
          <w:rFonts w:ascii="Arial" w:cs="Arial" w:eastAsia="Arial" w:hAnsi="Arial"/>
          <w:sz w:val="19"/>
          <w:szCs w:val="19"/>
          <w:b w:val="1"/>
          <w:bCs w:val="1"/>
          <w:color w:val="auto"/>
        </w:rPr>
        <w:t>Arteris Nanjing</w:t>
      </w:r>
      <w:r>
        <w:rPr>
          <w:rFonts w:ascii="Arial" w:cs="Arial" w:eastAsia="Arial" w:hAnsi="Arial"/>
          <w:sz w:val="19"/>
          <w:szCs w:val="19"/>
          <w:color w:val="auto"/>
        </w:rPr>
        <w:t>”);</w:t>
      </w:r>
    </w:p>
    <w:p>
      <w:pPr>
        <w:spacing w:after="0" w:line="217" w:lineRule="exact"/>
        <w:rPr>
          <w:rFonts w:ascii="Arial" w:cs="Arial" w:eastAsia="Arial" w:hAnsi="Arial"/>
          <w:sz w:val="19"/>
          <w:szCs w:val="19"/>
          <w:color w:val="auto"/>
        </w:rPr>
      </w:pPr>
    </w:p>
    <w:p>
      <w:pPr>
        <w:ind w:left="860" w:right="300" w:hanging="519"/>
        <w:spacing w:after="0" w:line="243" w:lineRule="exact"/>
        <w:tabs>
          <w:tab w:leader="none" w:pos="850"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 xml:space="preserve">SME Development (Shaoxing) Venture Fund, LLP </w:t>
      </w:r>
      <w:r>
        <w:rPr>
          <w:rFonts w:ascii="SimSun" w:cs="SimSun" w:eastAsia="SimSun" w:hAnsi="SimSun"/>
          <w:sz w:val="20"/>
          <w:szCs w:val="20"/>
          <w:color w:val="auto"/>
        </w:rPr>
        <w:t>中小企业发展基金（绍兴）股权投资合伙企业（有限合伙</w:t>
      </w:r>
      <w:r>
        <w:rPr>
          <w:rFonts w:ascii="Arial" w:cs="Arial" w:eastAsia="Arial" w:hAnsi="Arial"/>
          <w:sz w:val="20"/>
          <w:szCs w:val="20"/>
          <w:color w:val="auto"/>
        </w:rPr>
        <w:t>),a</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partnership organized under the laws of the PRC (“</w:t>
      </w:r>
      <w:r>
        <w:rPr>
          <w:rFonts w:ascii="Arial" w:cs="Arial" w:eastAsia="Arial" w:hAnsi="Arial"/>
          <w:sz w:val="20"/>
          <w:szCs w:val="20"/>
          <w:b w:val="1"/>
          <w:bCs w:val="1"/>
          <w:color w:val="auto"/>
        </w:rPr>
        <w:t>Investor A</w:t>
      </w:r>
      <w:r>
        <w:rPr>
          <w:rFonts w:ascii="Arial" w:cs="Arial" w:eastAsia="Arial" w:hAnsi="Arial"/>
          <w:sz w:val="20"/>
          <w:szCs w:val="20"/>
          <w:color w:val="auto"/>
        </w:rPr>
        <w:t>” or “</w:t>
      </w:r>
      <w:r>
        <w:rPr>
          <w:rFonts w:ascii="Arial" w:cs="Arial" w:eastAsia="Arial" w:hAnsi="Arial"/>
          <w:sz w:val="20"/>
          <w:szCs w:val="20"/>
          <w:b w:val="1"/>
          <w:bCs w:val="1"/>
          <w:color w:val="auto"/>
        </w:rPr>
        <w:t>SME</w:t>
      </w:r>
      <w:r>
        <w:rPr>
          <w:rFonts w:ascii="Arial" w:cs="Arial" w:eastAsia="Arial" w:hAnsi="Arial"/>
          <w:sz w:val="20"/>
          <w:szCs w:val="20"/>
          <w:color w:val="auto"/>
        </w:rPr>
        <w:t>”);</w:t>
      </w:r>
    </w:p>
    <w:p>
      <w:pPr>
        <w:spacing w:after="0" w:line="230" w:lineRule="exact"/>
        <w:rPr>
          <w:rFonts w:ascii="Arial" w:cs="Arial" w:eastAsia="Arial" w:hAnsi="Arial"/>
          <w:sz w:val="20"/>
          <w:szCs w:val="20"/>
          <w:color w:val="auto"/>
        </w:rPr>
      </w:pPr>
    </w:p>
    <w:p>
      <w:pPr>
        <w:ind w:left="860" w:right="300" w:hanging="519"/>
        <w:spacing w:after="0" w:line="243" w:lineRule="exact"/>
        <w:tabs>
          <w:tab w:leader="none" w:pos="853" w:val="left"/>
        </w:tabs>
        <w:numPr>
          <w:ilvl w:val="0"/>
          <w:numId w:val="40"/>
        </w:numPr>
        <w:rPr>
          <w:rFonts w:ascii="Arial" w:cs="Arial" w:eastAsia="Arial" w:hAnsi="Arial"/>
          <w:sz w:val="19"/>
          <w:szCs w:val="19"/>
          <w:color w:val="auto"/>
        </w:rPr>
      </w:pPr>
      <w:r>
        <w:rPr>
          <w:rFonts w:ascii="Arial" w:cs="Arial" w:eastAsia="Arial" w:hAnsi="Arial"/>
          <w:sz w:val="19"/>
          <w:szCs w:val="19"/>
          <w:b w:val="1"/>
          <w:bCs w:val="1"/>
          <w:color w:val="auto"/>
        </w:rPr>
        <w:t xml:space="preserve">Jiaxing Luojia Chuangzhi Investment Partnership Enterprise (Limited Partnership) </w:t>
      </w:r>
      <w:r>
        <w:rPr>
          <w:rFonts w:ascii="Arial" w:cs="Arial" w:eastAsia="Arial" w:hAnsi="Arial"/>
          <w:sz w:val="19"/>
          <w:szCs w:val="19"/>
          <w:color w:val="auto"/>
        </w:rPr>
        <w:t>(</w:t>
      </w:r>
      <w:r>
        <w:rPr>
          <w:rFonts w:ascii="SimSun" w:cs="SimSun" w:eastAsia="SimSun" w:hAnsi="SimSun"/>
          <w:sz w:val="19"/>
          <w:szCs w:val="19"/>
          <w:color w:val="auto"/>
        </w:rPr>
        <w:t>嘉兴珞珈传智股权投资合伙企业（有限合伙</w:t>
      </w:r>
      <w:r>
        <w:rPr>
          <w:rFonts w:ascii="Arial" w:cs="Arial" w:eastAsia="Arial" w:hAnsi="Arial"/>
          <w:sz w:val="19"/>
          <w:szCs w:val="19"/>
          <w:color w:val="auto"/>
        </w:rPr>
        <w:t>)), a limited partnership organized under the laws of the PRC (“</w:t>
      </w:r>
      <w:r>
        <w:rPr>
          <w:rFonts w:ascii="Arial" w:cs="Arial" w:eastAsia="Arial" w:hAnsi="Arial"/>
          <w:sz w:val="19"/>
          <w:szCs w:val="19"/>
          <w:b w:val="1"/>
          <w:bCs w:val="1"/>
          <w:color w:val="auto"/>
        </w:rPr>
        <w:t>Investor B” or “Luojia”);</w:t>
      </w:r>
    </w:p>
    <w:p>
      <w:pPr>
        <w:spacing w:after="0" w:line="230" w:lineRule="exact"/>
        <w:rPr>
          <w:rFonts w:ascii="Arial" w:cs="Arial" w:eastAsia="Arial" w:hAnsi="Arial"/>
          <w:sz w:val="19"/>
          <w:szCs w:val="19"/>
          <w:color w:val="auto"/>
        </w:rPr>
      </w:pPr>
    </w:p>
    <w:p>
      <w:pPr>
        <w:ind w:left="860" w:right="300" w:hanging="519"/>
        <w:spacing w:after="0" w:line="243" w:lineRule="exact"/>
        <w:tabs>
          <w:tab w:leader="none" w:pos="858"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Gongqing City Guinie Zhuyu No. 3 Investment Partnerhip (Limited Partnership)</w:t>
      </w:r>
      <w:r>
        <w:rPr>
          <w:rFonts w:ascii="SimSun" w:cs="SimSun" w:eastAsia="SimSun" w:hAnsi="SimSun"/>
          <w:sz w:val="20"/>
          <w:szCs w:val="20"/>
          <w:color w:val="auto"/>
        </w:rPr>
        <w:t>共青城圭臬珠玉三号投资合伙企业（有限合伙</w:t>
      </w:r>
      <w:r>
        <w:rPr>
          <w:rFonts w:ascii="Arial" w:cs="Arial" w:eastAsia="Arial" w:hAnsi="Arial"/>
          <w:sz w:val="20"/>
          <w:szCs w:val="20"/>
          <w:color w:val="auto"/>
        </w:rPr>
        <w:t>),a limited partnership organized under the laws of the PRC (“</w:t>
      </w:r>
      <w:r>
        <w:rPr>
          <w:rFonts w:ascii="Arial" w:cs="Arial" w:eastAsia="Arial" w:hAnsi="Arial"/>
          <w:sz w:val="20"/>
          <w:szCs w:val="20"/>
          <w:b w:val="1"/>
          <w:bCs w:val="1"/>
          <w:color w:val="auto"/>
        </w:rPr>
        <w:t>Investor C</w:t>
      </w:r>
      <w:r>
        <w:rPr>
          <w:rFonts w:ascii="Arial" w:cs="Arial" w:eastAsia="Arial" w:hAnsi="Arial"/>
          <w:sz w:val="20"/>
          <w:szCs w:val="20"/>
          <w:color w:val="auto"/>
        </w:rPr>
        <w:t>” or “</w:t>
      </w:r>
      <w:r>
        <w:rPr>
          <w:rFonts w:ascii="Arial" w:cs="Arial" w:eastAsia="Arial" w:hAnsi="Arial"/>
          <w:sz w:val="20"/>
          <w:szCs w:val="20"/>
          <w:b w:val="1"/>
          <w:bCs w:val="1"/>
          <w:color w:val="auto"/>
        </w:rPr>
        <w:t>Guinie</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ind w:left="860" w:right="300" w:hanging="519"/>
        <w:spacing w:after="0" w:line="220" w:lineRule="exact"/>
        <w:tabs>
          <w:tab w:leader="none" w:pos="850"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Jiaxing Catalpa Huixin Investment Partnership Enterprise (Limited Partnership) </w:t>
      </w:r>
      <w:r>
        <w:rPr>
          <w:rFonts w:ascii="SimSun" w:cs="SimSun" w:eastAsia="SimSun" w:hAnsi="SimSun"/>
          <w:sz w:val="20"/>
          <w:szCs w:val="20"/>
          <w:color w:val="auto"/>
        </w:rPr>
        <w:t>嘉兴梓禾惠芯股权投资合伙企业（有限合伙）</w:t>
      </w:r>
      <w:r>
        <w:rPr>
          <w:rFonts w:ascii="Arial" w:cs="Arial" w:eastAsia="Arial" w:hAnsi="Arial"/>
          <w:sz w:val="20"/>
          <w:szCs w:val="20"/>
          <w:color w:val="auto"/>
        </w:rPr>
        <w:t xml:space="preserve">, a limited partnership organized under the laws of the PRC </w:t>
      </w:r>
      <w:r>
        <w:rPr>
          <w:rFonts w:ascii="Arial" w:cs="Arial" w:eastAsia="Arial" w:hAnsi="Arial"/>
          <w:sz w:val="20"/>
          <w:szCs w:val="20"/>
          <w:b w:val="1"/>
          <w:bCs w:val="1"/>
          <w:color w:val="auto"/>
        </w:rPr>
        <w:t>(“Investor D”</w:t>
      </w:r>
      <w:r>
        <w:rPr>
          <w:rFonts w:ascii="Arial" w:cs="Arial" w:eastAsia="Arial" w:hAnsi="Arial"/>
          <w:sz w:val="20"/>
          <w:szCs w:val="20"/>
          <w:color w:val="auto"/>
        </w:rPr>
        <w:t xml:space="preserve"> or </w:t>
      </w:r>
      <w:r>
        <w:rPr>
          <w:rFonts w:ascii="Arial" w:cs="Arial" w:eastAsia="Arial" w:hAnsi="Arial"/>
          <w:sz w:val="20"/>
          <w:szCs w:val="20"/>
          <w:b w:val="1"/>
          <w:bCs w:val="1"/>
          <w:color w:val="auto"/>
        </w:rPr>
        <w:t>“Catalpa Capital</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ind w:left="860" w:right="300" w:hanging="519"/>
        <w:spacing w:after="0" w:line="247" w:lineRule="exact"/>
        <w:tabs>
          <w:tab w:leader="none" w:pos="850"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Gongqing City Guinie Zhuyu No. 5 venture capital partnership (limited partnership) </w:t>
      </w:r>
      <w:r>
        <w:rPr>
          <w:rFonts w:ascii="SimSun" w:cs="SimSun" w:eastAsia="SimSun" w:hAnsi="SimSun"/>
          <w:sz w:val="19"/>
          <w:szCs w:val="19"/>
          <w:color w:val="auto"/>
        </w:rPr>
        <w:t>共青城圭臬珠玉五号创业投资合伙企业（有限合伙）</w:t>
      </w:r>
      <w:r>
        <w:rPr>
          <w:rFonts w:ascii="Arial" w:cs="Arial" w:eastAsia="Arial" w:hAnsi="Arial"/>
          <w:sz w:val="19"/>
          <w:szCs w:val="19"/>
          <w:color w:val="auto"/>
        </w:rPr>
        <w:t>, a limited partnership organized under the laws of the PRC ("</w:t>
      </w:r>
      <w:r>
        <w:rPr>
          <w:rFonts w:ascii="Arial" w:cs="Arial" w:eastAsia="Arial" w:hAnsi="Arial"/>
          <w:sz w:val="19"/>
          <w:szCs w:val="19"/>
          <w:b w:val="1"/>
          <w:bCs w:val="1"/>
          <w:color w:val="auto"/>
        </w:rPr>
        <w:t>Investor E</w:t>
      </w:r>
      <w:r>
        <w:rPr>
          <w:rFonts w:ascii="Arial" w:cs="Arial" w:eastAsia="Arial" w:hAnsi="Arial"/>
          <w:sz w:val="19"/>
          <w:szCs w:val="19"/>
          <w:color w:val="auto"/>
        </w:rPr>
        <w:t>” or “</w:t>
      </w:r>
      <w:r>
        <w:rPr>
          <w:rFonts w:ascii="Arial" w:cs="Arial" w:eastAsia="Arial" w:hAnsi="Arial"/>
          <w:sz w:val="19"/>
          <w:szCs w:val="19"/>
          <w:b w:val="1"/>
          <w:bCs w:val="1"/>
          <w:color w:val="auto"/>
        </w:rPr>
        <w:t>Guinie Zhuyu</w:t>
      </w:r>
      <w:r>
        <w:rPr>
          <w:rFonts w:ascii="Arial" w:cs="Arial" w:eastAsia="Arial" w:hAnsi="Arial"/>
          <w:sz w:val="19"/>
          <w:szCs w:val="19"/>
          <w:color w:val="auto"/>
        </w:rPr>
        <w:t>”)</w:t>
      </w:r>
    </w:p>
    <w:p>
      <w:pPr>
        <w:spacing w:after="0" w:line="222" w:lineRule="exact"/>
        <w:rPr>
          <w:rFonts w:ascii="Arial" w:cs="Arial" w:eastAsia="Arial" w:hAnsi="Arial"/>
          <w:sz w:val="19"/>
          <w:szCs w:val="19"/>
          <w:color w:val="auto"/>
        </w:rPr>
      </w:pPr>
    </w:p>
    <w:p>
      <w:pPr>
        <w:ind w:left="860" w:right="300" w:hanging="519"/>
        <w:spacing w:after="0" w:line="240" w:lineRule="exact"/>
        <w:tabs>
          <w:tab w:leader="none" w:pos="847"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Huzhou Hangxin Rongxie Equity Investment Partnership (Limited partnership) </w:t>
      </w:r>
      <w:r>
        <w:rPr>
          <w:rFonts w:ascii="SimSun" w:cs="SimSun" w:eastAsia="SimSun" w:hAnsi="SimSun"/>
          <w:sz w:val="20"/>
          <w:szCs w:val="20"/>
          <w:color w:val="auto"/>
        </w:rPr>
        <w:t>湖州航信荣协股权投资合伙企业</w:t>
      </w:r>
      <w:r>
        <w:rPr>
          <w:rFonts w:ascii="Arial" w:cs="Arial" w:eastAsia="Arial" w:hAnsi="Arial"/>
          <w:sz w:val="20"/>
          <w:szCs w:val="20"/>
          <w:color w:val="auto"/>
        </w:rPr>
        <w:t>(</w:t>
      </w:r>
      <w:r>
        <w:rPr>
          <w:rFonts w:ascii="SimSun" w:cs="SimSun" w:eastAsia="SimSun" w:hAnsi="SimSun"/>
          <w:sz w:val="20"/>
          <w:szCs w:val="20"/>
          <w:color w:val="auto"/>
        </w:rPr>
        <w:t>有限合伙</w:t>
      </w:r>
      <w:r>
        <w:rPr>
          <w:rFonts w:ascii="Arial" w:cs="Arial" w:eastAsia="Arial" w:hAnsi="Arial"/>
          <w:sz w:val="20"/>
          <w:szCs w:val="20"/>
          <w:color w:val="auto"/>
        </w:rPr>
        <w:t>) , a limited partnership organized under the laws of the PRC ("</w:t>
      </w:r>
      <w:r>
        <w:rPr>
          <w:rFonts w:ascii="Arial" w:cs="Arial" w:eastAsia="Arial" w:hAnsi="Arial"/>
          <w:sz w:val="20"/>
          <w:szCs w:val="20"/>
          <w:b w:val="1"/>
          <w:bCs w:val="1"/>
          <w:color w:val="auto"/>
        </w:rPr>
        <w:t>Investor F</w:t>
      </w:r>
      <w:r>
        <w:rPr>
          <w:rFonts w:ascii="Arial" w:cs="Arial" w:eastAsia="Arial" w:hAnsi="Arial"/>
          <w:sz w:val="20"/>
          <w:szCs w:val="20"/>
          <w:color w:val="auto"/>
        </w:rPr>
        <w:t>” or “</w:t>
      </w:r>
      <w:r>
        <w:rPr>
          <w:rFonts w:ascii="Arial" w:cs="Arial" w:eastAsia="Arial" w:hAnsi="Arial"/>
          <w:sz w:val="20"/>
          <w:szCs w:val="20"/>
          <w:b w:val="1"/>
          <w:bCs w:val="1"/>
          <w:color w:val="auto"/>
        </w:rPr>
        <w:t>Hangxin Rongxie</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ind w:left="860"/>
        <w:spacing w:after="0"/>
        <w:rPr>
          <w:rFonts w:ascii="Arial" w:cs="Arial" w:eastAsia="Arial" w:hAnsi="Arial"/>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Investor A, Investor B, Investor C, Investor D, Investor E and Investor F collectively “</w:t>
      </w:r>
      <w:r>
        <w:rPr>
          <w:rFonts w:ascii="Arial" w:cs="Arial" w:eastAsia="Arial" w:hAnsi="Arial"/>
          <w:sz w:val="18"/>
          <w:szCs w:val="18"/>
          <w:b w:val="1"/>
          <w:bCs w:val="1"/>
          <w:color w:val="auto"/>
        </w:rPr>
        <w:t>Investors</w:t>
      </w:r>
      <w:r>
        <w:rPr>
          <w:rFonts w:ascii="Arial" w:cs="Arial" w:eastAsia="Arial" w:hAnsi="Arial"/>
          <w:sz w:val="18"/>
          <w:szCs w:val="18"/>
          <w:color w:val="auto"/>
        </w:rPr>
        <w:t>” and each an “</w:t>
      </w:r>
      <w:r>
        <w:rPr>
          <w:rFonts w:ascii="Arial" w:cs="Arial" w:eastAsia="Arial" w:hAnsi="Arial"/>
          <w:sz w:val="18"/>
          <w:szCs w:val="18"/>
          <w:b w:val="1"/>
          <w:bCs w:val="1"/>
          <w:color w:val="auto"/>
        </w:rPr>
        <w:t>Investor</w:t>
      </w:r>
      <w:r>
        <w:rPr>
          <w:rFonts w:ascii="Arial" w:cs="Arial" w:eastAsia="Arial" w:hAnsi="Arial"/>
          <w:sz w:val="18"/>
          <w:szCs w:val="18"/>
          <w:color w:val="auto"/>
        </w:rPr>
        <w:t>”); and</w:t>
      </w:r>
    </w:p>
    <w:p>
      <w:pPr>
        <w:spacing w:after="0" w:line="238" w:lineRule="exact"/>
        <w:rPr>
          <w:rFonts w:ascii="Arial" w:cs="Arial" w:eastAsia="Arial" w:hAnsi="Arial"/>
          <w:sz w:val="20"/>
          <w:szCs w:val="20"/>
          <w:color w:val="auto"/>
        </w:rPr>
      </w:pPr>
    </w:p>
    <w:p>
      <w:pPr>
        <w:ind w:left="860" w:right="300" w:hanging="519"/>
        <w:spacing w:after="0" w:line="230" w:lineRule="exact"/>
        <w:tabs>
          <w:tab w:leader="none" w:pos="847"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 xml:space="preserve">Ningbo Transchip Information Consulting Partnership (Limited Partnership) </w:t>
      </w:r>
      <w:r>
        <w:rPr>
          <w:rFonts w:ascii="Arial" w:cs="Arial" w:eastAsia="Arial" w:hAnsi="Arial"/>
          <w:sz w:val="20"/>
          <w:szCs w:val="20"/>
          <w:color w:val="auto"/>
        </w:rPr>
        <w:t>(</w:t>
      </w:r>
      <w:r>
        <w:rPr>
          <w:rFonts w:ascii="SimSun" w:cs="SimSun" w:eastAsia="SimSun" w:hAnsi="SimSun"/>
          <w:sz w:val="20"/>
          <w:szCs w:val="20"/>
          <w:color w:val="auto"/>
        </w:rPr>
        <w:t>宁波传智驿芯信息咨询合伙企业（有限合伙</w:t>
      </w:r>
      <w:r>
        <w:rPr>
          <w:rFonts w:ascii="Arial" w:cs="Arial" w:eastAsia="Arial" w:hAnsi="Arial"/>
          <w:sz w:val="20"/>
          <w:szCs w:val="20"/>
          <w:color w:val="auto"/>
        </w:rPr>
        <w:t>), a limited partnership organized under the laws of the PRC (“</w:t>
      </w:r>
      <w:r>
        <w:rPr>
          <w:rFonts w:ascii="Arial" w:cs="Arial" w:eastAsia="Arial" w:hAnsi="Arial"/>
          <w:sz w:val="20"/>
          <w:szCs w:val="20"/>
          <w:b w:val="1"/>
          <w:bCs w:val="1"/>
          <w:color w:val="auto"/>
        </w:rPr>
        <w:t>Management Co.</w:t>
      </w:r>
      <w:r>
        <w:rPr>
          <w:rFonts w:ascii="Arial" w:cs="Arial" w:eastAsia="Arial" w:hAnsi="Arial"/>
          <w:sz w:val="20"/>
          <w:szCs w:val="20"/>
          <w:color w:val="auto"/>
        </w:rPr>
        <w: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together the “</w:t>
      </w:r>
      <w:r>
        <w:rPr>
          <w:rFonts w:ascii="Arial" w:cs="Arial" w:eastAsia="Arial" w:hAnsi="Arial"/>
          <w:sz w:val="20"/>
          <w:szCs w:val="20"/>
          <w:b w:val="1"/>
          <w:bCs w:val="1"/>
          <w:color w:val="auto"/>
        </w:rPr>
        <w:t>Parties</w:t>
      </w:r>
      <w:r>
        <w:rPr>
          <w:rFonts w:ascii="Arial" w:cs="Arial" w:eastAsia="Arial" w:hAnsi="Arial"/>
          <w:sz w:val="20"/>
          <w:szCs w:val="20"/>
          <w:color w:val="auto"/>
        </w:rPr>
        <w:t>” and each a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w:t>
      </w:r>
    </w:p>
    <w:p>
      <w:pPr>
        <w:spacing w:after="0" w:line="208" w:lineRule="exact"/>
        <w:rPr>
          <w:sz w:val="20"/>
          <w:szCs w:val="20"/>
          <w:color w:val="auto"/>
        </w:rPr>
      </w:pPr>
    </w:p>
    <w:p>
      <w:pPr>
        <w:jc w:val="right"/>
        <w:ind w:left="6780" w:right="280" w:hanging="6336"/>
        <w:spacing w:after="0" w:line="285" w:lineRule="auto"/>
        <w:tabs>
          <w:tab w:leader="none" w:pos="9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Series A investments in the Company under this Agreement were made by Investor A, Investor B, Investor C, Management Co., and AHK which closed June 20, 2022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020"/>
          </w:cols>
          <w:pgMar w:left="400" w:top="1440" w:right="479" w:bottom="1440" w:gutter="0" w:footer="0" w:header="0"/>
        </w:sectPr>
      </w:pPr>
    </w:p>
    <w:bookmarkStart w:id="80" w:name="page81"/>
    <w:bookmarkEnd w:id="80"/>
    <w:p>
      <w:pPr>
        <w:ind w:left="860" w:right="20"/>
        <w:spacing w:after="0" w:line="236" w:lineRule="auto"/>
        <w:rPr>
          <w:sz w:val="20"/>
          <w:szCs w:val="20"/>
          <w:color w:val="auto"/>
        </w:rPr>
      </w:pPr>
      <w:r>
        <w:rPr>
          <w:rFonts w:ascii="Arial" w:cs="Arial" w:eastAsia="Arial" w:hAnsi="Arial"/>
          <w:sz w:val="18"/>
          <w:szCs w:val="18"/>
          <w:color w:val="auto"/>
        </w:rPr>
        <w:t>Closing”). Investor D, Investor E and Investor F desire to subscribe for certain additional Series A capital contributions to the Company under the second closing described below (“Second Closing”) (references to “Closing” below refer to the</w:t>
      </w:r>
    </w:p>
    <w:p>
      <w:pPr>
        <w:ind w:left="860"/>
        <w:spacing w:after="0"/>
        <w:rPr>
          <w:sz w:val="20"/>
          <w:szCs w:val="20"/>
          <w:color w:val="auto"/>
        </w:rPr>
      </w:pPr>
      <w:r>
        <w:rPr>
          <w:rFonts w:ascii="Arial" w:cs="Arial" w:eastAsia="Arial" w:hAnsi="Arial"/>
          <w:sz w:val="20"/>
          <w:szCs w:val="20"/>
          <w:color w:val="auto"/>
        </w:rPr>
        <w:t>Second Closing as applicable); and</w:t>
      </w:r>
    </w:p>
    <w:p>
      <w:pPr>
        <w:spacing w:after="0" w:line="200" w:lineRule="exact"/>
        <w:rPr>
          <w:sz w:val="20"/>
          <w:szCs w:val="20"/>
          <w:color w:val="auto"/>
        </w:rPr>
      </w:pPr>
    </w:p>
    <w:p>
      <w:pPr>
        <w:ind w:left="860" w:right="820" w:hanging="519"/>
        <w:spacing w:after="0" w:line="229" w:lineRule="auto"/>
        <w:tabs>
          <w:tab w:leader="none" w:pos="85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To protect the Investing Parties’ investment interests and to regulate the Shareholders’ rights and obligations in the Company, the Parties agree to enter into this Agreement.</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NOW the Parties agree as follows:</w:t>
      </w:r>
    </w:p>
    <w:p>
      <w:pPr>
        <w:spacing w:after="0" w:line="200" w:lineRule="exact"/>
        <w:rPr>
          <w:sz w:val="20"/>
          <w:szCs w:val="20"/>
          <w:color w:val="auto"/>
        </w:rPr>
      </w:pPr>
    </w:p>
    <w:p>
      <w:pPr>
        <w:spacing w:after="0" w:line="240"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ARTICLE 1 DEFINITIONS AND INTERPRETATION RULES</w:t>
      </w:r>
    </w:p>
    <w:p>
      <w:pPr>
        <w:spacing w:after="0" w:line="226"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p>
    <w:p>
      <w:pPr>
        <w:spacing w:after="0" w:line="30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terms used in this Agreement have the meanings set forth below:</w:t>
      </w:r>
    </w:p>
    <w:p>
      <w:pPr>
        <w:spacing w:after="0" w:line="210" w:lineRule="exact"/>
        <w:rPr>
          <w:sz w:val="20"/>
          <w:szCs w:val="20"/>
          <w:color w:val="auto"/>
        </w:rPr>
      </w:pPr>
    </w:p>
    <w:p>
      <w:pPr>
        <w:ind w:left="860" w:right="2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any specified Person, any other Person that directly, or indirectly, Controls, is Controlled by, or is under common Control with, such specified Person;</w:t>
      </w:r>
    </w:p>
    <w:p>
      <w:pPr>
        <w:spacing w:after="0" w:line="31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Sale</w:t>
      </w:r>
      <w:r>
        <w:rPr>
          <w:rFonts w:ascii="Arial" w:cs="Arial" w:eastAsia="Arial" w:hAnsi="Arial"/>
          <w:sz w:val="19"/>
          <w:szCs w:val="19"/>
          <w:color w:val="auto"/>
        </w:rPr>
        <w:t>” has the meaning set forth in Section 5.1 of Schedule 1; “</w:t>
      </w:r>
      <w:r>
        <w:rPr>
          <w:rFonts w:ascii="Arial" w:cs="Arial" w:eastAsia="Arial" w:hAnsi="Arial"/>
          <w:sz w:val="19"/>
          <w:szCs w:val="19"/>
          <w:b w:val="1"/>
          <w:bCs w:val="1"/>
          <w:color w:val="auto"/>
        </w:rPr>
        <w:t>Approved Sale Date</w:t>
      </w:r>
      <w:r>
        <w:rPr>
          <w:rFonts w:ascii="Arial" w:cs="Arial" w:eastAsia="Arial" w:hAnsi="Arial"/>
          <w:sz w:val="19"/>
          <w:szCs w:val="19"/>
          <w:color w:val="auto"/>
        </w:rPr>
        <w:t>” has the meaning set</w:t>
      </w:r>
    </w:p>
    <w:p>
      <w:pPr>
        <w:spacing w:after="0" w:line="24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forth in Section 5.3 of Schedule 1;</w:t>
      </w:r>
    </w:p>
    <w:p>
      <w:pPr>
        <w:spacing w:after="0" w:line="8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 of Association</w:t>
      </w:r>
      <w:r>
        <w:rPr>
          <w:rFonts w:ascii="Arial" w:cs="Arial" w:eastAsia="Arial" w:hAnsi="Arial"/>
          <w:sz w:val="16"/>
          <w:szCs w:val="16"/>
          <w:color w:val="auto"/>
        </w:rPr>
        <w:t>” means the articles of association of the Company, as amended or supplemented from time to time;</w:t>
      </w:r>
    </w:p>
    <w:p>
      <w:pPr>
        <w:spacing w:after="0" w:line="39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 “</w:t>
      </w:r>
      <w:r>
        <w:rPr>
          <w:rFonts w:ascii="Arial" w:cs="Arial" w:eastAsia="Arial" w:hAnsi="Arial"/>
          <w:sz w:val="20"/>
          <w:szCs w:val="20"/>
          <w:b w:val="1"/>
          <w:bCs w:val="1"/>
          <w:color w:val="auto"/>
        </w:rPr>
        <w:t>Breaching Party</w:t>
      </w:r>
      <w:r>
        <w:rPr>
          <w:rFonts w:ascii="Arial" w:cs="Arial" w:eastAsia="Arial" w:hAnsi="Arial"/>
          <w:sz w:val="20"/>
          <w:szCs w:val="20"/>
          <w:color w:val="auto"/>
        </w:rPr>
        <w:t>” has the meaning set forth</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in Section 14.1;</w:t>
      </w:r>
    </w:p>
    <w:p>
      <w:pPr>
        <w:spacing w:after="0" w:line="8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w:t>
      </w:r>
      <w:r>
        <w:rPr>
          <w:rFonts w:ascii="Arial" w:cs="Arial" w:eastAsia="Arial" w:hAnsi="Arial"/>
          <w:sz w:val="20"/>
          <w:szCs w:val="20"/>
          <w:color w:val="auto"/>
        </w:rPr>
        <w:t>” means the development, sale, distribution and promotion of products in China;</w:t>
      </w:r>
    </w:p>
    <w:p>
      <w:pPr>
        <w:spacing w:after="0" w:line="216" w:lineRule="exact"/>
        <w:rPr>
          <w:sz w:val="20"/>
          <w:szCs w:val="20"/>
          <w:color w:val="auto"/>
        </w:rPr>
      </w:pPr>
    </w:p>
    <w:p>
      <w:pPr>
        <w:ind w:left="860" w:right="16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that is not a Saturday, Sunday, public holiday or other day on which commercial banks are required or authorized to be closed in the PRC.</w:t>
      </w:r>
    </w:p>
    <w:p>
      <w:pPr>
        <w:spacing w:after="0" w:line="19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License</w:t>
      </w:r>
      <w:r>
        <w:rPr>
          <w:rFonts w:ascii="Arial" w:cs="Arial" w:eastAsia="Arial" w:hAnsi="Arial"/>
          <w:sz w:val="20"/>
          <w:szCs w:val="20"/>
          <w:color w:val="auto"/>
        </w:rPr>
        <w:t>” means the business license of the Company issued by the Registration Authority;</w:t>
      </w:r>
    </w:p>
    <w:p>
      <w:pPr>
        <w:spacing w:after="0" w:line="35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Chairman</w:t>
      </w:r>
      <w:r>
        <w:rPr>
          <w:rFonts w:ascii="Arial" w:cs="Arial" w:eastAsia="Arial" w:hAnsi="Arial"/>
          <w:sz w:val="20"/>
          <w:szCs w:val="20"/>
          <w:color w:val="auto"/>
        </w:rPr>
        <w:t>” has the meaning set forth in Section 5.3; “</w:t>
      </w:r>
      <w:r>
        <w:rPr>
          <w:rFonts w:ascii="Arial" w:cs="Arial" w:eastAsia="Arial" w:hAnsi="Arial"/>
          <w:sz w:val="20"/>
          <w:szCs w:val="20"/>
          <w:b w:val="1"/>
          <w:bCs w:val="1"/>
          <w:color w:val="auto"/>
        </w:rPr>
        <w:t>CFO</w:t>
      </w:r>
      <w:r>
        <w:rPr>
          <w:rFonts w:ascii="Arial" w:cs="Arial" w:eastAsia="Arial" w:hAnsi="Arial"/>
          <w:sz w:val="20"/>
          <w:szCs w:val="20"/>
          <w:color w:val="auto"/>
        </w:rPr>
        <w:t>” has the meaning set forth in</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Section 7.1(c); “</w:t>
      </w:r>
      <w:r>
        <w:rPr>
          <w:rFonts w:ascii="Arial" w:cs="Arial" w:eastAsia="Arial" w:hAnsi="Arial"/>
          <w:sz w:val="20"/>
          <w:szCs w:val="20"/>
          <w:b w:val="1"/>
          <w:bCs w:val="1"/>
          <w:color w:val="auto"/>
        </w:rPr>
        <w:t>Closing</w:t>
      </w:r>
      <w:r>
        <w:rPr>
          <w:rFonts w:ascii="Arial" w:cs="Arial" w:eastAsia="Arial" w:hAnsi="Arial"/>
          <w:sz w:val="20"/>
          <w:szCs w:val="20"/>
          <w:color w:val="auto"/>
        </w:rPr>
        <w:t>” has the meaning set forth in Section 3.2;</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Conditions</w:t>
      </w:r>
      <w:r>
        <w:rPr>
          <w:rFonts w:ascii="Arial" w:cs="Arial" w:eastAsia="Arial" w:hAnsi="Arial"/>
          <w:sz w:val="20"/>
          <w:szCs w:val="20"/>
          <w:color w:val="auto"/>
        </w:rPr>
        <w:t>” has the meaning set forth in Section 3.1; “</w:t>
      </w:r>
      <w:r>
        <w:rPr>
          <w:rFonts w:ascii="Arial" w:cs="Arial" w:eastAsia="Arial" w:hAnsi="Arial"/>
          <w:sz w:val="20"/>
          <w:szCs w:val="20"/>
          <w:b w:val="1"/>
          <w:bCs w:val="1"/>
          <w:color w:val="auto"/>
        </w:rPr>
        <w:t>Closing Date</w:t>
      </w:r>
      <w:r>
        <w:rPr>
          <w:rFonts w:ascii="Arial" w:cs="Arial" w:eastAsia="Arial" w:hAnsi="Arial"/>
          <w:sz w:val="20"/>
          <w:szCs w:val="20"/>
          <w:color w:val="auto"/>
        </w:rPr>
        <w:t>” has the meaning set forth</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in Section 3.2;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has the meaning set forth in Section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740"/>
          </w:cols>
          <w:pgMar w:left="400" w:top="1392" w:right="759" w:bottom="1440" w:gutter="0" w:footer="0" w:header="0"/>
        </w:sectPr>
      </w:pPr>
    </w:p>
    <w:bookmarkStart w:id="81" w:name="page82"/>
    <w:bookmarkEnd w:id="81"/>
    <w:p>
      <w:pPr>
        <w:spacing w:after="0" w:line="189" w:lineRule="exact"/>
        <w:rPr>
          <w:sz w:val="20"/>
          <w:szCs w:val="20"/>
          <w:color w:val="auto"/>
        </w:rPr>
      </w:pPr>
    </w:p>
    <w:p>
      <w:pPr>
        <w:ind w:left="860" w:right="4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“Controlled by” and “under common Control with”) means the direct or indirect possession of the decision-making authority over the management and policies of a Person, no matter through the ownership of voting</w:t>
      </w:r>
    </w:p>
    <w:p>
      <w:pPr>
        <w:spacing w:after="0" w:line="1" w:lineRule="exact"/>
        <w:rPr>
          <w:sz w:val="20"/>
          <w:szCs w:val="20"/>
          <w:color w:val="auto"/>
        </w:rPr>
      </w:pPr>
    </w:p>
    <w:p>
      <w:pPr>
        <w:ind w:left="860" w:right="60"/>
        <w:spacing w:after="0" w:line="239" w:lineRule="auto"/>
        <w:rPr>
          <w:sz w:val="20"/>
          <w:szCs w:val="20"/>
          <w:color w:val="auto"/>
        </w:rPr>
      </w:pPr>
      <w:r>
        <w:rPr>
          <w:rFonts w:ascii="Arial" w:cs="Arial" w:eastAsia="Arial" w:hAnsi="Arial"/>
          <w:sz w:val="19"/>
          <w:szCs w:val="19"/>
          <w:color w:val="auto"/>
        </w:rPr>
        <w:t>securities, through contract or otherwise, including but not limited to, the direct or indirect ownership of securities with the right to elect a majority of the board or similar organ of authority that governing the affairs of such Person;</w:t>
      </w:r>
    </w:p>
    <w:p>
      <w:pPr>
        <w:spacing w:after="0" w:line="31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Dilutive Equity</w:t>
      </w:r>
      <w:r>
        <w:rPr>
          <w:rFonts w:ascii="Arial" w:cs="Arial" w:eastAsia="Arial" w:hAnsi="Arial"/>
          <w:sz w:val="19"/>
          <w:szCs w:val="19"/>
          <w:color w:val="auto"/>
        </w:rPr>
        <w:t>” has the meaning set forth in Section 2.1 of Schedule 1; “</w:t>
      </w:r>
      <w:r>
        <w:rPr>
          <w:rFonts w:ascii="Arial" w:cs="Arial" w:eastAsia="Arial" w:hAnsi="Arial"/>
          <w:sz w:val="19"/>
          <w:szCs w:val="19"/>
          <w:b w:val="1"/>
          <w:bCs w:val="1"/>
          <w:color w:val="auto"/>
        </w:rPr>
        <w:t>Dilutive Issuance</w:t>
      </w:r>
      <w:r>
        <w:rPr>
          <w:rFonts w:ascii="Arial" w:cs="Arial" w:eastAsia="Arial" w:hAnsi="Arial"/>
          <w:sz w:val="19"/>
          <w:szCs w:val="19"/>
          <w:color w:val="auto"/>
        </w:rPr>
        <w:t>” has the meaning set</w:t>
      </w:r>
    </w:p>
    <w:p>
      <w:pPr>
        <w:spacing w:after="0" w:line="241" w:lineRule="exact"/>
        <w:rPr>
          <w:sz w:val="20"/>
          <w:szCs w:val="20"/>
          <w:color w:val="auto"/>
        </w:rPr>
      </w:pPr>
    </w:p>
    <w:p>
      <w:pPr>
        <w:ind w:left="860" w:right="2960"/>
        <w:spacing w:after="0" w:line="379" w:lineRule="auto"/>
        <w:rPr>
          <w:sz w:val="20"/>
          <w:szCs w:val="20"/>
          <w:color w:val="auto"/>
        </w:rPr>
      </w:pPr>
      <w:r>
        <w:rPr>
          <w:rFonts w:ascii="Arial" w:cs="Arial" w:eastAsia="Arial" w:hAnsi="Arial"/>
          <w:sz w:val="20"/>
          <w:szCs w:val="20"/>
          <w:color w:val="auto"/>
        </w:rPr>
        <w:t>forth in Section 2.1 of Schedule 1; “</w:t>
      </w:r>
      <w:r>
        <w:rPr>
          <w:rFonts w:ascii="Arial" w:cs="Arial" w:eastAsia="Arial" w:hAnsi="Arial"/>
          <w:sz w:val="20"/>
          <w:szCs w:val="20"/>
          <w:b w:val="1"/>
          <w:bCs w:val="1"/>
          <w:color w:val="auto"/>
        </w:rPr>
        <w:t>Directors</w:t>
      </w:r>
      <w:r>
        <w:rPr>
          <w:rFonts w:ascii="Arial" w:cs="Arial" w:eastAsia="Arial" w:hAnsi="Arial"/>
          <w:sz w:val="20"/>
          <w:szCs w:val="20"/>
          <w:color w:val="auto"/>
        </w:rPr>
        <w:t>” has the meaning set forth in Section 5.1; “</w:t>
      </w:r>
      <w:r>
        <w:rPr>
          <w:rFonts w:ascii="Arial" w:cs="Arial" w:eastAsia="Arial" w:hAnsi="Arial"/>
          <w:sz w:val="20"/>
          <w:szCs w:val="20"/>
          <w:b w:val="1"/>
          <w:bCs w:val="1"/>
          <w:color w:val="auto"/>
        </w:rPr>
        <w:t>Disputes</w:t>
      </w:r>
      <w:r>
        <w:rPr>
          <w:rFonts w:ascii="Arial" w:cs="Arial" w:eastAsia="Arial" w:hAnsi="Arial"/>
          <w:sz w:val="20"/>
          <w:szCs w:val="20"/>
          <w:color w:val="auto"/>
        </w:rPr>
        <w:t>” has the meaning set forth in Section 15.2;</w:t>
      </w:r>
    </w:p>
    <w:p>
      <w:pPr>
        <w:spacing w:after="0" w:line="20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Drag-Along Holder</w:t>
      </w:r>
      <w:r>
        <w:rPr>
          <w:rFonts w:ascii="Arial" w:cs="Arial" w:eastAsia="Arial" w:hAnsi="Arial"/>
          <w:sz w:val="20"/>
          <w:szCs w:val="20"/>
          <w:color w:val="auto"/>
        </w:rPr>
        <w:t>” has the meaning set forth in Section 5.1 of Schedule 1; “</w:t>
      </w:r>
      <w:r>
        <w:rPr>
          <w:rFonts w:ascii="Arial" w:cs="Arial" w:eastAsia="Arial" w:hAnsi="Arial"/>
          <w:sz w:val="20"/>
          <w:szCs w:val="20"/>
          <w:b w:val="1"/>
          <w:bCs w:val="1"/>
          <w:color w:val="auto"/>
        </w:rPr>
        <w:t>Drag-Along Notice</w:t>
      </w:r>
      <w:r>
        <w:rPr>
          <w:rFonts w:ascii="Arial" w:cs="Arial" w:eastAsia="Arial" w:hAnsi="Arial"/>
          <w:sz w:val="20"/>
          <w:szCs w:val="20"/>
          <w:color w:val="auto"/>
        </w:rPr>
        <w:t>” has the</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meaning set forth in Section 5.3 of Schedule 1; “</w:t>
      </w:r>
      <w:r>
        <w:rPr>
          <w:rFonts w:ascii="Arial" w:cs="Arial" w:eastAsia="Arial" w:hAnsi="Arial"/>
          <w:sz w:val="20"/>
          <w:szCs w:val="20"/>
          <w:b w:val="1"/>
          <w:bCs w:val="1"/>
          <w:color w:val="auto"/>
        </w:rPr>
        <w:t>Dragged Holders</w:t>
      </w:r>
      <w:r>
        <w:rPr>
          <w:rFonts w:ascii="Arial" w:cs="Arial" w:eastAsia="Arial" w:hAnsi="Arial"/>
          <w:sz w:val="20"/>
          <w:szCs w:val="20"/>
          <w:color w:val="auto"/>
        </w:rPr>
        <w:t>” has the meaning set forth in Section 5.1 of</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Schedule 1; “</w:t>
      </w:r>
      <w:r>
        <w:rPr>
          <w:rFonts w:ascii="Arial" w:cs="Arial" w:eastAsia="Arial" w:hAnsi="Arial"/>
          <w:sz w:val="20"/>
          <w:szCs w:val="20"/>
          <w:b w:val="1"/>
          <w:bCs w:val="1"/>
          <w:color w:val="auto"/>
        </w:rPr>
        <w:t>ESOP</w:t>
      </w:r>
      <w:r>
        <w:rPr>
          <w:rFonts w:ascii="Arial" w:cs="Arial" w:eastAsia="Arial" w:hAnsi="Arial"/>
          <w:sz w:val="20"/>
          <w:szCs w:val="20"/>
          <w:color w:val="auto"/>
        </w:rPr>
        <w:t>” has the meaning set forth in Section 2.3(e);</w:t>
      </w:r>
    </w:p>
    <w:p>
      <w:pPr>
        <w:spacing w:after="0" w:line="9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Establishment Date</w:t>
      </w:r>
      <w:r>
        <w:rPr>
          <w:rFonts w:ascii="Arial" w:cs="Arial" w:eastAsia="Arial" w:hAnsi="Arial"/>
          <w:sz w:val="20"/>
          <w:szCs w:val="20"/>
          <w:color w:val="auto"/>
        </w:rPr>
        <w:t>” means the establishment date recorded on the first Business License;</w:t>
      </w:r>
    </w:p>
    <w:p>
      <w:pPr>
        <w:spacing w:after="0" w:line="35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Manager</w:t>
      </w:r>
      <w:r>
        <w:rPr>
          <w:rFonts w:ascii="Arial" w:cs="Arial" w:eastAsia="Arial" w:hAnsi="Arial"/>
          <w:sz w:val="20"/>
          <w:szCs w:val="20"/>
          <w:color w:val="auto"/>
        </w:rPr>
        <w:t>” has the meaning set forth in Section 7.1(a); “</w:t>
      </w:r>
      <w:r>
        <w:rPr>
          <w:rFonts w:ascii="Arial" w:cs="Arial" w:eastAsia="Arial" w:hAnsi="Arial"/>
          <w:sz w:val="20"/>
          <w:szCs w:val="20"/>
          <w:b w:val="1"/>
          <w:bCs w:val="1"/>
          <w:color w:val="auto"/>
        </w:rPr>
        <w:t>Indemnitees</w:t>
      </w:r>
      <w:r>
        <w:rPr>
          <w:rFonts w:ascii="Arial" w:cs="Arial" w:eastAsia="Arial" w:hAnsi="Arial"/>
          <w:sz w:val="20"/>
          <w:szCs w:val="20"/>
          <w:color w:val="auto"/>
        </w:rPr>
        <w:t>” has the meaning set</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forth in Section 14.1; “</w:t>
      </w:r>
      <w:r>
        <w:rPr>
          <w:rFonts w:ascii="Arial" w:cs="Arial" w:eastAsia="Arial" w:hAnsi="Arial"/>
          <w:sz w:val="20"/>
          <w:szCs w:val="20"/>
          <w:b w:val="1"/>
          <w:bCs w:val="1"/>
          <w:color w:val="auto"/>
        </w:rPr>
        <w:t>Indemnifying Party</w:t>
      </w:r>
      <w:r>
        <w:rPr>
          <w:rFonts w:ascii="Arial" w:cs="Arial" w:eastAsia="Arial" w:hAnsi="Arial"/>
          <w:sz w:val="20"/>
          <w:szCs w:val="20"/>
          <w:color w:val="auto"/>
        </w:rPr>
        <w:t>” has the meaning set forth in Section 14.1;</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Equity</w:t>
      </w:r>
      <w:r>
        <w:rPr>
          <w:rFonts w:ascii="Arial" w:cs="Arial" w:eastAsia="Arial" w:hAnsi="Arial"/>
          <w:sz w:val="18"/>
          <w:szCs w:val="18"/>
          <w:color w:val="auto"/>
        </w:rPr>
        <w:t>” has the meaning set forth in Section 4.1 of Schedule 1; “</w:t>
      </w:r>
      <w:r>
        <w:rPr>
          <w:rFonts w:ascii="Arial" w:cs="Arial" w:eastAsia="Arial" w:hAnsi="Arial"/>
          <w:sz w:val="18"/>
          <w:szCs w:val="18"/>
          <w:b w:val="1"/>
          <w:bCs w:val="1"/>
          <w:color w:val="auto"/>
        </w:rPr>
        <w:t>Issuance Notice</w:t>
      </w:r>
      <w:r>
        <w:rPr>
          <w:rFonts w:ascii="Arial" w:cs="Arial" w:eastAsia="Arial" w:hAnsi="Arial"/>
          <w:sz w:val="18"/>
          <w:szCs w:val="18"/>
          <w:color w:val="auto"/>
        </w:rPr>
        <w:t>” has the meaning set forth</w:t>
      </w:r>
    </w:p>
    <w:p>
      <w:pPr>
        <w:spacing w:after="0" w:line="25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in Section 4.2 of Schedule 1;</w:t>
      </w:r>
    </w:p>
    <w:p>
      <w:pPr>
        <w:spacing w:after="0" w:line="8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Investing Parties</w:t>
      </w:r>
      <w:r>
        <w:rPr>
          <w:rFonts w:ascii="Arial" w:cs="Arial" w:eastAsia="Arial" w:hAnsi="Arial"/>
          <w:sz w:val="18"/>
          <w:szCs w:val="18"/>
          <w:color w:val="auto"/>
        </w:rPr>
        <w:t>” means AHK and the Investors (excluding Management Co.), and “</w:t>
      </w:r>
      <w:r>
        <w:rPr>
          <w:rFonts w:ascii="Arial" w:cs="Arial" w:eastAsia="Arial" w:hAnsi="Arial"/>
          <w:sz w:val="18"/>
          <w:szCs w:val="18"/>
          <w:b w:val="1"/>
          <w:bCs w:val="1"/>
          <w:color w:val="auto"/>
        </w:rPr>
        <w:t>Investing Party</w:t>
      </w:r>
      <w:r>
        <w:rPr>
          <w:rFonts w:ascii="Arial" w:cs="Arial" w:eastAsia="Arial" w:hAnsi="Arial"/>
          <w:sz w:val="18"/>
          <w:szCs w:val="18"/>
          <w:color w:val="auto"/>
        </w:rPr>
        <w:t>” means any of them.</w:t>
      </w:r>
    </w:p>
    <w:p>
      <w:pPr>
        <w:spacing w:after="0" w:line="252" w:lineRule="exact"/>
        <w:rPr>
          <w:sz w:val="20"/>
          <w:szCs w:val="20"/>
          <w:color w:val="auto"/>
        </w:rPr>
      </w:pPr>
    </w:p>
    <w:p>
      <w:pPr>
        <w:ind w:left="860" w:right="6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Investing Party Purchase Price</w:t>
      </w:r>
      <w:r>
        <w:rPr>
          <w:rFonts w:ascii="Arial" w:cs="Arial" w:eastAsia="Arial" w:hAnsi="Arial"/>
          <w:sz w:val="18"/>
          <w:szCs w:val="18"/>
          <w:color w:val="auto"/>
        </w:rPr>
        <w:t>” means the per-unit purchase price for the registered capital subscribed pursuant to this Agreement for Investor D, Investor E and Investor F or the per-unit purchase price for the registered capital subscribed</w:t>
      </w:r>
    </w:p>
    <w:p>
      <w:pPr>
        <w:ind w:left="860"/>
        <w:spacing w:after="0" w:line="212" w:lineRule="auto"/>
        <w:rPr>
          <w:sz w:val="20"/>
          <w:szCs w:val="20"/>
          <w:color w:val="auto"/>
        </w:rPr>
      </w:pPr>
      <w:r>
        <w:rPr>
          <w:rFonts w:ascii="Arial" w:cs="Arial" w:eastAsia="Arial" w:hAnsi="Arial"/>
          <w:sz w:val="20"/>
          <w:szCs w:val="20"/>
          <w:color w:val="auto"/>
        </w:rPr>
        <w:t>pursuant to SHARE PURCHASE AND SHAREHOLDERS AGREEMENT dated on Feb 21st,2022 for</w:t>
      </w:r>
    </w:p>
    <w:p>
      <w:pPr>
        <w:spacing w:after="0" w:line="1" w:lineRule="exact"/>
        <w:rPr>
          <w:sz w:val="20"/>
          <w:szCs w:val="20"/>
          <w:color w:val="auto"/>
        </w:rPr>
      </w:pPr>
    </w:p>
    <w:p>
      <w:pPr>
        <w:ind w:left="860" w:right="60"/>
        <w:spacing w:after="0" w:line="226" w:lineRule="auto"/>
        <w:rPr>
          <w:sz w:val="20"/>
          <w:szCs w:val="20"/>
          <w:color w:val="auto"/>
        </w:rPr>
      </w:pPr>
      <w:r>
        <w:rPr>
          <w:rFonts w:ascii="Arial" w:cs="Arial" w:eastAsia="Arial" w:hAnsi="Arial"/>
          <w:sz w:val="18"/>
          <w:szCs w:val="18"/>
          <w:color w:val="auto"/>
        </w:rPr>
        <w:t>Investor A, Investor B and Investor C at the First Closing (as appropriately adjusted for any dividend or split upon restructuring into a joint stock corporation, or any securities or equivalents issued upon the public offering of shares of the</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Company in the PRC or an offshore stock market), which shall be RMB 1.00 per unit of Registered Capital.</w:t>
      </w:r>
    </w:p>
    <w:p>
      <w:pPr>
        <w:spacing w:after="0" w:line="194" w:lineRule="exact"/>
        <w:rPr>
          <w:sz w:val="20"/>
          <w:szCs w:val="20"/>
          <w:color w:val="auto"/>
        </w:rPr>
      </w:pPr>
    </w:p>
    <w:p>
      <w:pPr>
        <w:ind w:left="860" w:right="6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Key Employees</w:t>
      </w:r>
      <w:r>
        <w:rPr>
          <w:rFonts w:ascii="Arial" w:cs="Arial" w:eastAsia="Arial" w:hAnsi="Arial"/>
          <w:sz w:val="20"/>
          <w:szCs w:val="20"/>
          <w:color w:val="auto"/>
        </w:rPr>
        <w:t>” means key employees identified before Closing, each of whose employment agreements are to be completed before Closing.</w:t>
      </w:r>
    </w:p>
    <w:p>
      <w:pPr>
        <w:spacing w:after="0" w:line="19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Lead Investor</w:t>
      </w:r>
      <w:r>
        <w:rPr>
          <w:rFonts w:ascii="Arial" w:cs="Arial" w:eastAsia="Arial" w:hAnsi="Arial"/>
          <w:sz w:val="20"/>
          <w:szCs w:val="20"/>
          <w:color w:val="auto"/>
        </w:rPr>
        <w:t>” means Investor A.</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Licensed Items</w:t>
      </w:r>
      <w:r>
        <w:rPr>
          <w:rFonts w:ascii="Arial" w:cs="Arial" w:eastAsia="Arial" w:hAnsi="Arial"/>
          <w:sz w:val="20"/>
          <w:szCs w:val="20"/>
          <w:color w:val="auto"/>
        </w:rPr>
        <w:t>” has the meaning set forth in Section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780"/>
          </w:cols>
          <w:pgMar w:left="400" w:top="1440" w:right="719" w:bottom="1440" w:gutter="0" w:footer="0" w:header="0"/>
        </w:sectPr>
      </w:pPr>
    </w:p>
    <w:bookmarkStart w:id="82" w:name="page83"/>
    <w:bookmarkEnd w:id="82"/>
    <w:p>
      <w:pPr>
        <w:spacing w:after="0" w:line="32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Liquidation Committee</w:t>
      </w:r>
      <w:r>
        <w:rPr>
          <w:rFonts w:ascii="Arial" w:cs="Arial" w:eastAsia="Arial" w:hAnsi="Arial"/>
          <w:sz w:val="20"/>
          <w:szCs w:val="20"/>
          <w:color w:val="auto"/>
        </w:rPr>
        <w:t>” has the meaning set forth in Section 13.1(a); “</w:t>
      </w:r>
      <w:r>
        <w:rPr>
          <w:rFonts w:ascii="Arial" w:cs="Arial" w:eastAsia="Arial" w:hAnsi="Arial"/>
          <w:sz w:val="20"/>
          <w:szCs w:val="20"/>
          <w:b w:val="1"/>
          <w:bCs w:val="1"/>
          <w:color w:val="auto"/>
        </w:rPr>
        <w:t>Liquidation Event</w:t>
      </w:r>
      <w:r>
        <w:rPr>
          <w:rFonts w:ascii="Arial" w:cs="Arial" w:eastAsia="Arial" w:hAnsi="Arial"/>
          <w:sz w:val="20"/>
          <w:szCs w:val="20"/>
          <w:color w:val="auto"/>
        </w:rPr>
        <w:t>” has the meaning set</w:t>
      </w:r>
    </w:p>
    <w:p>
      <w:pPr>
        <w:spacing w:after="0" w:line="229" w:lineRule="exact"/>
        <w:rPr>
          <w:sz w:val="20"/>
          <w:szCs w:val="20"/>
          <w:color w:val="auto"/>
        </w:rPr>
      </w:pPr>
    </w:p>
    <w:p>
      <w:pPr>
        <w:ind w:left="860" w:right="960"/>
        <w:spacing w:after="0" w:line="379" w:lineRule="auto"/>
        <w:rPr>
          <w:sz w:val="20"/>
          <w:szCs w:val="20"/>
          <w:color w:val="auto"/>
        </w:rPr>
      </w:pPr>
      <w:r>
        <w:rPr>
          <w:rFonts w:ascii="Arial" w:cs="Arial" w:eastAsia="Arial" w:hAnsi="Arial"/>
          <w:sz w:val="20"/>
          <w:szCs w:val="20"/>
          <w:color w:val="auto"/>
        </w:rPr>
        <w:t>forth in Section 1.1 of Schedule 1; “</w:t>
      </w:r>
      <w:r>
        <w:rPr>
          <w:rFonts w:ascii="Arial" w:cs="Arial" w:eastAsia="Arial" w:hAnsi="Arial"/>
          <w:sz w:val="20"/>
          <w:szCs w:val="20"/>
          <w:b w:val="1"/>
          <w:bCs w:val="1"/>
          <w:color w:val="auto"/>
        </w:rPr>
        <w:t>Liquidation Preference</w:t>
      </w:r>
      <w:r>
        <w:rPr>
          <w:rFonts w:ascii="Arial" w:cs="Arial" w:eastAsia="Arial" w:hAnsi="Arial"/>
          <w:sz w:val="20"/>
          <w:szCs w:val="20"/>
          <w:color w:val="auto"/>
        </w:rPr>
        <w:t>” has the meaning set forth in Section 1.1 of Schedule 1; “</w:t>
      </w:r>
      <w:r>
        <w:rPr>
          <w:rFonts w:ascii="Arial" w:cs="Arial" w:eastAsia="Arial" w:hAnsi="Arial"/>
          <w:sz w:val="20"/>
          <w:szCs w:val="20"/>
          <w:b w:val="1"/>
          <w:bCs w:val="1"/>
          <w:color w:val="auto"/>
        </w:rPr>
        <w:t>New Investor’s Interest Rate</w:t>
      </w:r>
      <w:r>
        <w:rPr>
          <w:rFonts w:ascii="Arial" w:cs="Arial" w:eastAsia="Arial" w:hAnsi="Arial"/>
          <w:sz w:val="20"/>
          <w:szCs w:val="20"/>
          <w:color w:val="auto"/>
        </w:rPr>
        <w:t>” has the meaning set forth in Section 1.2 of Schedule 1;</w:t>
      </w:r>
    </w:p>
    <w:p>
      <w:pPr>
        <w:spacing w:after="0" w:line="7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 Period of Redemption</w:t>
      </w:r>
      <w:r>
        <w:rPr>
          <w:rFonts w:ascii="Arial" w:cs="Arial" w:eastAsia="Arial" w:hAnsi="Arial"/>
          <w:sz w:val="20"/>
          <w:szCs w:val="20"/>
          <w:color w:val="auto"/>
        </w:rPr>
        <w:t>” has the meaning set forth in Section 7.3 of Schedule 1;</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Over-Allotment Issuance Equity</w:t>
      </w:r>
      <w:r>
        <w:rPr>
          <w:rFonts w:ascii="Arial" w:cs="Arial" w:eastAsia="Arial" w:hAnsi="Arial"/>
          <w:sz w:val="20"/>
          <w:szCs w:val="20"/>
          <w:color w:val="auto"/>
        </w:rPr>
        <w:t>” has the meaning set forth in Section 4.4 of Schedule 1;</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Party</w:t>
      </w:r>
      <w:r>
        <w:rPr>
          <w:rFonts w:ascii="Arial" w:cs="Arial" w:eastAsia="Arial" w:hAnsi="Arial"/>
          <w:sz w:val="20"/>
          <w:szCs w:val="20"/>
          <w:color w:val="auto"/>
        </w:rPr>
        <w:t>” and “</w:t>
      </w:r>
      <w:r>
        <w:rPr>
          <w:rFonts w:ascii="Arial" w:cs="Arial" w:eastAsia="Arial" w:hAnsi="Arial"/>
          <w:sz w:val="20"/>
          <w:szCs w:val="20"/>
          <w:b w:val="1"/>
          <w:bCs w:val="1"/>
          <w:color w:val="auto"/>
        </w:rPr>
        <w:t>Parties</w:t>
      </w:r>
      <w:r>
        <w:rPr>
          <w:rFonts w:ascii="Arial" w:cs="Arial" w:eastAsia="Arial" w:hAnsi="Arial"/>
          <w:sz w:val="20"/>
          <w:szCs w:val="20"/>
          <w:color w:val="auto"/>
        </w:rPr>
        <w:t>” has the meaning set forth in the Preamble;</w:t>
      </w:r>
    </w:p>
    <w:p>
      <w:pPr>
        <w:spacing w:after="0" w:line="216" w:lineRule="exact"/>
        <w:rPr>
          <w:sz w:val="20"/>
          <w:szCs w:val="20"/>
          <w:color w:val="auto"/>
        </w:rPr>
      </w:pPr>
    </w:p>
    <w:p>
      <w:pPr>
        <w:jc w:val="both"/>
        <w:ind w:left="860" w:right="38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partnership, social organization, enterprise, company, association, trust, unincorporated organization or other entity or institution;</w:t>
      </w:r>
    </w:p>
    <w:p>
      <w:pPr>
        <w:spacing w:after="0" w:line="19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Potential Purchaser</w:t>
      </w:r>
      <w:r>
        <w:rPr>
          <w:rFonts w:ascii="Arial" w:cs="Arial" w:eastAsia="Arial" w:hAnsi="Arial"/>
          <w:sz w:val="20"/>
          <w:szCs w:val="20"/>
          <w:color w:val="auto"/>
        </w:rPr>
        <w:t>” has the meaning set forth in Section 5.1 of Schedule 1;</w:t>
      </w:r>
    </w:p>
    <w:p>
      <w:pPr>
        <w:spacing w:after="0" w:line="229" w:lineRule="exact"/>
        <w:rPr>
          <w:sz w:val="20"/>
          <w:szCs w:val="20"/>
          <w:color w:val="auto"/>
        </w:rPr>
      </w:pPr>
    </w:p>
    <w:p>
      <w:pPr>
        <w:jc w:val="both"/>
        <w:ind w:left="860" w:right="360"/>
        <w:spacing w:after="0" w:line="239" w:lineRule="exact"/>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PRC</w:t>
      </w:r>
      <w:r>
        <w:rPr>
          <w:rFonts w:ascii="Arial" w:cs="Arial" w:eastAsia="Arial" w:hAnsi="Arial"/>
          <w:sz w:val="20"/>
          <w:szCs w:val="20"/>
          <w:color w:val="auto"/>
        </w:rPr>
        <w:t>” or “</w:t>
      </w:r>
      <w:r>
        <w:rPr>
          <w:rFonts w:ascii="Arial" w:cs="Arial" w:eastAsia="Arial" w:hAnsi="Arial"/>
          <w:sz w:val="20"/>
          <w:szCs w:val="20"/>
          <w:b w:val="1"/>
          <w:bCs w:val="1"/>
          <w:color w:val="auto"/>
        </w:rPr>
        <w:t>China</w:t>
      </w:r>
      <w:r>
        <w:rPr>
          <w:rFonts w:ascii="Arial" w:cs="Arial" w:eastAsia="Arial" w:hAnsi="Arial"/>
          <w:sz w:val="20"/>
          <w:szCs w:val="20"/>
          <w:color w:val="auto"/>
        </w:rPr>
        <w:t>” means the People’s Republic of China, including the Hong Kong Special Administrative Region, Macao Special Administrative Region and Taiwan</w:t>
      </w:r>
      <w:r>
        <w:rPr>
          <w:rFonts w:ascii="SimSun" w:cs="SimSun" w:eastAsia="SimSun" w:hAnsi="SimSun"/>
          <w:sz w:val="20"/>
          <w:szCs w:val="20"/>
          <w:color w:val="auto"/>
        </w:rPr>
        <w:t>；</w:t>
      </w:r>
      <w:r>
        <w:rPr>
          <w:rFonts w:ascii="Arial" w:cs="Arial" w:eastAsia="Arial" w:hAnsi="Arial"/>
          <w:sz w:val="20"/>
          <w:szCs w:val="20"/>
          <w:color w:val="auto"/>
        </w:rPr>
        <w:t xml:space="preserve"> solely for the purpose of this Agreement, excluding the Hong Kong Special Administrative Region, Macao Special Administrative Region and Taiwan;</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PRC Accounting System</w:t>
      </w:r>
      <w:r>
        <w:rPr>
          <w:rFonts w:ascii="Arial" w:cs="Arial" w:eastAsia="Arial" w:hAnsi="Arial"/>
          <w:sz w:val="20"/>
          <w:szCs w:val="20"/>
          <w:color w:val="auto"/>
        </w:rPr>
        <w:t>” means the PRC Generally Accepted Accounting Principles;</w:t>
      </w:r>
    </w:p>
    <w:p>
      <w:pPr>
        <w:spacing w:after="0" w:line="229" w:lineRule="exact"/>
        <w:rPr>
          <w:sz w:val="20"/>
          <w:szCs w:val="20"/>
          <w:color w:val="auto"/>
        </w:rPr>
      </w:pPr>
    </w:p>
    <w:p>
      <w:pPr>
        <w:jc w:val="both"/>
        <w:ind w:left="860" w:right="38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PRC Laws</w:t>
      </w:r>
      <w:r>
        <w:rPr>
          <w:rFonts w:ascii="Arial" w:cs="Arial" w:eastAsia="Arial" w:hAnsi="Arial"/>
          <w:sz w:val="20"/>
          <w:szCs w:val="20"/>
          <w:color w:val="auto"/>
        </w:rPr>
        <w:t>” means any published and effective PRC laws, administrative regulations, department rules and provisions and related local regulations, rules and provisions;</w:t>
      </w:r>
    </w:p>
    <w:p>
      <w:pPr>
        <w:spacing w:after="0" w:line="32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Preemptive Rights</w:t>
      </w:r>
      <w:r>
        <w:rPr>
          <w:rFonts w:ascii="Arial" w:cs="Arial" w:eastAsia="Arial" w:hAnsi="Arial"/>
          <w:sz w:val="19"/>
          <w:szCs w:val="19"/>
          <w:color w:val="auto"/>
        </w:rPr>
        <w:t>” has the meaning set forth in Section 4.1 of Schedule 1; “</w:t>
      </w:r>
      <w:r>
        <w:rPr>
          <w:rFonts w:ascii="Arial" w:cs="Arial" w:eastAsia="Arial" w:hAnsi="Arial"/>
          <w:sz w:val="19"/>
          <w:szCs w:val="19"/>
          <w:b w:val="1"/>
          <w:bCs w:val="1"/>
          <w:color w:val="auto"/>
        </w:rPr>
        <w:t>Preemptive Rights Holders</w:t>
      </w:r>
      <w:r>
        <w:rPr>
          <w:rFonts w:ascii="Arial" w:cs="Arial" w:eastAsia="Arial" w:hAnsi="Arial"/>
          <w:sz w:val="19"/>
          <w:szCs w:val="19"/>
          <w:color w:val="auto"/>
        </w:rPr>
        <w:t>” has the</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meaning set forth in Section 4.1 of Schedule 1; “</w:t>
      </w:r>
      <w:r>
        <w:rPr>
          <w:rFonts w:ascii="Arial" w:cs="Arial" w:eastAsia="Arial" w:hAnsi="Arial"/>
          <w:sz w:val="20"/>
          <w:szCs w:val="20"/>
          <w:b w:val="1"/>
          <w:bCs w:val="1"/>
          <w:color w:val="auto"/>
        </w:rPr>
        <w:t>Proposed Transferee</w:t>
      </w:r>
      <w:r>
        <w:rPr>
          <w:rFonts w:ascii="Arial" w:cs="Arial" w:eastAsia="Arial" w:hAnsi="Arial"/>
          <w:sz w:val="20"/>
          <w:szCs w:val="20"/>
          <w:color w:val="auto"/>
        </w:rPr>
        <w:t>” has the meaning set forth in Section 3.2 of</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Schedule 1; “</w:t>
      </w:r>
      <w:r>
        <w:rPr>
          <w:rFonts w:ascii="Arial" w:cs="Arial" w:eastAsia="Arial" w:hAnsi="Arial"/>
          <w:sz w:val="19"/>
          <w:szCs w:val="19"/>
          <w:b w:val="1"/>
          <w:bCs w:val="1"/>
          <w:color w:val="auto"/>
        </w:rPr>
        <w:t>Senior Management Personnel</w:t>
      </w:r>
      <w:r>
        <w:rPr>
          <w:rFonts w:ascii="Arial" w:cs="Arial" w:eastAsia="Arial" w:hAnsi="Arial"/>
          <w:sz w:val="19"/>
          <w:szCs w:val="19"/>
          <w:color w:val="auto"/>
        </w:rPr>
        <w:t>” has the meaning set forth in Section 7.1(d); “</w:t>
      </w:r>
      <w:r>
        <w:rPr>
          <w:rFonts w:ascii="Arial" w:cs="Arial" w:eastAsia="Arial" w:hAnsi="Arial"/>
          <w:sz w:val="19"/>
          <w:szCs w:val="19"/>
          <w:b w:val="1"/>
          <w:bCs w:val="1"/>
          <w:color w:val="auto"/>
        </w:rPr>
        <w:t>Settlement Document</w:t>
      </w:r>
      <w:r>
        <w:rPr>
          <w:rFonts w:ascii="Arial" w:cs="Arial" w:eastAsia="Arial" w:hAnsi="Arial"/>
          <w:sz w:val="19"/>
          <w:szCs w:val="19"/>
          <w:color w:val="auto"/>
        </w:rPr>
        <w:t>” has</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meaning set forth in Section 6 of Schedule 1; “</w:t>
      </w:r>
      <w:r>
        <w:rPr>
          <w:rFonts w:ascii="Arial" w:cs="Arial" w:eastAsia="Arial" w:hAnsi="Arial"/>
          <w:sz w:val="20"/>
          <w:szCs w:val="20"/>
          <w:b w:val="1"/>
          <w:bCs w:val="1"/>
          <w:color w:val="auto"/>
        </w:rPr>
        <w:t>Shareholder</w:t>
      </w:r>
      <w:r>
        <w:rPr>
          <w:rFonts w:ascii="Arial" w:cs="Arial" w:eastAsia="Arial" w:hAnsi="Arial"/>
          <w:sz w:val="20"/>
          <w:szCs w:val="20"/>
          <w:color w:val="auto"/>
        </w:rPr>
        <w:t>” means a shareholder of the Company;</w:t>
      </w:r>
    </w:p>
    <w:p>
      <w:pPr>
        <w:spacing w:after="0" w:line="94" w:lineRule="exact"/>
        <w:rPr>
          <w:sz w:val="20"/>
          <w:szCs w:val="20"/>
          <w:color w:val="auto"/>
        </w:rPr>
      </w:pPr>
    </w:p>
    <w:p>
      <w:pPr>
        <w:jc w:val="both"/>
        <w:ind w:left="860" w:right="38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Capital</w:t>
      </w:r>
      <w:r>
        <w:rPr>
          <w:rFonts w:ascii="Arial" w:cs="Arial" w:eastAsia="Arial" w:hAnsi="Arial"/>
          <w:sz w:val="20"/>
          <w:szCs w:val="20"/>
          <w:color w:val="auto"/>
        </w:rPr>
        <w:t>” means the registered capital of the Company and any warrant, option, commitment or security convertible into, exchangeable or exercisable for the registered capital of the Company;</w:t>
      </w:r>
    </w:p>
    <w:p>
      <w:pPr>
        <w:spacing w:after="0" w:line="190" w:lineRule="exact"/>
        <w:rPr>
          <w:sz w:val="20"/>
          <w:szCs w:val="20"/>
          <w:color w:val="auto"/>
        </w:rPr>
      </w:pPr>
    </w:p>
    <w:p>
      <w:pPr>
        <w:jc w:val="both"/>
        <w:ind w:left="860" w:right="38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Authority</w:t>
      </w:r>
      <w:r>
        <w:rPr>
          <w:rFonts w:ascii="Arial" w:cs="Arial" w:eastAsia="Arial" w:hAnsi="Arial"/>
          <w:sz w:val="20"/>
          <w:szCs w:val="20"/>
          <w:color w:val="auto"/>
        </w:rPr>
        <w:t>” means the State Administration for Market Regulation of the PRC or its authorized local counterpart in charge of the registration of the Company;</w:t>
      </w:r>
    </w:p>
    <w:p>
      <w:pPr>
        <w:spacing w:after="0" w:line="3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Transfer Equity</w:t>
      </w:r>
      <w:r>
        <w:rPr>
          <w:rFonts w:ascii="Arial" w:cs="Arial" w:eastAsia="Arial" w:hAnsi="Arial"/>
          <w:sz w:val="18"/>
          <w:szCs w:val="18"/>
          <w:color w:val="auto"/>
        </w:rPr>
        <w:t>” has the meaning set forth in Section 3.2 of Schedule 1; “</w:t>
      </w:r>
      <w:r>
        <w:rPr>
          <w:rFonts w:ascii="Arial" w:cs="Arial" w:eastAsia="Arial" w:hAnsi="Arial"/>
          <w:sz w:val="18"/>
          <w:szCs w:val="18"/>
          <w:b w:val="1"/>
          <w:bCs w:val="1"/>
          <w:color w:val="auto"/>
        </w:rPr>
        <w:t>Renminbi</w:t>
      </w:r>
      <w:r>
        <w:rPr>
          <w:rFonts w:ascii="Arial" w:cs="Arial" w:eastAsia="Arial" w:hAnsi="Arial"/>
          <w:sz w:val="18"/>
          <w:szCs w:val="18"/>
          <w:color w:val="auto"/>
        </w:rPr>
        <w:t>” or “</w:t>
      </w:r>
      <w:r>
        <w:rPr>
          <w:rFonts w:ascii="Arial" w:cs="Arial" w:eastAsia="Arial" w:hAnsi="Arial"/>
          <w:sz w:val="18"/>
          <w:szCs w:val="18"/>
          <w:b w:val="1"/>
          <w:bCs w:val="1"/>
          <w:color w:val="auto"/>
        </w:rPr>
        <w:t>RMB</w:t>
      </w:r>
      <w:r>
        <w:rPr>
          <w:rFonts w:ascii="Arial" w:cs="Arial" w:eastAsia="Arial" w:hAnsi="Arial"/>
          <w:sz w:val="18"/>
          <w:szCs w:val="18"/>
          <w:color w:val="auto"/>
        </w:rPr>
        <w:t>” means the lawful</w:t>
      </w:r>
    </w:p>
    <w:p>
      <w:pPr>
        <w:spacing w:after="0" w:line="25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currency of the PRC;</w:t>
      </w:r>
    </w:p>
    <w:p>
      <w:pPr>
        <w:spacing w:after="0" w:line="8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ROFR Holder</w:t>
      </w:r>
      <w:r>
        <w:rPr>
          <w:rFonts w:ascii="Arial" w:cs="Arial" w:eastAsia="Arial" w:hAnsi="Arial"/>
          <w:sz w:val="20"/>
          <w:szCs w:val="20"/>
          <w:color w:val="auto"/>
        </w:rPr>
        <w:t>” has the meaning set forth in Section 3.2 of 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100"/>
          </w:cols>
          <w:pgMar w:left="400" w:top="1440" w:right="399" w:bottom="1440" w:gutter="0" w:footer="0" w:header="0"/>
        </w:sectPr>
      </w:pPr>
    </w:p>
    <w:bookmarkStart w:id="83" w:name="page84"/>
    <w:bookmarkEnd w:id="83"/>
    <w:p>
      <w:pPr>
        <w:spacing w:after="0" w:line="200" w:lineRule="exact"/>
        <w:rPr>
          <w:sz w:val="20"/>
          <w:szCs w:val="20"/>
          <w:color w:val="auto"/>
        </w:rPr>
      </w:pPr>
    </w:p>
    <w:p>
      <w:pPr>
        <w:spacing w:after="0" w:line="23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Transfer Notice</w:t>
      </w:r>
      <w:r>
        <w:rPr>
          <w:rFonts w:ascii="Arial" w:cs="Arial" w:eastAsia="Arial" w:hAnsi="Arial"/>
          <w:sz w:val="20"/>
          <w:szCs w:val="20"/>
          <w:color w:val="auto"/>
        </w:rPr>
        <w:t>” has the meaning set forth in Section 3.2 of Schedule 1;</w:t>
      </w:r>
    </w:p>
    <w:p>
      <w:pPr>
        <w:spacing w:after="0" w:line="216" w:lineRule="exact"/>
        <w:rPr>
          <w:sz w:val="20"/>
          <w:szCs w:val="20"/>
          <w:color w:val="auto"/>
        </w:rPr>
      </w:pPr>
    </w:p>
    <w:p>
      <w:pPr>
        <w:ind w:left="860" w:right="60"/>
        <w:spacing w:after="0" w:line="49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Shareholders’ Meeting</w:t>
      </w:r>
      <w:r>
        <w:rPr>
          <w:rFonts w:ascii="Arial" w:cs="Arial" w:eastAsia="Arial" w:hAnsi="Arial"/>
          <w:sz w:val="20"/>
          <w:szCs w:val="20"/>
          <w:color w:val="auto"/>
        </w:rPr>
        <w:t>” means the supreme decision-making body of the Company, consisting of all of the Shareholders. “</w:t>
      </w:r>
      <w:r>
        <w:rPr>
          <w:rFonts w:ascii="Arial" w:cs="Arial" w:eastAsia="Arial" w:hAnsi="Arial"/>
          <w:sz w:val="20"/>
          <w:szCs w:val="20"/>
          <w:b w:val="1"/>
          <w:bCs w:val="1"/>
          <w:color w:val="auto"/>
        </w:rPr>
        <w:t>Supervisors</w:t>
      </w:r>
      <w:r>
        <w:rPr>
          <w:rFonts w:ascii="Arial" w:cs="Arial" w:eastAsia="Arial" w:hAnsi="Arial"/>
          <w:sz w:val="20"/>
          <w:szCs w:val="20"/>
          <w:color w:val="auto"/>
        </w:rPr>
        <w:t>” has the meaning set forth in Section 6.1;</w:t>
      </w:r>
    </w:p>
    <w:p>
      <w:pPr>
        <w:spacing w:after="0" w:line="8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Tag Along Equity</w:t>
      </w:r>
      <w:r>
        <w:rPr>
          <w:rFonts w:ascii="Arial" w:cs="Arial" w:eastAsia="Arial" w:hAnsi="Arial"/>
          <w:sz w:val="19"/>
          <w:szCs w:val="19"/>
          <w:color w:val="auto"/>
        </w:rPr>
        <w:t>” has the meaning set forth in Section 3.3 of Schedule 1; “</w:t>
      </w:r>
      <w:r>
        <w:rPr>
          <w:rFonts w:ascii="Arial" w:cs="Arial" w:eastAsia="Arial" w:hAnsi="Arial"/>
          <w:sz w:val="19"/>
          <w:szCs w:val="19"/>
          <w:b w:val="1"/>
          <w:bCs w:val="1"/>
          <w:color w:val="auto"/>
        </w:rPr>
        <w:t>Tag Along Right</w:t>
      </w:r>
      <w:r>
        <w:rPr>
          <w:rFonts w:ascii="Arial" w:cs="Arial" w:eastAsia="Arial" w:hAnsi="Arial"/>
          <w:sz w:val="19"/>
          <w:szCs w:val="19"/>
          <w:color w:val="auto"/>
        </w:rPr>
        <w:t>” has the meaning</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set forth in Section 3.3 of Schedule 1; “</w:t>
      </w:r>
      <w:r>
        <w:rPr>
          <w:rFonts w:ascii="Arial" w:cs="Arial" w:eastAsia="Arial" w:hAnsi="Arial"/>
          <w:sz w:val="20"/>
          <w:szCs w:val="20"/>
          <w:b w:val="1"/>
          <w:bCs w:val="1"/>
          <w:color w:val="auto"/>
        </w:rPr>
        <w:t>Technology License Agreement</w:t>
      </w:r>
      <w:r>
        <w:rPr>
          <w:rFonts w:ascii="Arial" w:cs="Arial" w:eastAsia="Arial" w:hAnsi="Arial"/>
          <w:sz w:val="20"/>
          <w:szCs w:val="20"/>
          <w:color w:val="auto"/>
        </w:rPr>
        <w:t>” has the meaning set forth in Section</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10.2; “</w:t>
      </w:r>
      <w:r>
        <w:rPr>
          <w:rFonts w:ascii="Arial" w:cs="Arial" w:eastAsia="Arial" w:hAnsi="Arial"/>
          <w:sz w:val="20"/>
          <w:szCs w:val="20"/>
          <w:b w:val="1"/>
          <w:bCs w:val="1"/>
          <w:color w:val="auto"/>
        </w:rPr>
        <w:t>Term</w:t>
      </w:r>
      <w:r>
        <w:rPr>
          <w:rFonts w:ascii="Arial" w:cs="Arial" w:eastAsia="Arial" w:hAnsi="Arial"/>
          <w:sz w:val="20"/>
          <w:szCs w:val="20"/>
          <w:color w:val="auto"/>
        </w:rPr>
        <w:t>” has the meaning set forth in Section 12.1;</w:t>
      </w:r>
    </w:p>
    <w:p>
      <w:pPr>
        <w:spacing w:after="0" w:line="9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 Documents</w:t>
      </w:r>
      <w:r>
        <w:rPr>
          <w:rFonts w:ascii="Arial" w:cs="Arial" w:eastAsia="Arial" w:hAnsi="Arial"/>
          <w:sz w:val="20"/>
          <w:szCs w:val="20"/>
          <w:color w:val="auto"/>
        </w:rPr>
        <w:t>” means (a) this Agreement, and (b) the Articles of Association of the Company.</w:t>
      </w:r>
    </w:p>
    <w:p>
      <w:pPr>
        <w:spacing w:after="0" w:line="36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Equity</w:t>
      </w:r>
      <w:r>
        <w:rPr>
          <w:rFonts w:ascii="Arial" w:cs="Arial" w:eastAsia="Arial" w:hAnsi="Arial"/>
          <w:sz w:val="18"/>
          <w:szCs w:val="18"/>
          <w:color w:val="auto"/>
        </w:rPr>
        <w:t>” has the meaning set forth in Section 3.2 of Schedule 1; “</w:t>
      </w:r>
      <w:r>
        <w:rPr>
          <w:rFonts w:ascii="Arial" w:cs="Arial" w:eastAsia="Arial" w:hAnsi="Arial"/>
          <w:sz w:val="18"/>
          <w:szCs w:val="18"/>
          <w:b w:val="1"/>
          <w:bCs w:val="1"/>
          <w:color w:val="auto"/>
        </w:rPr>
        <w:t>Transfer Notice</w:t>
      </w:r>
      <w:r>
        <w:rPr>
          <w:rFonts w:ascii="Arial" w:cs="Arial" w:eastAsia="Arial" w:hAnsi="Arial"/>
          <w:sz w:val="18"/>
          <w:szCs w:val="18"/>
          <w:color w:val="auto"/>
        </w:rPr>
        <w:t>” has the meaning set forth</w:t>
      </w:r>
    </w:p>
    <w:p>
      <w:pPr>
        <w:spacing w:after="0" w:line="25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in Section 3.2 of Schedule 1; “</w:t>
      </w:r>
      <w:r>
        <w:rPr>
          <w:rFonts w:ascii="Arial" w:cs="Arial" w:eastAsia="Arial" w:hAnsi="Arial"/>
          <w:sz w:val="19"/>
          <w:szCs w:val="19"/>
          <w:b w:val="1"/>
          <w:bCs w:val="1"/>
          <w:color w:val="auto"/>
        </w:rPr>
        <w:t>Transferring Party</w:t>
      </w:r>
      <w:r>
        <w:rPr>
          <w:rFonts w:ascii="Arial" w:cs="Arial" w:eastAsia="Arial" w:hAnsi="Arial"/>
          <w:sz w:val="19"/>
          <w:szCs w:val="19"/>
          <w:color w:val="auto"/>
        </w:rPr>
        <w:t>” has the meaning set forth in Section 3.2 of Schedule 1; “</w:t>
      </w:r>
      <w:r>
        <w:rPr>
          <w:rFonts w:ascii="Arial" w:cs="Arial" w:eastAsia="Arial" w:hAnsi="Arial"/>
          <w:sz w:val="19"/>
          <w:szCs w:val="19"/>
          <w:b w:val="1"/>
          <w:bCs w:val="1"/>
          <w:color w:val="auto"/>
        </w:rPr>
        <w:t>U.S.</w:t>
      </w:r>
      <w:r>
        <w:rPr>
          <w:rFonts w:ascii="Arial" w:cs="Arial" w:eastAsia="Arial" w:hAnsi="Arial"/>
          <w:sz w:val="19"/>
          <w:szCs w:val="19"/>
          <w:color w:val="auto"/>
        </w:rPr>
        <w:t>”</w:t>
      </w:r>
    </w:p>
    <w:p>
      <w:pPr>
        <w:spacing w:after="0" w:line="24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means the United States of America;</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Dollars</w:t>
      </w:r>
      <w:r>
        <w:rPr>
          <w:rFonts w:ascii="Arial" w:cs="Arial" w:eastAsia="Arial" w:hAnsi="Arial"/>
          <w:sz w:val="20"/>
          <w:szCs w:val="20"/>
          <w:color w:val="auto"/>
        </w:rPr>
        <w:t>” or “</w:t>
      </w:r>
      <w:r>
        <w:rPr>
          <w:rFonts w:ascii="Arial" w:cs="Arial" w:eastAsia="Arial" w:hAnsi="Arial"/>
          <w:sz w:val="20"/>
          <w:szCs w:val="20"/>
          <w:b w:val="1"/>
          <w:bCs w:val="1"/>
          <w:color w:val="auto"/>
        </w:rPr>
        <w:t>US$</w:t>
      </w:r>
      <w:r>
        <w:rPr>
          <w:rFonts w:ascii="Arial" w:cs="Arial" w:eastAsia="Arial" w:hAnsi="Arial"/>
          <w:sz w:val="20"/>
          <w:szCs w:val="20"/>
          <w:color w:val="auto"/>
        </w:rPr>
        <w:t>” means the lawful currency of the U.S..</w:t>
      </w:r>
    </w:p>
    <w:p>
      <w:pPr>
        <w:spacing w:after="0" w:line="230"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8"/>
          <w:szCs w:val="18"/>
          <w:u w:val="single" w:color="auto"/>
          <w:color w:val="auto"/>
        </w:rPr>
        <w:t>Rules of Interpretation</w:t>
      </w:r>
    </w:p>
    <w:p>
      <w:pPr>
        <w:spacing w:after="0" w:line="211" w:lineRule="exact"/>
        <w:rPr>
          <w:sz w:val="20"/>
          <w:szCs w:val="20"/>
          <w:color w:val="auto"/>
        </w:rPr>
      </w:pPr>
    </w:p>
    <w:p>
      <w:pPr>
        <w:jc w:val="both"/>
        <w:ind w:left="1360" w:hanging="509"/>
        <w:spacing w:after="0" w:line="220" w:lineRule="auto"/>
        <w:tabs>
          <w:tab w:leader="none" w:pos="1353" w:val="left"/>
        </w:tabs>
        <w:numPr>
          <w:ilvl w:val="0"/>
          <w:numId w:val="43"/>
        </w:numPr>
        <w:rPr>
          <w:rFonts w:ascii="Arial" w:cs="Arial" w:eastAsia="Arial" w:hAnsi="Arial"/>
          <w:sz w:val="20"/>
          <w:szCs w:val="20"/>
          <w:color w:val="auto"/>
        </w:rPr>
      </w:pPr>
      <w:r>
        <w:rPr>
          <w:rFonts w:ascii="Arial" w:cs="Arial" w:eastAsia="Arial" w:hAnsi="Arial"/>
          <w:sz w:val="20"/>
          <w:szCs w:val="20"/>
          <w:color w:val="auto"/>
        </w:rPr>
        <w:t>Unless otherwise provided, all the terms, annexes and appendices referred to in this Agreement refer to the terms, annexes and appendices of this Agreement. “Of this Agreement”, “in this Agreement”, “under this Agreement” and other wordings with similar meaning used in this Agreement refer to this Agreement as a whole rather than any article or section of this Agreement.</w:t>
      </w:r>
    </w:p>
    <w:p>
      <w:pPr>
        <w:spacing w:after="0" w:line="196" w:lineRule="exact"/>
        <w:rPr>
          <w:rFonts w:ascii="Arial" w:cs="Arial" w:eastAsia="Arial" w:hAnsi="Arial"/>
          <w:sz w:val="20"/>
          <w:szCs w:val="20"/>
          <w:color w:val="auto"/>
        </w:rPr>
      </w:pPr>
    </w:p>
    <w:p>
      <w:pPr>
        <w:ind w:left="1360" w:hanging="509"/>
        <w:spacing w:after="0" w:line="229" w:lineRule="auto"/>
        <w:tabs>
          <w:tab w:leader="none" w:pos="135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Reference to any document (including this Agreement) includes the amendment, supplement or replacement of that document from time to time.</w:t>
      </w:r>
    </w:p>
    <w:p>
      <w:pPr>
        <w:spacing w:after="0" w:line="195" w:lineRule="exact"/>
        <w:rPr>
          <w:rFonts w:ascii="Arial" w:cs="Arial" w:eastAsia="Arial" w:hAnsi="Arial"/>
          <w:sz w:val="20"/>
          <w:szCs w:val="20"/>
          <w:color w:val="auto"/>
        </w:rPr>
      </w:pPr>
    </w:p>
    <w:p>
      <w:pPr>
        <w:ind w:left="1360" w:hanging="509"/>
        <w:spacing w:after="0"/>
        <w:tabs>
          <w:tab w:leader="none" w:pos="1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Reference to any Party includes any successor of its proprietorship or any permitted assigns.</w:t>
      </w:r>
    </w:p>
    <w:p>
      <w:pPr>
        <w:spacing w:after="0" w:line="215" w:lineRule="exact"/>
        <w:rPr>
          <w:rFonts w:ascii="Arial" w:cs="Arial" w:eastAsia="Arial" w:hAnsi="Arial"/>
          <w:sz w:val="20"/>
          <w:szCs w:val="20"/>
          <w:color w:val="auto"/>
        </w:rPr>
      </w:pPr>
    </w:p>
    <w:p>
      <w:pPr>
        <w:ind w:left="1360" w:hanging="509"/>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Reference to the singular includes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reference to any gender includes all the other genders.</w:t>
      </w:r>
    </w:p>
    <w:p>
      <w:pPr>
        <w:spacing w:after="0" w:line="252" w:lineRule="exact"/>
        <w:rPr>
          <w:rFonts w:ascii="Arial" w:cs="Arial" w:eastAsia="Arial" w:hAnsi="Arial"/>
          <w:sz w:val="18"/>
          <w:szCs w:val="18"/>
          <w:color w:val="auto"/>
        </w:rPr>
      </w:pPr>
    </w:p>
    <w:p>
      <w:pPr>
        <w:ind w:left="1360" w:hanging="509"/>
        <w:spacing w:after="0" w:line="229" w:lineRule="auto"/>
        <w:tabs>
          <w:tab w:leader="none" w:pos="1353" w:val="left"/>
        </w:tabs>
        <w:numPr>
          <w:ilvl w:val="0"/>
          <w:numId w:val="43"/>
        </w:numPr>
        <w:rPr>
          <w:rFonts w:ascii="Arial" w:cs="Arial" w:eastAsia="Arial" w:hAnsi="Arial"/>
          <w:sz w:val="20"/>
          <w:szCs w:val="20"/>
          <w:color w:val="auto"/>
        </w:rPr>
      </w:pPr>
      <w:r>
        <w:rPr>
          <w:rFonts w:ascii="Arial" w:cs="Arial" w:eastAsia="Arial" w:hAnsi="Arial"/>
          <w:sz w:val="20"/>
          <w:szCs w:val="20"/>
          <w:color w:val="auto"/>
        </w:rPr>
        <w:t>General words shall not be given a restrictive meaning by any particular examples introduced by “including”, “such as” or any similar expressions.</w:t>
      </w:r>
    </w:p>
    <w:p>
      <w:pPr>
        <w:spacing w:after="0" w:line="209" w:lineRule="exact"/>
        <w:rPr>
          <w:rFonts w:ascii="Arial" w:cs="Arial" w:eastAsia="Arial" w:hAnsi="Arial"/>
          <w:sz w:val="20"/>
          <w:szCs w:val="20"/>
          <w:color w:val="auto"/>
        </w:rPr>
      </w:pPr>
    </w:p>
    <w:p>
      <w:pPr>
        <w:ind w:left="1360" w:hanging="509"/>
        <w:spacing w:after="0" w:line="229" w:lineRule="auto"/>
        <w:tabs>
          <w:tab w:leader="none" w:pos="1358"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insertion of headings in this Agreement is for convenience of reference only and shall not define or limit the articles and sections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720"/>
          </w:cols>
          <w:pgMar w:left="400" w:top="1440" w:right="779" w:bottom="1440" w:gutter="0" w:footer="0" w:header="0"/>
        </w:sectPr>
      </w:pPr>
    </w:p>
    <w:bookmarkStart w:id="84" w:name="page85"/>
    <w:bookmarkEnd w:id="84"/>
    <w:p>
      <w:pPr>
        <w:spacing w:after="0" w:line="185"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ARTICLE 2 SUBSCRIPTION AND TRANSFER OF REGISTERED CAPITAL</w:t>
      </w:r>
    </w:p>
    <w:p>
      <w:pPr>
        <w:spacing w:after="0" w:line="212"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8"/>
          <w:szCs w:val="18"/>
          <w:color w:val="auto"/>
        </w:rPr>
        <w:t>Capital Contributions of Investor D, Investor E and Investor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-17780</wp:posOffset>
            </wp:positionV>
            <wp:extent cx="1676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Registered Capital of the Company shall be increased from RMB </w:t>
      </w:r>
      <w:r>
        <w:rPr>
          <w:rFonts w:ascii="Arial" w:cs="Arial" w:eastAsia="Arial" w:hAnsi="Arial"/>
          <w:sz w:val="18"/>
          <w:szCs w:val="18"/>
          <w:b w:val="1"/>
          <w:bCs w:val="1"/>
          <w:color w:val="auto"/>
        </w:rPr>
        <w:t>196,500,000</w:t>
      </w:r>
      <w:r>
        <w:rPr>
          <w:rFonts w:ascii="Arial" w:cs="Arial" w:eastAsia="Arial" w:hAnsi="Arial"/>
          <w:sz w:val="18"/>
          <w:szCs w:val="18"/>
          <w:color w:val="auto"/>
        </w:rPr>
        <w:t xml:space="preserve"> at the First Closing to RMB </w:t>
      </w:r>
      <w:r>
        <w:rPr>
          <w:rFonts w:ascii="Arial" w:cs="Arial" w:eastAsia="Arial" w:hAnsi="Arial"/>
          <w:sz w:val="18"/>
          <w:szCs w:val="18"/>
          <w:b w:val="1"/>
          <w:bCs w:val="1"/>
          <w:color w:val="auto"/>
        </w:rPr>
        <w:t>226,500,000</w:t>
      </w:r>
      <w:r>
        <w:rPr>
          <w:rFonts w:ascii="Arial" w:cs="Arial" w:eastAsia="Arial" w:hAnsi="Arial"/>
          <w:sz w:val="18"/>
          <w:szCs w:val="18"/>
          <w:color w:val="auto"/>
        </w:rPr>
        <w:t xml:space="preserve"> at the</w:t>
      </w:r>
    </w:p>
    <w:p>
      <w:pPr>
        <w:spacing w:after="0" w:line="18" w:lineRule="exact"/>
        <w:rPr>
          <w:sz w:val="20"/>
          <w:szCs w:val="20"/>
          <w:color w:val="auto"/>
        </w:rPr>
      </w:pPr>
    </w:p>
    <w:p>
      <w:pPr>
        <w:ind w:left="340" w:right="300"/>
        <w:spacing w:after="0" w:line="250" w:lineRule="auto"/>
        <w:rPr>
          <w:sz w:val="20"/>
          <w:szCs w:val="20"/>
          <w:color w:val="auto"/>
        </w:rPr>
      </w:pPr>
      <w:r>
        <w:rPr>
          <w:rFonts w:ascii="Arial" w:cs="Arial" w:eastAsia="Arial" w:hAnsi="Arial"/>
          <w:sz w:val="18"/>
          <w:szCs w:val="18"/>
          <w:color w:val="auto"/>
        </w:rPr>
        <w:t>Second Closing (“</w:t>
      </w:r>
      <w:r>
        <w:rPr>
          <w:rFonts w:ascii="Arial" w:cs="Arial" w:eastAsia="Arial" w:hAnsi="Arial"/>
          <w:sz w:val="18"/>
          <w:szCs w:val="18"/>
          <w:b w:val="1"/>
          <w:bCs w:val="1"/>
          <w:color w:val="auto"/>
        </w:rPr>
        <w:t>Capital Increase</w:t>
      </w:r>
      <w:r>
        <w:rPr>
          <w:rFonts w:ascii="Arial" w:cs="Arial" w:eastAsia="Arial" w:hAnsi="Arial"/>
          <w:sz w:val="18"/>
          <w:szCs w:val="18"/>
          <w:color w:val="auto"/>
        </w:rPr>
        <w:t>”). The Investor D, Investor E and Investor F agree to subscribe for and contribute the amounts of Registered Capital of the Company (each, a “</w:t>
      </w:r>
      <w:r>
        <w:rPr>
          <w:rFonts w:ascii="Arial" w:cs="Arial" w:eastAsia="Arial" w:hAnsi="Arial"/>
          <w:sz w:val="18"/>
          <w:szCs w:val="18"/>
          <w:b w:val="1"/>
          <w:bCs w:val="1"/>
          <w:color w:val="auto"/>
        </w:rPr>
        <w:t>Capital Contribution Amount</w:t>
      </w:r>
      <w:r>
        <w:rPr>
          <w:rFonts w:ascii="Arial" w:cs="Arial" w:eastAsia="Arial" w:hAnsi="Arial"/>
          <w:sz w:val="18"/>
          <w:szCs w:val="18"/>
          <w:color w:val="auto"/>
        </w:rPr>
        <w:t>”) as follows (the “</w:t>
      </w:r>
      <w:r>
        <w:rPr>
          <w:rFonts w:ascii="Arial" w:cs="Arial" w:eastAsia="Arial" w:hAnsi="Arial"/>
          <w:sz w:val="18"/>
          <w:szCs w:val="18"/>
          <w:b w:val="1"/>
          <w:bCs w:val="1"/>
          <w:color w:val="auto"/>
        </w:rPr>
        <w:t>Capital Contributions</w:t>
      </w:r>
      <w:r>
        <w:rPr>
          <w:rFonts w:ascii="Arial" w:cs="Arial" w:eastAsia="Arial" w:hAnsi="Arial"/>
          <w:sz w:val="18"/>
          <w:szCs w:val="18"/>
          <w:color w:val="auto"/>
        </w:rPr>
        <w:t>”):</w:t>
      </w:r>
    </w:p>
    <w:p>
      <w:pPr>
        <w:spacing w:after="0" w:line="201" w:lineRule="exact"/>
        <w:rPr>
          <w:sz w:val="20"/>
          <w:szCs w:val="20"/>
          <w:color w:val="auto"/>
        </w:rPr>
      </w:pPr>
    </w:p>
    <w:p>
      <w:pPr>
        <w:ind w:left="1360" w:right="280" w:hanging="509"/>
        <w:spacing w:after="0" w:line="229" w:lineRule="auto"/>
        <w:tabs>
          <w:tab w:leader="none" w:pos="1353" w:val="left"/>
        </w:tabs>
        <w:numPr>
          <w:ilvl w:val="0"/>
          <w:numId w:val="44"/>
        </w:numPr>
        <w:rPr>
          <w:rFonts w:ascii="Arial" w:cs="Arial" w:eastAsia="Arial" w:hAnsi="Arial"/>
          <w:sz w:val="20"/>
          <w:szCs w:val="20"/>
          <w:color w:val="auto"/>
        </w:rPr>
      </w:pPr>
      <w:r>
        <w:rPr>
          <w:rFonts w:ascii="Arial" w:cs="Arial" w:eastAsia="Arial" w:hAnsi="Arial"/>
          <w:sz w:val="20"/>
          <w:szCs w:val="20"/>
          <w:color w:val="auto"/>
        </w:rPr>
        <w:t>Catalpa Capital agrees to subscribe for and contribute RMB 10,000,000 in cash, representing 4.4150% of the Registered Capital of the Company immediately after Closing;</w:t>
      </w:r>
    </w:p>
    <w:p>
      <w:pPr>
        <w:spacing w:after="0" w:line="195" w:lineRule="exact"/>
        <w:rPr>
          <w:rFonts w:ascii="Arial" w:cs="Arial" w:eastAsia="Arial" w:hAnsi="Arial"/>
          <w:sz w:val="20"/>
          <w:szCs w:val="20"/>
          <w:color w:val="auto"/>
        </w:rPr>
      </w:pPr>
    </w:p>
    <w:p>
      <w:pPr>
        <w:ind w:left="1360" w:right="280" w:hanging="509"/>
        <w:spacing w:after="0" w:line="236" w:lineRule="auto"/>
        <w:tabs>
          <w:tab w:leader="none" w:pos="1350" w:val="left"/>
        </w:tabs>
        <w:numPr>
          <w:ilvl w:val="0"/>
          <w:numId w:val="44"/>
        </w:numPr>
        <w:rPr>
          <w:rFonts w:ascii="Arial" w:cs="Arial" w:eastAsia="Arial" w:hAnsi="Arial"/>
          <w:sz w:val="20"/>
          <w:szCs w:val="20"/>
          <w:color w:val="auto"/>
        </w:rPr>
      </w:pPr>
      <w:r>
        <w:rPr>
          <w:rFonts w:ascii="Arial" w:cs="Arial" w:eastAsia="Arial" w:hAnsi="Arial"/>
          <w:sz w:val="20"/>
          <w:szCs w:val="20"/>
          <w:color w:val="auto"/>
        </w:rPr>
        <w:t>Guinie Zhuyu agrees to subscribe for and contribute RMB 10,000,000 in cash, representing 4.4150% of the Registered Capital of the Company immediately after Closing; and</w:t>
      </w:r>
    </w:p>
    <w:p>
      <w:pPr>
        <w:spacing w:after="0" w:line="195" w:lineRule="exact"/>
        <w:rPr>
          <w:rFonts w:ascii="Arial" w:cs="Arial" w:eastAsia="Arial" w:hAnsi="Arial"/>
          <w:sz w:val="20"/>
          <w:szCs w:val="20"/>
          <w:color w:val="auto"/>
        </w:rPr>
      </w:pPr>
    </w:p>
    <w:p>
      <w:pPr>
        <w:ind w:left="1360" w:right="280" w:hanging="509"/>
        <w:spacing w:after="0" w:line="236" w:lineRule="auto"/>
        <w:tabs>
          <w:tab w:leader="none" w:pos="1353" w:val="left"/>
        </w:tabs>
        <w:numPr>
          <w:ilvl w:val="0"/>
          <w:numId w:val="44"/>
        </w:numPr>
        <w:rPr>
          <w:rFonts w:ascii="Arial" w:cs="Arial" w:eastAsia="Arial" w:hAnsi="Arial"/>
          <w:sz w:val="20"/>
          <w:szCs w:val="20"/>
          <w:color w:val="auto"/>
        </w:rPr>
      </w:pPr>
      <w:r>
        <w:rPr>
          <w:rFonts w:ascii="Arial" w:cs="Arial" w:eastAsia="Arial" w:hAnsi="Arial"/>
          <w:sz w:val="20"/>
          <w:szCs w:val="20"/>
          <w:color w:val="auto"/>
        </w:rPr>
        <w:t>Hangxin Rongxie agrees to subscribe for and contribute RMB 10,000,000 in cash, representing 4.4150% of the Registered Capital of the Company immediately after Closing.</w:t>
      </w:r>
    </w:p>
    <w:p>
      <w:pPr>
        <w:spacing w:after="0" w:line="178"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8"/>
          <w:szCs w:val="18"/>
          <w:u w:val="single" w:color="auto"/>
          <w:color w:val="auto"/>
        </w:rPr>
        <w:t>Timing of Capital Contribution</w:t>
      </w:r>
    </w:p>
    <w:p>
      <w:pPr>
        <w:spacing w:after="0" w:line="305" w:lineRule="exact"/>
        <w:rPr>
          <w:sz w:val="20"/>
          <w:szCs w:val="20"/>
          <w:color w:val="auto"/>
        </w:rPr>
      </w:pPr>
    </w:p>
    <w:p>
      <w:pPr>
        <w:ind w:left="860"/>
        <w:spacing w:after="0" w:line="236" w:lineRule="auto"/>
        <w:rPr>
          <w:sz w:val="20"/>
          <w:szCs w:val="20"/>
          <w:color w:val="auto"/>
        </w:rPr>
      </w:pPr>
      <w:r>
        <w:rPr>
          <w:rFonts w:ascii="Arial" w:cs="Arial" w:eastAsia="Arial" w:hAnsi="Arial"/>
          <w:sz w:val="20"/>
          <w:szCs w:val="20"/>
          <w:color w:val="auto"/>
        </w:rPr>
        <w:t>Subject to the provisions of Section 3.2 below, the Parties shall contribute their respective subscribed capital contributions to the Company as provided below.</w:t>
      </w:r>
    </w:p>
    <w:p>
      <w:pPr>
        <w:spacing w:after="0" w:line="191"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6"/>
          <w:szCs w:val="16"/>
          <w:color w:val="auto"/>
        </w:rPr>
        <w:t>Registered Capital</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Registered Capital of the Company is consisted of as follows immediately after Closing (for the avoidance of doubt,</w:t>
      </w:r>
    </w:p>
    <w:p>
      <w:pPr>
        <w:ind w:left="340" w:right="300"/>
        <w:spacing w:after="0" w:line="220" w:lineRule="auto"/>
        <w:rPr>
          <w:sz w:val="20"/>
          <w:szCs w:val="20"/>
          <w:color w:val="auto"/>
        </w:rPr>
      </w:pPr>
      <w:r>
        <w:rPr>
          <w:rFonts w:ascii="Arial" w:cs="Arial" w:eastAsia="Arial" w:hAnsi="Arial"/>
          <w:sz w:val="20"/>
          <w:szCs w:val="20"/>
          <w:color w:val="auto"/>
        </w:rPr>
        <w:t>contributions (a), (b), (c), (d) and (h) below were made at the First Closing and their updated percentage ownership of Registered Capital is effective after the Closing):</w:t>
      </w:r>
    </w:p>
    <w:p>
      <w:pPr>
        <w:spacing w:after="0" w:line="197" w:lineRule="exact"/>
        <w:rPr>
          <w:sz w:val="20"/>
          <w:szCs w:val="20"/>
          <w:color w:val="auto"/>
        </w:rPr>
      </w:pPr>
    </w:p>
    <w:p>
      <w:pPr>
        <w:jc w:val="both"/>
        <w:ind w:left="1360" w:right="300" w:hanging="381"/>
        <w:spacing w:after="0" w:line="211" w:lineRule="auto"/>
        <w:tabs>
          <w:tab w:leader="none" w:pos="1357" w:val="left"/>
        </w:tabs>
        <w:numPr>
          <w:ilvl w:val="1"/>
          <w:numId w:val="45"/>
        </w:numPr>
        <w:rPr>
          <w:rFonts w:ascii="Arial" w:cs="Arial" w:eastAsia="Arial" w:hAnsi="Arial"/>
          <w:sz w:val="20"/>
          <w:szCs w:val="20"/>
          <w:color w:val="auto"/>
        </w:rPr>
      </w:pPr>
      <w:r>
        <w:rPr>
          <w:rFonts w:ascii="Arial" w:cs="Arial" w:eastAsia="Arial" w:hAnsi="Arial"/>
          <w:sz w:val="20"/>
          <w:szCs w:val="20"/>
          <w:color w:val="auto"/>
        </w:rPr>
        <w:t>AHK contributes RMB 79,230,000 representing 34.9802% of the Registered Capital of the Company immediately after the Closing, in which (I) RMB 77,330,000 is contributed in-kind by way of a technology license for Licensed Items under the Technology License Agreement at appraised value, representing 34.1413% of the Registered Capital of the Company immediately after the Closing</w:t>
      </w:r>
    </w:p>
    <w:p>
      <w:pPr>
        <w:spacing w:after="0" w:line="3" w:lineRule="exact"/>
        <w:rPr>
          <w:rFonts w:ascii="Arial" w:cs="Arial" w:eastAsia="Arial" w:hAnsi="Arial"/>
          <w:sz w:val="20"/>
          <w:szCs w:val="20"/>
          <w:color w:val="auto"/>
        </w:rPr>
      </w:pPr>
    </w:p>
    <w:p>
      <w:pPr>
        <w:jc w:val="both"/>
        <w:ind w:left="1360" w:right="280"/>
        <w:spacing w:after="0" w:line="227" w:lineRule="auto"/>
        <w:rPr>
          <w:rFonts w:ascii="Arial" w:cs="Arial" w:eastAsia="Arial" w:hAnsi="Arial"/>
          <w:sz w:val="20"/>
          <w:szCs w:val="20"/>
          <w:color w:val="auto"/>
        </w:rPr>
      </w:pPr>
      <w:r>
        <w:rPr>
          <w:rFonts w:ascii="Arial" w:cs="Arial" w:eastAsia="Arial" w:hAnsi="Arial"/>
          <w:sz w:val="19"/>
          <w:szCs w:val="19"/>
          <w:color w:val="auto"/>
        </w:rPr>
        <w:t>(II) RMB 1,700,000 in cash is contributed to the Company, representing 0.7506% of the Registered Capital of the Company immediately after the Closing, and (III) RMB 200,000 in cash has been paid to Arteris Nanjing for the Initial Registered Capital of the Company that transferred earlier from Arteris Nanjing to AHK and representing 0.0883% of the Registered Capital of the Company immediately after Closing;</w:t>
      </w:r>
    </w:p>
    <w:p>
      <w:pPr>
        <w:spacing w:after="0" w:line="183" w:lineRule="exact"/>
        <w:rPr>
          <w:rFonts w:ascii="Arial" w:cs="Arial" w:eastAsia="Arial" w:hAnsi="Arial"/>
          <w:sz w:val="20"/>
          <w:szCs w:val="20"/>
          <w:color w:val="auto"/>
        </w:rPr>
      </w:pPr>
    </w:p>
    <w:p>
      <w:pPr>
        <w:ind w:left="1360" w:right="1020" w:hanging="509"/>
        <w:spacing w:after="0" w:line="236" w:lineRule="auto"/>
        <w:tabs>
          <w:tab w:leader="none" w:pos="1353" w:val="left"/>
        </w:tabs>
        <w:numPr>
          <w:ilvl w:val="0"/>
          <w:numId w:val="46"/>
        </w:numPr>
        <w:rPr>
          <w:rFonts w:ascii="Arial" w:cs="Arial" w:eastAsia="Arial" w:hAnsi="Arial"/>
          <w:sz w:val="20"/>
          <w:szCs w:val="20"/>
          <w:color w:val="auto"/>
        </w:rPr>
      </w:pPr>
      <w:r>
        <w:rPr>
          <w:rFonts w:ascii="Arial" w:cs="Arial" w:eastAsia="Arial" w:hAnsi="Arial"/>
          <w:sz w:val="20"/>
          <w:szCs w:val="20"/>
          <w:color w:val="auto"/>
        </w:rPr>
        <w:t>SME contributes RMB 30,000,000 in cash, representing 13.2450% of the Registered Capital of the Company immediately after Closing;</w:t>
      </w:r>
    </w:p>
    <w:p>
      <w:pPr>
        <w:spacing w:after="0" w:line="195" w:lineRule="exact"/>
        <w:rPr>
          <w:rFonts w:ascii="Arial" w:cs="Arial" w:eastAsia="Arial" w:hAnsi="Arial"/>
          <w:sz w:val="20"/>
          <w:szCs w:val="20"/>
          <w:color w:val="auto"/>
        </w:rPr>
      </w:pPr>
    </w:p>
    <w:p>
      <w:pPr>
        <w:ind w:left="1360" w:right="1000" w:hanging="509"/>
        <w:spacing w:after="0" w:line="229" w:lineRule="auto"/>
        <w:tabs>
          <w:tab w:leader="none" w:pos="1358" w:val="left"/>
        </w:tabs>
        <w:numPr>
          <w:ilvl w:val="0"/>
          <w:numId w:val="46"/>
        </w:numPr>
        <w:rPr>
          <w:rFonts w:ascii="Arial" w:cs="Arial" w:eastAsia="Arial" w:hAnsi="Arial"/>
          <w:sz w:val="20"/>
          <w:szCs w:val="20"/>
          <w:color w:val="auto"/>
        </w:rPr>
      </w:pPr>
      <w:r>
        <w:rPr>
          <w:rFonts w:ascii="Arial" w:cs="Arial" w:eastAsia="Arial" w:hAnsi="Arial"/>
          <w:sz w:val="20"/>
          <w:szCs w:val="20"/>
          <w:color w:val="auto"/>
        </w:rPr>
        <w:t>Luojia contributes RMB 20,000,000 in cash, representing 8.8300% of the Registered Capital of the Company immediately after Closing.</w:t>
      </w:r>
    </w:p>
    <w:p>
      <w:pPr>
        <w:spacing w:after="0" w:line="209" w:lineRule="exact"/>
        <w:rPr>
          <w:rFonts w:ascii="Arial" w:cs="Arial" w:eastAsia="Arial" w:hAnsi="Arial"/>
          <w:sz w:val="20"/>
          <w:szCs w:val="20"/>
          <w:color w:val="auto"/>
        </w:rPr>
      </w:pPr>
    </w:p>
    <w:p>
      <w:pPr>
        <w:ind w:left="1360" w:hanging="510"/>
        <w:spacing w:after="0"/>
        <w:tabs>
          <w:tab w:leader="none" w:pos="13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Guinie contributes RMB 26,500,000 in cash, representing 11.6998%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020"/>
          </w:cols>
          <w:pgMar w:left="400" w:top="1440" w:right="479" w:bottom="1440" w:gutter="0" w:footer="0" w:header="0"/>
        </w:sectPr>
      </w:pPr>
    </w:p>
    <w:bookmarkStart w:id="85" w:name="page86"/>
    <w:bookmarkEnd w:id="85"/>
    <w:p>
      <w:pPr>
        <w:spacing w:after="0" w:line="195"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Registered Capital of the Company immediately after Closing;</w:t>
      </w:r>
    </w:p>
    <w:p>
      <w:pPr>
        <w:spacing w:after="0" w:line="202" w:lineRule="exact"/>
        <w:rPr>
          <w:sz w:val="20"/>
          <w:szCs w:val="20"/>
          <w:color w:val="auto"/>
        </w:rPr>
      </w:pPr>
    </w:p>
    <w:p>
      <w:pPr>
        <w:ind w:left="1360" w:right="20" w:hanging="509"/>
        <w:spacing w:after="0" w:line="236" w:lineRule="auto"/>
        <w:tabs>
          <w:tab w:leader="none" w:pos="135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Catalpa Capital contributes RMB 10,000,000 in cash, representing 4.4150% of the Registered Capital of the Company immediately after Closing;</w:t>
      </w:r>
    </w:p>
    <w:p>
      <w:pPr>
        <w:spacing w:after="0" w:line="195" w:lineRule="exact"/>
        <w:rPr>
          <w:rFonts w:ascii="Arial" w:cs="Arial" w:eastAsia="Arial" w:hAnsi="Arial"/>
          <w:sz w:val="20"/>
          <w:szCs w:val="20"/>
          <w:color w:val="auto"/>
        </w:rPr>
      </w:pPr>
    </w:p>
    <w:p>
      <w:pPr>
        <w:ind w:left="1360" w:right="140" w:hanging="509"/>
        <w:spacing w:after="0" w:line="236" w:lineRule="auto"/>
        <w:tabs>
          <w:tab w:leader="none" w:pos="1347" w:val="left"/>
        </w:tabs>
        <w:numPr>
          <w:ilvl w:val="0"/>
          <w:numId w:val="47"/>
        </w:numPr>
        <w:rPr>
          <w:rFonts w:ascii="Arial" w:cs="Arial" w:eastAsia="Arial" w:hAnsi="Arial"/>
          <w:sz w:val="20"/>
          <w:szCs w:val="20"/>
          <w:color w:val="auto"/>
        </w:rPr>
      </w:pPr>
      <w:r>
        <w:rPr>
          <w:rFonts w:ascii="Arial" w:cs="Arial" w:eastAsia="Arial" w:hAnsi="Arial"/>
          <w:sz w:val="20"/>
          <w:szCs w:val="20"/>
          <w:color w:val="auto"/>
        </w:rPr>
        <w:t>Guinie Zhuyu contributes RMB 10,000,000 in cash, representing 4.4150% of the Registered Capital of the Company immediately after Closing;</w:t>
      </w:r>
    </w:p>
    <w:p>
      <w:pPr>
        <w:spacing w:after="0" w:line="195" w:lineRule="exact"/>
        <w:rPr>
          <w:rFonts w:ascii="Arial" w:cs="Arial" w:eastAsia="Arial" w:hAnsi="Arial"/>
          <w:sz w:val="20"/>
          <w:szCs w:val="20"/>
          <w:color w:val="auto"/>
        </w:rPr>
      </w:pPr>
    </w:p>
    <w:p>
      <w:pPr>
        <w:ind w:left="1360" w:right="660" w:hanging="509"/>
        <w:spacing w:after="0" w:line="229" w:lineRule="auto"/>
        <w:tabs>
          <w:tab w:leader="none" w:pos="1347" w:val="left"/>
        </w:tabs>
        <w:numPr>
          <w:ilvl w:val="0"/>
          <w:numId w:val="47"/>
        </w:numPr>
        <w:rPr>
          <w:rFonts w:ascii="Arial" w:cs="Arial" w:eastAsia="Arial" w:hAnsi="Arial"/>
          <w:sz w:val="20"/>
          <w:szCs w:val="20"/>
          <w:color w:val="auto"/>
        </w:rPr>
      </w:pPr>
      <w:r>
        <w:rPr>
          <w:rFonts w:ascii="Arial" w:cs="Arial" w:eastAsia="Arial" w:hAnsi="Arial"/>
          <w:sz w:val="20"/>
          <w:szCs w:val="20"/>
          <w:color w:val="auto"/>
        </w:rPr>
        <w:t>Hangxin Rongxie contributes RMB 10,000,000 in cash, representing 4.4150% of the Registered Capital of the Company immediately after Closing; and</w:t>
      </w:r>
    </w:p>
    <w:p>
      <w:pPr>
        <w:spacing w:after="0" w:line="209" w:lineRule="exact"/>
        <w:rPr>
          <w:rFonts w:ascii="Arial" w:cs="Arial" w:eastAsia="Arial" w:hAnsi="Arial"/>
          <w:sz w:val="20"/>
          <w:szCs w:val="20"/>
          <w:color w:val="auto"/>
        </w:rPr>
      </w:pPr>
    </w:p>
    <w:p>
      <w:pPr>
        <w:jc w:val="both"/>
        <w:ind w:left="1320" w:hanging="469"/>
        <w:spacing w:after="0" w:line="223" w:lineRule="auto"/>
        <w:tabs>
          <w:tab w:leader="none" w:pos="1318" w:val="left"/>
        </w:tabs>
        <w:numPr>
          <w:ilvl w:val="0"/>
          <w:numId w:val="47"/>
        </w:numPr>
        <w:rPr>
          <w:rFonts w:ascii="Arial" w:cs="Arial" w:eastAsia="Arial" w:hAnsi="Arial"/>
          <w:sz w:val="20"/>
          <w:szCs w:val="20"/>
          <w:color w:val="auto"/>
        </w:rPr>
      </w:pPr>
      <w:r>
        <w:rPr>
          <w:rFonts w:ascii="Arial" w:cs="Arial" w:eastAsia="Arial" w:hAnsi="Arial"/>
          <w:sz w:val="20"/>
          <w:szCs w:val="20"/>
          <w:color w:val="auto"/>
        </w:rPr>
        <w:t>Management Co contributes RMB 40,770,000 which representing 18.0000% of the Registered Capital of the Company, which shall be reserved for employees under an Employee Shares Option Plan (the “</w:t>
      </w:r>
      <w:r>
        <w:rPr>
          <w:rFonts w:ascii="Arial" w:cs="Arial" w:eastAsia="Arial" w:hAnsi="Arial"/>
          <w:sz w:val="20"/>
          <w:szCs w:val="20"/>
          <w:b w:val="1"/>
          <w:bCs w:val="1"/>
          <w:color w:val="auto"/>
        </w:rPr>
        <w:t>ESOP</w:t>
      </w:r>
      <w:r>
        <w:rPr>
          <w:rFonts w:ascii="Arial" w:cs="Arial" w:eastAsia="Arial" w:hAnsi="Arial"/>
          <w:sz w:val="20"/>
          <w:szCs w:val="20"/>
          <w:color w:val="auto"/>
        </w:rPr>
        <w:t>”) or another vehicle used for employee stock options.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ARTICLE 3 CAPITAL CONTRIBUTION OF INVESTING PARTIES</w:t>
      </w:r>
    </w:p>
    <w:p>
      <w:pPr>
        <w:spacing w:after="0" w:line="226"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8"/>
          <w:szCs w:val="18"/>
          <w:u w:val="single" w:color="auto"/>
          <w:color w:val="auto"/>
        </w:rPr>
        <w:t>Closing Conditions.</w:t>
      </w:r>
    </w:p>
    <w:p>
      <w:pPr>
        <w:spacing w:after="0" w:line="29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obligation of Investor D, Investor E and Investor F to contribute their respective capital contributions to the Company</w:t>
      </w:r>
    </w:p>
    <w:p>
      <w:pPr>
        <w:spacing w:after="0" w:line="12" w:lineRule="exact"/>
        <w:rPr>
          <w:sz w:val="20"/>
          <w:szCs w:val="20"/>
          <w:color w:val="auto"/>
        </w:rPr>
      </w:pPr>
    </w:p>
    <w:p>
      <w:pPr>
        <w:ind w:left="860" w:right="20"/>
        <w:spacing w:after="0" w:line="220" w:lineRule="auto"/>
        <w:rPr>
          <w:sz w:val="20"/>
          <w:szCs w:val="20"/>
          <w:color w:val="auto"/>
        </w:rPr>
      </w:pPr>
      <w:r>
        <w:rPr>
          <w:rFonts w:ascii="Arial" w:cs="Arial" w:eastAsia="Arial" w:hAnsi="Arial"/>
          <w:sz w:val="20"/>
          <w:szCs w:val="20"/>
          <w:color w:val="auto"/>
        </w:rPr>
        <w:t>as contemplated in Section 2.1 above will be subject to the satisfaction (or waiver in writing by the applicable Investing Party) of the following Second Closing conditions (“</w:t>
      </w:r>
      <w:r>
        <w:rPr>
          <w:rFonts w:ascii="Arial" w:cs="Arial" w:eastAsia="Arial" w:hAnsi="Arial"/>
          <w:sz w:val="20"/>
          <w:szCs w:val="20"/>
          <w:b w:val="1"/>
          <w:bCs w:val="1"/>
          <w:color w:val="auto"/>
        </w:rPr>
        <w:t>Closing Conditions</w:t>
      </w:r>
      <w:r>
        <w:rPr>
          <w:rFonts w:ascii="Arial" w:cs="Arial" w:eastAsia="Arial" w:hAnsi="Arial"/>
          <w:sz w:val="20"/>
          <w:szCs w:val="20"/>
          <w:color w:val="auto"/>
        </w:rPr>
        <w:t>”):</w:t>
      </w:r>
    </w:p>
    <w:p>
      <w:pPr>
        <w:spacing w:after="0" w:line="185" w:lineRule="exact"/>
        <w:rPr>
          <w:sz w:val="20"/>
          <w:szCs w:val="20"/>
          <w:color w:val="auto"/>
        </w:rPr>
      </w:pPr>
    </w:p>
    <w:p>
      <w:pPr>
        <w:ind w:left="1400" w:hanging="573"/>
        <w:spacing w:after="0"/>
        <w:tabs>
          <w:tab w:leader="none" w:pos="14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Each of the Transaction Documents shall have been duly executed by the applicable parties thereto;</w:t>
      </w:r>
    </w:p>
    <w:p>
      <w:pPr>
        <w:ind w:left="1400" w:right="20" w:hanging="573"/>
        <w:spacing w:after="0" w:line="204" w:lineRule="auto"/>
        <w:tabs>
          <w:tab w:leader="none" w:pos="1387"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investment committee of Investor D, Investor E and Investor F if applicable shall have issued final approval for the Investor’s investment in the Company contemplated in this Agreement;</w:t>
      </w:r>
    </w:p>
    <w:p>
      <w:pPr>
        <w:ind w:left="1400" w:hanging="573"/>
        <w:spacing w:after="0" w:line="215" w:lineRule="auto"/>
        <w:tabs>
          <w:tab w:leader="none" w:pos="1399" w:val="left"/>
        </w:tabs>
        <w:numPr>
          <w:ilvl w:val="0"/>
          <w:numId w:val="48"/>
        </w:numPr>
        <w:rPr>
          <w:rFonts w:ascii="Arial" w:cs="Arial" w:eastAsia="Arial" w:hAnsi="Arial"/>
          <w:sz w:val="19"/>
          <w:szCs w:val="19"/>
          <w:color w:val="auto"/>
        </w:rPr>
      </w:pPr>
      <w:r>
        <w:rPr>
          <w:rFonts w:ascii="Arial" w:cs="Arial" w:eastAsia="Arial" w:hAnsi="Arial"/>
          <w:sz w:val="19"/>
          <w:szCs w:val="19"/>
          <w:color w:val="auto"/>
        </w:rPr>
        <w:t>All approvals and consents required to be obtained in connection with the Transaction from any third party, governmental authority, and the decision- making authority of the Company shall have been obtained;</w:t>
      </w:r>
    </w:p>
    <w:p>
      <w:pPr>
        <w:ind w:left="1400" w:right="20" w:hanging="573"/>
        <w:spacing w:after="0" w:line="227" w:lineRule="auto"/>
        <w:tabs>
          <w:tab w:leader="none" w:pos="1399"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board of directors of AHK and Arteris, Inc., which is AHK’s parent company, shall have approved the transactions contemplated hereunder.</w:t>
      </w:r>
    </w:p>
    <w:p>
      <w:pPr>
        <w:spacing w:after="0" w:line="192"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8"/>
          <w:szCs w:val="18"/>
          <w:u w:val="single" w:color="auto"/>
          <w:color w:val="auto"/>
        </w:rPr>
        <w:t>Closing</w:t>
      </w:r>
    </w:p>
    <w:p>
      <w:pPr>
        <w:spacing w:after="0" w:line="24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closing of the Second Closing’s Capital Contributions (“</w:t>
      </w:r>
      <w:r>
        <w:rPr>
          <w:rFonts w:ascii="Arial" w:cs="Arial" w:eastAsia="Arial" w:hAnsi="Arial"/>
          <w:sz w:val="18"/>
          <w:szCs w:val="18"/>
          <w:b w:val="1"/>
          <w:bCs w:val="1"/>
          <w:color w:val="auto"/>
        </w:rPr>
        <w:t>Closing</w:t>
      </w:r>
      <w:r>
        <w:rPr>
          <w:rFonts w:ascii="Arial" w:cs="Arial" w:eastAsia="Arial" w:hAnsi="Arial"/>
          <w:sz w:val="18"/>
          <w:szCs w:val="18"/>
          <w:color w:val="auto"/>
        </w:rPr>
        <w:t>”) shall occur no later than on the tenth (10</w:t>
      </w:r>
      <w:r>
        <w:rPr>
          <w:rFonts w:ascii="Arial" w:cs="Arial" w:eastAsia="Arial" w:hAnsi="Arial"/>
          <w:sz w:val="23"/>
          <w:szCs w:val="23"/>
          <w:color w:val="auto"/>
          <w:vertAlign w:val="superscript"/>
        </w:rPr>
        <w:t>th</w:t>
      </w:r>
      <w:r>
        <w:rPr>
          <w:rFonts w:ascii="Arial" w:cs="Arial" w:eastAsia="Arial" w:hAnsi="Arial"/>
          <w:sz w:val="18"/>
          <w:szCs w:val="18"/>
          <w:color w:val="auto"/>
        </w:rPr>
        <w:t>) Business</w:t>
      </w:r>
    </w:p>
    <w:p>
      <w:pPr>
        <w:ind w:left="860"/>
        <w:spacing w:after="0" w:line="226" w:lineRule="auto"/>
        <w:rPr>
          <w:sz w:val="20"/>
          <w:szCs w:val="20"/>
          <w:color w:val="auto"/>
        </w:rPr>
      </w:pPr>
      <w:r>
        <w:rPr>
          <w:rFonts w:ascii="Arial" w:cs="Arial" w:eastAsia="Arial" w:hAnsi="Arial"/>
          <w:sz w:val="18"/>
          <w:szCs w:val="18"/>
          <w:color w:val="auto"/>
        </w:rPr>
        <w:t>Day (or another day as agreed by the Parties in writing; the day of the Closing agreed by the Parties is the “</w:t>
      </w:r>
      <w:r>
        <w:rPr>
          <w:rFonts w:ascii="Arial" w:cs="Arial" w:eastAsia="Arial" w:hAnsi="Arial"/>
          <w:sz w:val="18"/>
          <w:szCs w:val="18"/>
          <w:b w:val="1"/>
          <w:bCs w:val="1"/>
          <w:color w:val="auto"/>
        </w:rPr>
        <w:t>Closing Date</w:t>
      </w:r>
      <w:r>
        <w:rPr>
          <w:rFonts w:ascii="Arial" w:cs="Arial" w:eastAsia="Arial" w:hAnsi="Arial"/>
          <w:sz w:val="18"/>
          <w:szCs w:val="18"/>
          <w:color w:val="auto"/>
        </w:rPr>
        <w:t>”) following the fulfilment of all Closing Conditions (unless otherwise waived in writing by the applicable Investor D, Investor</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 and Investor F). For the avoidance of doubt, each Party shall complete its respective Closing agreed under this agreement</w:t>
      </w:r>
    </w:p>
    <w:p>
      <w:pPr>
        <w:spacing w:after="0" w:line="19" w:lineRule="exact"/>
        <w:rPr>
          <w:sz w:val="20"/>
          <w:szCs w:val="20"/>
          <w:color w:val="auto"/>
        </w:rPr>
      </w:pPr>
    </w:p>
    <w:p>
      <w:pPr>
        <w:ind w:left="860" w:right="20"/>
        <w:spacing w:after="0" w:line="220" w:lineRule="auto"/>
        <w:rPr>
          <w:sz w:val="20"/>
          <w:szCs w:val="20"/>
          <w:color w:val="auto"/>
        </w:rPr>
      </w:pPr>
      <w:r>
        <w:rPr>
          <w:rFonts w:ascii="Arial" w:cs="Arial" w:eastAsia="Arial" w:hAnsi="Arial"/>
          <w:sz w:val="20"/>
          <w:szCs w:val="20"/>
          <w:color w:val="auto"/>
        </w:rPr>
        <w:t>independently and separately. If any Party fails to conduct the corresponding Closing, it shall not affect other Parties to complete their respective Closings under this agreement.</w:t>
      </w:r>
    </w:p>
    <w:p>
      <w:pPr>
        <w:spacing w:after="0" w:line="197" w:lineRule="exact"/>
        <w:rPr>
          <w:sz w:val="20"/>
          <w:szCs w:val="20"/>
          <w:color w:val="auto"/>
        </w:rPr>
      </w:pPr>
    </w:p>
    <w:p>
      <w:pPr>
        <w:ind w:left="860" w:right="20" w:hanging="9"/>
        <w:spacing w:after="0" w:line="285" w:lineRule="auto"/>
        <w:tabs>
          <w:tab w:leader="none" w:pos="12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or before the Closing Date, Investor D, Investor E and Investor F shall pay their Capital Contribution Amount by wire transfer of immediately available funds to the bank account as notified by the Company to the Investors in writing.</w:t>
      </w:r>
    </w:p>
    <w:p>
      <w:pPr>
        <w:spacing w:after="0" w:line="156" w:lineRule="exact"/>
        <w:rPr>
          <w:rFonts w:ascii="Arial" w:cs="Arial" w:eastAsia="Arial" w:hAnsi="Arial"/>
          <w:sz w:val="18"/>
          <w:szCs w:val="18"/>
          <w:color w:val="auto"/>
        </w:rPr>
      </w:pPr>
    </w:p>
    <w:p>
      <w:pPr>
        <w:jc w:val="both"/>
        <w:ind w:left="860" w:right="20" w:hanging="9"/>
        <w:spacing w:after="0" w:line="223" w:lineRule="auto"/>
        <w:tabs>
          <w:tab w:leader="none" w:pos="1226" w:val="left"/>
        </w:tabs>
        <w:numPr>
          <w:ilvl w:val="0"/>
          <w:numId w:val="49"/>
        </w:numPr>
        <w:rPr>
          <w:rFonts w:ascii="Arial" w:cs="Arial" w:eastAsia="Arial" w:hAnsi="Arial"/>
          <w:sz w:val="20"/>
          <w:szCs w:val="20"/>
          <w:color w:val="auto"/>
        </w:rPr>
      </w:pPr>
      <w:r>
        <w:rPr>
          <w:rFonts w:ascii="Arial" w:cs="Arial" w:eastAsia="Arial" w:hAnsi="Arial"/>
          <w:sz w:val="20"/>
          <w:szCs w:val="20"/>
          <w:color w:val="auto"/>
        </w:rPr>
        <w:t>On the Closing Date and after the Company’s receipt of respective contributions, the Company shall deliver to each Investing Party the Company’s updated register of shareholders and an investment certificate issued by the Company, reflecting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740"/>
          </w:cols>
          <w:pgMar w:left="400" w:top="1440" w:right="759" w:bottom="1440" w:gutter="0" w:footer="0" w:header="0"/>
        </w:sectPr>
      </w:pPr>
    </w:p>
    <w:bookmarkStart w:id="86" w:name="page87"/>
    <w:bookmarkEnd w:id="86"/>
    <w:p>
      <w:pPr>
        <w:spacing w:after="0" w:line="195" w:lineRule="exact"/>
        <w:rPr>
          <w:sz w:val="20"/>
          <w:szCs w:val="20"/>
          <w:color w:val="auto"/>
        </w:rPr>
      </w:pPr>
    </w:p>
    <w:p>
      <w:pPr>
        <w:ind w:left="860"/>
        <w:spacing w:after="0" w:line="229" w:lineRule="auto"/>
        <w:rPr>
          <w:sz w:val="20"/>
          <w:szCs w:val="20"/>
          <w:color w:val="auto"/>
        </w:rPr>
      </w:pPr>
      <w:r>
        <w:rPr>
          <w:rFonts w:ascii="Arial" w:cs="Arial" w:eastAsia="Arial" w:hAnsi="Arial"/>
          <w:sz w:val="20"/>
          <w:szCs w:val="20"/>
          <w:color w:val="auto"/>
        </w:rPr>
        <w:t>Investing Party having contributed its Capital Contribution Amount and having become a shareholder holding the Registered Capital of the Company in the amount of the applicable Capital Contribution Amount.</w:t>
      </w:r>
    </w:p>
    <w:p>
      <w:pPr>
        <w:spacing w:after="0" w:line="196" w:lineRule="exact"/>
        <w:rPr>
          <w:sz w:val="20"/>
          <w:szCs w:val="20"/>
          <w:color w:val="auto"/>
        </w:rPr>
      </w:pPr>
    </w:p>
    <w:p>
      <w:pPr>
        <w:jc w:val="both"/>
        <w:ind w:left="860" w:hanging="9"/>
        <w:spacing w:after="0" w:line="298" w:lineRule="auto"/>
        <w:tabs>
          <w:tab w:leader="none" w:pos="1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Promptly following the Closing Date, the Company shall, and the Shareholders shall cause the Company to, use its reasonable best efforts apply to the Registration Authority and any other applicable Chinese regulatory entities for filings and registrations with respect to the Capital Increase and the updated Articles of Association (as required by the PRC Laws).</w:t>
      </w:r>
    </w:p>
    <w:p>
      <w:pPr>
        <w:spacing w:after="0" w:line="161"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8"/>
          <w:szCs w:val="18"/>
          <w:u w:val="single" w:color="auto"/>
          <w:color w:val="auto"/>
        </w:rPr>
        <w:t>Rights of the Investing Parties</w:t>
      </w:r>
    </w:p>
    <w:p>
      <w:pPr>
        <w:spacing w:after="0" w:line="292" w:lineRule="exact"/>
        <w:rPr>
          <w:sz w:val="20"/>
          <w:szCs w:val="20"/>
          <w:color w:val="auto"/>
        </w:rPr>
      </w:pPr>
    </w:p>
    <w:p>
      <w:pPr>
        <w:ind w:left="860"/>
        <w:spacing w:after="0" w:line="236" w:lineRule="auto"/>
        <w:rPr>
          <w:sz w:val="20"/>
          <w:szCs w:val="20"/>
          <w:color w:val="auto"/>
        </w:rPr>
      </w:pPr>
      <w:r>
        <w:rPr>
          <w:rFonts w:ascii="Arial" w:cs="Arial" w:eastAsia="Arial" w:hAnsi="Arial"/>
          <w:sz w:val="20"/>
          <w:szCs w:val="20"/>
          <w:color w:val="auto"/>
        </w:rPr>
        <w:t>The provisions of Schedule 1 will become effective, and all the Investing Parties will enjoy the rights granted to them under Schedule 1, only upon completion of the Closing and on and after the Closing Date.</w:t>
      </w:r>
    </w:p>
    <w:p>
      <w:pPr>
        <w:spacing w:after="0" w:line="185"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ARTICLE 4 SHAREHOLDERS’ MEETING</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4.13 </w:t>
      </w:r>
      <w:r>
        <w:rPr>
          <w:rFonts w:ascii="Arial" w:cs="Arial" w:eastAsia="Arial" w:hAnsi="Arial"/>
          <w:sz w:val="19"/>
          <w:szCs w:val="19"/>
          <w:u w:val="single" w:color="auto"/>
          <w:color w:val="auto"/>
        </w:rPr>
        <w:t>Quorum</w:t>
      </w:r>
    </w:p>
    <w:p>
      <w:pPr>
        <w:spacing w:after="0" w:line="305" w:lineRule="exact"/>
        <w:rPr>
          <w:sz w:val="20"/>
          <w:szCs w:val="20"/>
          <w:color w:val="auto"/>
        </w:rPr>
      </w:pPr>
    </w:p>
    <w:p>
      <w:pPr>
        <w:ind w:left="820"/>
        <w:spacing w:after="0" w:line="236" w:lineRule="auto"/>
        <w:rPr>
          <w:sz w:val="20"/>
          <w:szCs w:val="20"/>
          <w:color w:val="auto"/>
        </w:rPr>
      </w:pPr>
      <w:r>
        <w:rPr>
          <w:rFonts w:ascii="Arial" w:cs="Arial" w:eastAsia="Arial" w:hAnsi="Arial"/>
          <w:sz w:val="20"/>
          <w:szCs w:val="20"/>
          <w:color w:val="auto"/>
        </w:rPr>
        <w:t>Shareholders present in person or by proxy, which shall hold at least two thirds (2/3) of the voting rights of all Shareholders, shall constitute quorum for purpose of a meeting of the Shareholders’ Meeting.</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4.14 </w:t>
      </w:r>
      <w:r>
        <w:rPr>
          <w:rFonts w:ascii="Arial" w:cs="Arial" w:eastAsia="Arial" w:hAnsi="Arial"/>
          <w:sz w:val="19"/>
          <w:szCs w:val="19"/>
          <w:u w:val="single" w:color="auto"/>
          <w:color w:val="auto"/>
        </w:rPr>
        <w:t>Resolution of Shareholders’ Meeting</w:t>
      </w:r>
    </w:p>
    <w:p>
      <w:pPr>
        <w:spacing w:after="0" w:line="29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The Shareholders shall exercise their voting rights at a meeting of the Shareholders’ Meeting in proportion to their</w:t>
      </w:r>
    </w:p>
    <w:p>
      <w:pPr>
        <w:ind w:left="820"/>
        <w:spacing w:after="0" w:line="226" w:lineRule="auto"/>
        <w:rPr>
          <w:sz w:val="20"/>
          <w:szCs w:val="20"/>
          <w:color w:val="auto"/>
        </w:rPr>
      </w:pPr>
      <w:r>
        <w:rPr>
          <w:rFonts w:ascii="Arial" w:cs="Arial" w:eastAsia="Arial" w:hAnsi="Arial"/>
          <w:sz w:val="18"/>
          <w:szCs w:val="18"/>
          <w:color w:val="auto"/>
        </w:rPr>
        <w:t>respective contributions to the Registered Capital. Save for the matters to be resolved by special resolutions in Section 4.4, all matters to be decided by the Shareholders shall be resolved by ordinary resolution. To adopt an ordinary resolution, a</w:t>
      </w:r>
    </w:p>
    <w:p>
      <w:pPr>
        <w:spacing w:after="0" w:line="2" w:lineRule="exact"/>
        <w:rPr>
          <w:sz w:val="20"/>
          <w:szCs w:val="20"/>
          <w:color w:val="auto"/>
        </w:rPr>
      </w:pPr>
    </w:p>
    <w:p>
      <w:pPr>
        <w:ind w:left="820"/>
        <w:spacing w:after="0" w:line="266" w:lineRule="auto"/>
        <w:rPr>
          <w:sz w:val="20"/>
          <w:szCs w:val="20"/>
          <w:color w:val="auto"/>
        </w:rPr>
      </w:pPr>
      <w:r>
        <w:rPr>
          <w:rFonts w:ascii="Arial" w:cs="Arial" w:eastAsia="Arial" w:hAnsi="Arial"/>
          <w:sz w:val="18"/>
          <w:szCs w:val="18"/>
          <w:color w:val="auto"/>
        </w:rPr>
        <w:t>simple majority of the voting rights of all Shareholders in attendance or by proxy, must be cast in favor of the resolution. To adopt a special resolution, two thirds (2/3) of the voting rights of all Shareholders must be cast in favor of the resolution.</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4.15 </w:t>
      </w:r>
      <w:r>
        <w:rPr>
          <w:rFonts w:ascii="Arial" w:cs="Arial" w:eastAsia="Arial" w:hAnsi="Arial"/>
          <w:sz w:val="19"/>
          <w:szCs w:val="19"/>
          <w:u w:val="single" w:color="auto"/>
          <w:color w:val="auto"/>
        </w:rPr>
        <w:t>Ordinary Resolutions</w:t>
      </w:r>
    </w:p>
    <w:p>
      <w:pPr>
        <w:spacing w:after="0" w:line="305" w:lineRule="exact"/>
        <w:rPr>
          <w:sz w:val="20"/>
          <w:szCs w:val="20"/>
          <w:color w:val="auto"/>
        </w:rPr>
      </w:pPr>
    </w:p>
    <w:p>
      <w:pPr>
        <w:ind w:left="820"/>
        <w:spacing w:after="0"/>
        <w:rPr>
          <w:sz w:val="20"/>
          <w:szCs w:val="20"/>
          <w:color w:val="auto"/>
        </w:rPr>
      </w:pPr>
      <w:r>
        <w:rPr>
          <w:rFonts w:ascii="Arial" w:cs="Arial" w:eastAsia="Arial" w:hAnsi="Arial"/>
          <w:sz w:val="20"/>
          <w:szCs w:val="20"/>
          <w:color w:val="auto"/>
        </w:rPr>
        <w:t>The following matters shall be resolved by ordinary resolutions at a meeting of the Shareholders’ Meeting:</w:t>
      </w:r>
    </w:p>
    <w:p>
      <w:pPr>
        <w:spacing w:after="0" w:line="216" w:lineRule="exact"/>
        <w:rPr>
          <w:sz w:val="20"/>
          <w:szCs w:val="20"/>
          <w:color w:val="auto"/>
        </w:rPr>
      </w:pPr>
    </w:p>
    <w:p>
      <w:pPr>
        <w:ind w:left="1300" w:hanging="473"/>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determining the Company’s operational guidelines and investment plans;</w:t>
      </w:r>
    </w:p>
    <w:p>
      <w:pPr>
        <w:spacing w:after="0" w:line="215" w:lineRule="exact"/>
        <w:rPr>
          <w:rFonts w:ascii="Arial" w:cs="Arial" w:eastAsia="Arial" w:hAnsi="Arial"/>
          <w:sz w:val="20"/>
          <w:szCs w:val="20"/>
          <w:color w:val="auto"/>
        </w:rPr>
      </w:pPr>
    </w:p>
    <w:p>
      <w:pPr>
        <w:ind w:left="1320" w:right="760" w:hanging="492"/>
        <w:spacing w:after="0" w:line="236" w:lineRule="auto"/>
        <w:tabs>
          <w:tab w:leader="none" w:pos="1318" w:val="left"/>
        </w:tabs>
        <w:numPr>
          <w:ilvl w:val="0"/>
          <w:numId w:val="51"/>
        </w:numPr>
        <w:rPr>
          <w:rFonts w:ascii="Arial" w:cs="Arial" w:eastAsia="Arial" w:hAnsi="Arial"/>
          <w:sz w:val="20"/>
          <w:szCs w:val="20"/>
          <w:color w:val="auto"/>
        </w:rPr>
      </w:pPr>
      <w:r>
        <w:rPr>
          <w:rFonts w:ascii="Arial" w:cs="Arial" w:eastAsia="Arial" w:hAnsi="Arial"/>
          <w:sz w:val="20"/>
          <w:szCs w:val="20"/>
          <w:color w:val="auto"/>
        </w:rPr>
        <w:t>electing and changing the Directors and the Supervisors and determining matters relating to their salaries and compensation;</w:t>
      </w:r>
    </w:p>
    <w:p>
      <w:pPr>
        <w:spacing w:after="0" w:line="182" w:lineRule="exact"/>
        <w:rPr>
          <w:rFonts w:ascii="Arial" w:cs="Arial" w:eastAsia="Arial" w:hAnsi="Arial"/>
          <w:sz w:val="20"/>
          <w:szCs w:val="20"/>
          <w:color w:val="auto"/>
        </w:rPr>
      </w:pPr>
    </w:p>
    <w:p>
      <w:pPr>
        <w:ind w:left="1300" w:hanging="473"/>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approving the reports of the Board of Directors;</w:t>
      </w:r>
    </w:p>
    <w:p>
      <w:pPr>
        <w:spacing w:after="0" w:line="229" w:lineRule="exact"/>
        <w:rPr>
          <w:rFonts w:ascii="Arial" w:cs="Arial" w:eastAsia="Arial" w:hAnsi="Arial"/>
          <w:sz w:val="20"/>
          <w:szCs w:val="20"/>
          <w:color w:val="auto"/>
        </w:rPr>
      </w:pPr>
    </w:p>
    <w:p>
      <w:pPr>
        <w:ind w:left="1300" w:hanging="473"/>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approving the reports of the Supervisors;</w:t>
      </w:r>
    </w:p>
    <w:p>
      <w:pPr>
        <w:spacing w:after="0" w:line="202" w:lineRule="exact"/>
        <w:rPr>
          <w:rFonts w:ascii="Arial" w:cs="Arial" w:eastAsia="Arial" w:hAnsi="Arial"/>
          <w:sz w:val="20"/>
          <w:szCs w:val="20"/>
          <w:color w:val="auto"/>
        </w:rPr>
      </w:pPr>
    </w:p>
    <w:p>
      <w:pPr>
        <w:ind w:left="1300" w:hanging="472"/>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approving annual budgets and business plans of the Company, and any revisions thereof;</w:t>
      </w:r>
    </w:p>
    <w:p>
      <w:pPr>
        <w:spacing w:after="0" w:line="229" w:lineRule="exact"/>
        <w:rPr>
          <w:rFonts w:ascii="Arial" w:cs="Arial" w:eastAsia="Arial" w:hAnsi="Arial"/>
          <w:sz w:val="20"/>
          <w:szCs w:val="20"/>
          <w:color w:val="auto"/>
        </w:rPr>
      </w:pPr>
    </w:p>
    <w:p>
      <w:pPr>
        <w:ind w:left="1300" w:hanging="473"/>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approving profit distribution plans and loss recovery plans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720"/>
          </w:cols>
          <w:pgMar w:left="400" w:top="1440" w:right="779" w:bottom="1440" w:gutter="0" w:footer="0" w:header="0"/>
        </w:sectPr>
      </w:pPr>
    </w:p>
    <w:bookmarkStart w:id="87" w:name="page88"/>
    <w:bookmarkEnd w:id="87"/>
    <w:p>
      <w:pPr>
        <w:spacing w:after="0" w:line="195" w:lineRule="exact"/>
        <w:rPr>
          <w:sz w:val="20"/>
          <w:szCs w:val="20"/>
          <w:color w:val="auto"/>
        </w:rPr>
      </w:pPr>
    </w:p>
    <w:p>
      <w:pPr>
        <w:ind w:left="1320" w:right="20" w:hanging="492"/>
        <w:spacing w:after="0" w:line="229" w:lineRule="auto"/>
        <w:tabs>
          <w:tab w:leader="none" w:pos="1308" w:val="left"/>
        </w:tabs>
        <w:numPr>
          <w:ilvl w:val="0"/>
          <w:numId w:val="52"/>
        </w:numPr>
        <w:rPr>
          <w:rFonts w:ascii="Arial" w:cs="Arial" w:eastAsia="Arial" w:hAnsi="Arial"/>
          <w:sz w:val="20"/>
          <w:szCs w:val="20"/>
          <w:color w:val="auto"/>
        </w:rPr>
      </w:pPr>
      <w:r>
        <w:rPr>
          <w:rFonts w:ascii="Arial" w:cs="Arial" w:eastAsia="Arial" w:hAnsi="Arial"/>
          <w:sz w:val="20"/>
          <w:szCs w:val="20"/>
          <w:color w:val="auto"/>
        </w:rPr>
        <w:t>other matters to be decided the Shareholders (other than (a) through (f) above and the matters set forth in Section 4.4) as specified in this Agreement and the Articles of Association.</w:t>
      </w:r>
    </w:p>
    <w:p>
      <w:pPr>
        <w:spacing w:after="0" w:line="191"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6"/>
          <w:szCs w:val="16"/>
          <w:u w:val="single" w:color="auto"/>
          <w:color w:val="auto"/>
        </w:rPr>
        <w:t>Special Resolutions</w:t>
      </w:r>
    </w:p>
    <w:p>
      <w:pPr>
        <w:spacing w:after="0" w:line="305" w:lineRule="exact"/>
        <w:rPr>
          <w:sz w:val="20"/>
          <w:szCs w:val="20"/>
          <w:color w:val="auto"/>
        </w:rPr>
      </w:pPr>
    </w:p>
    <w:p>
      <w:pPr>
        <w:ind w:left="820"/>
        <w:spacing w:after="0"/>
        <w:rPr>
          <w:sz w:val="20"/>
          <w:szCs w:val="20"/>
          <w:color w:val="auto"/>
        </w:rPr>
      </w:pPr>
      <w:r>
        <w:rPr>
          <w:rFonts w:ascii="Arial" w:cs="Arial" w:eastAsia="Arial" w:hAnsi="Arial"/>
          <w:sz w:val="20"/>
          <w:szCs w:val="20"/>
          <w:color w:val="auto"/>
        </w:rPr>
        <w:t>The following matters shall be resolved by special resolutions at a meeting of the Shareholders’ Meeting:</w:t>
      </w:r>
    </w:p>
    <w:p>
      <w:pPr>
        <w:spacing w:after="0" w:line="216" w:lineRule="exact"/>
        <w:rPr>
          <w:sz w:val="20"/>
          <w:szCs w:val="20"/>
          <w:color w:val="auto"/>
        </w:rPr>
      </w:pPr>
    </w:p>
    <w:p>
      <w:pPr>
        <w:ind w:left="1300" w:hanging="473"/>
        <w:spacing w:after="0"/>
        <w:tabs>
          <w:tab w:leader="none" w:pos="13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approving any amendment to the Articles of Association;</w:t>
      </w:r>
    </w:p>
    <w:p>
      <w:pPr>
        <w:spacing w:after="0" w:line="216" w:lineRule="exact"/>
        <w:rPr>
          <w:sz w:val="20"/>
          <w:szCs w:val="20"/>
          <w:color w:val="auto"/>
        </w:rPr>
      </w:pPr>
    </w:p>
    <w:tbl>
      <w:tblPr>
        <w:tblLayout w:type="fixed"/>
        <w:tblInd w:w="820" w:type="dxa"/>
        <w:tblCellMar>
          <w:top w:w="0" w:type="dxa"/>
          <w:left w:w="0" w:type="dxa"/>
          <w:bottom w:w="0" w:type="dxa"/>
          <w:right w:w="0" w:type="dxa"/>
        </w:tblCellMar>
      </w:tblPr>
      <w:tr>
        <w:trPr>
          <w:trHeight w:val="250"/>
        </w:trPr>
        <w:tc>
          <w:tcPr>
            <w:tcW w:w="400" w:type="dxa"/>
            <w:vAlign w:val="bottom"/>
          </w:tcPr>
          <w:p>
            <w:pPr>
              <w:spacing w:after="0"/>
              <w:rPr>
                <w:sz w:val="20"/>
                <w:szCs w:val="20"/>
                <w:color w:val="auto"/>
              </w:rPr>
            </w:pPr>
            <w:r>
              <w:rPr>
                <w:rFonts w:ascii="Arial" w:cs="Arial" w:eastAsia="Arial" w:hAnsi="Arial"/>
                <w:sz w:val="20"/>
                <w:szCs w:val="20"/>
                <w:color w:val="auto"/>
              </w:rPr>
              <w:t>(aa)</w:t>
            </w:r>
          </w:p>
        </w:tc>
        <w:tc>
          <w:tcPr>
            <w:tcW w:w="8680" w:type="dxa"/>
            <w:vAlign w:val="bottom"/>
          </w:tcPr>
          <w:p>
            <w:pPr>
              <w:ind w:left="80"/>
              <w:spacing w:after="0"/>
              <w:rPr>
                <w:sz w:val="20"/>
                <w:szCs w:val="20"/>
                <w:color w:val="auto"/>
              </w:rPr>
            </w:pPr>
            <w:r>
              <w:rPr>
                <w:rFonts w:ascii="Arial" w:cs="Arial" w:eastAsia="Arial" w:hAnsi="Arial"/>
                <w:sz w:val="20"/>
                <w:szCs w:val="20"/>
                <w:color w:val="auto"/>
              </w:rPr>
              <w:t>approving any increase or reduction of the Company’s Registered Capital;</w:t>
            </w:r>
          </w:p>
        </w:tc>
      </w:tr>
      <w:tr>
        <w:trPr>
          <w:trHeight w:val="432"/>
        </w:trPr>
        <w:tc>
          <w:tcPr>
            <w:tcW w:w="400" w:type="dxa"/>
            <w:vAlign w:val="bottom"/>
          </w:tcPr>
          <w:p>
            <w:pPr>
              <w:spacing w:after="0"/>
              <w:rPr>
                <w:sz w:val="20"/>
                <w:szCs w:val="20"/>
                <w:color w:val="auto"/>
              </w:rPr>
            </w:pPr>
            <w:r>
              <w:rPr>
                <w:rFonts w:ascii="Arial" w:cs="Arial" w:eastAsia="Arial" w:hAnsi="Arial"/>
                <w:sz w:val="20"/>
                <w:szCs w:val="20"/>
                <w:color w:val="auto"/>
              </w:rPr>
              <w:t>(ab)</w:t>
            </w:r>
          </w:p>
        </w:tc>
        <w:tc>
          <w:tcPr>
            <w:tcW w:w="8680" w:type="dxa"/>
            <w:vAlign w:val="bottom"/>
          </w:tcPr>
          <w:p>
            <w:pPr>
              <w:ind w:left="80"/>
              <w:spacing w:after="0"/>
              <w:rPr>
                <w:sz w:val="20"/>
                <w:szCs w:val="20"/>
                <w:color w:val="auto"/>
              </w:rPr>
            </w:pPr>
            <w:r>
              <w:rPr>
                <w:rFonts w:ascii="Arial" w:cs="Arial" w:eastAsia="Arial" w:hAnsi="Arial"/>
                <w:sz w:val="20"/>
                <w:szCs w:val="20"/>
                <w:color w:val="auto"/>
              </w:rPr>
              <w:t>approving termination and dissolution of the Company;</w:t>
            </w:r>
          </w:p>
        </w:tc>
      </w:tr>
      <w:tr>
        <w:trPr>
          <w:trHeight w:val="445"/>
        </w:trPr>
        <w:tc>
          <w:tcPr>
            <w:tcW w:w="400" w:type="dxa"/>
            <w:vAlign w:val="bottom"/>
          </w:tcPr>
          <w:p>
            <w:pPr>
              <w:spacing w:after="0"/>
              <w:rPr>
                <w:sz w:val="20"/>
                <w:szCs w:val="20"/>
                <w:color w:val="auto"/>
              </w:rPr>
            </w:pPr>
            <w:r>
              <w:rPr>
                <w:rFonts w:ascii="Arial" w:cs="Arial" w:eastAsia="Arial" w:hAnsi="Arial"/>
                <w:sz w:val="20"/>
                <w:szCs w:val="20"/>
                <w:color w:val="auto"/>
              </w:rPr>
              <w:t>(ac)</w:t>
            </w:r>
          </w:p>
        </w:tc>
        <w:tc>
          <w:tcPr>
            <w:tcW w:w="8680" w:type="dxa"/>
            <w:vAlign w:val="bottom"/>
          </w:tcPr>
          <w:p>
            <w:pPr>
              <w:ind w:left="100"/>
              <w:spacing w:after="0"/>
              <w:rPr>
                <w:sz w:val="20"/>
                <w:szCs w:val="20"/>
                <w:color w:val="auto"/>
              </w:rPr>
            </w:pPr>
            <w:r>
              <w:rPr>
                <w:rFonts w:ascii="Arial" w:cs="Arial" w:eastAsia="Arial" w:hAnsi="Arial"/>
                <w:sz w:val="20"/>
                <w:szCs w:val="20"/>
                <w:color w:val="auto"/>
              </w:rPr>
              <w:t>approving any merger or division, or change of corporate form of the Company; and</w:t>
            </w:r>
          </w:p>
        </w:tc>
      </w:tr>
      <w:tr>
        <w:trPr>
          <w:trHeight w:val="398"/>
        </w:trPr>
        <w:tc>
          <w:tcPr>
            <w:tcW w:w="400" w:type="dxa"/>
            <w:vAlign w:val="bottom"/>
          </w:tcPr>
          <w:p>
            <w:pPr>
              <w:spacing w:after="0"/>
              <w:rPr>
                <w:sz w:val="20"/>
                <w:szCs w:val="20"/>
                <w:color w:val="auto"/>
              </w:rPr>
            </w:pPr>
            <w:r>
              <w:rPr>
                <w:rFonts w:ascii="Arial" w:cs="Arial" w:eastAsia="Arial" w:hAnsi="Arial"/>
                <w:sz w:val="20"/>
                <w:szCs w:val="20"/>
                <w:color w:val="auto"/>
              </w:rPr>
              <w:t>(ad)</w:t>
            </w:r>
          </w:p>
        </w:tc>
        <w:tc>
          <w:tcPr>
            <w:tcW w:w="8680" w:type="dxa"/>
            <w:vAlign w:val="bottom"/>
          </w:tcPr>
          <w:p>
            <w:pPr>
              <w:ind w:left="80"/>
              <w:spacing w:after="0"/>
              <w:rPr>
                <w:sz w:val="20"/>
                <w:szCs w:val="20"/>
                <w:color w:val="auto"/>
              </w:rPr>
            </w:pPr>
            <w:r>
              <w:rPr>
                <w:rFonts w:ascii="Arial" w:cs="Arial" w:eastAsia="Arial" w:hAnsi="Arial"/>
                <w:sz w:val="20"/>
                <w:szCs w:val="20"/>
                <w:color w:val="auto"/>
                <w:w w:val="88"/>
              </w:rPr>
              <w:t>approving the establishment, adoption of, any change or amendment to the ESOP and the grant of options or</w:t>
            </w:r>
          </w:p>
        </w:tc>
      </w:tr>
      <w:tr>
        <w:trPr>
          <w:trHeight w:val="250"/>
        </w:trPr>
        <w:tc>
          <w:tcPr>
            <w:tcW w:w="400" w:type="dxa"/>
            <w:vAlign w:val="bottom"/>
          </w:tcPr>
          <w:p>
            <w:pPr>
              <w:spacing w:after="0"/>
              <w:rPr>
                <w:sz w:val="21"/>
                <w:szCs w:val="21"/>
                <w:color w:val="auto"/>
              </w:rPr>
            </w:pPr>
          </w:p>
        </w:tc>
        <w:tc>
          <w:tcPr>
            <w:tcW w:w="8680" w:type="dxa"/>
            <w:vAlign w:val="bottom"/>
          </w:tcPr>
          <w:p>
            <w:pPr>
              <w:ind w:left="100"/>
              <w:spacing w:after="0"/>
              <w:rPr>
                <w:sz w:val="20"/>
                <w:szCs w:val="20"/>
                <w:color w:val="auto"/>
              </w:rPr>
            </w:pPr>
            <w:r>
              <w:rPr>
                <w:rFonts w:ascii="Arial" w:cs="Arial" w:eastAsia="Arial" w:hAnsi="Arial"/>
                <w:sz w:val="20"/>
                <w:szCs w:val="20"/>
                <w:color w:val="auto"/>
              </w:rPr>
              <w:t>incentives under the ESOP.</w:t>
            </w:r>
          </w:p>
        </w:tc>
      </w:tr>
    </w:tbl>
    <w:p>
      <w:pPr>
        <w:spacing w:after="0" w:line="1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4.16 </w:t>
      </w:r>
      <w:r>
        <w:rPr>
          <w:rFonts w:ascii="Arial" w:cs="Arial" w:eastAsia="Arial" w:hAnsi="Arial"/>
          <w:sz w:val="19"/>
          <w:szCs w:val="19"/>
          <w:u w:val="single" w:color="auto"/>
          <w:color w:val="auto"/>
        </w:rPr>
        <w:t>The Initial Meeting of the Shareholders’ Meeting</w:t>
      </w:r>
    </w:p>
    <w:p>
      <w:pPr>
        <w:spacing w:after="0" w:line="305" w:lineRule="exact"/>
        <w:rPr>
          <w:sz w:val="20"/>
          <w:szCs w:val="20"/>
          <w:color w:val="auto"/>
        </w:rPr>
      </w:pPr>
    </w:p>
    <w:p>
      <w:pPr>
        <w:ind w:left="820"/>
        <w:spacing w:after="0"/>
        <w:rPr>
          <w:sz w:val="20"/>
          <w:szCs w:val="20"/>
          <w:color w:val="auto"/>
        </w:rPr>
      </w:pPr>
      <w:r>
        <w:rPr>
          <w:rFonts w:ascii="Arial" w:cs="Arial" w:eastAsia="Arial" w:hAnsi="Arial"/>
          <w:sz w:val="19"/>
          <w:szCs w:val="19"/>
          <w:color w:val="auto"/>
        </w:rPr>
        <w:t>The initial meeting of the Shareholders’ Meeting after the Closing shall be convened and presided over by the person</w:t>
      </w:r>
    </w:p>
    <w:p>
      <w:pPr>
        <w:ind w:left="820"/>
        <w:spacing w:after="0" w:line="219" w:lineRule="auto"/>
        <w:rPr>
          <w:sz w:val="20"/>
          <w:szCs w:val="20"/>
          <w:color w:val="auto"/>
        </w:rPr>
      </w:pPr>
      <w:r>
        <w:rPr>
          <w:rFonts w:ascii="Arial" w:cs="Arial" w:eastAsia="Arial" w:hAnsi="Arial"/>
          <w:sz w:val="18"/>
          <w:szCs w:val="18"/>
          <w:color w:val="auto"/>
        </w:rPr>
        <w:t>designated by Management Co. subject to China’s Company Law. The initial meeting of the Shareholders’ Meeting after the</w:t>
      </w:r>
    </w:p>
    <w:p>
      <w:pPr>
        <w:ind w:left="820"/>
        <w:spacing w:after="0"/>
        <w:rPr>
          <w:sz w:val="20"/>
          <w:szCs w:val="20"/>
          <w:color w:val="auto"/>
        </w:rPr>
      </w:pPr>
      <w:r>
        <w:rPr>
          <w:rFonts w:ascii="Arial" w:cs="Arial" w:eastAsia="Arial" w:hAnsi="Arial"/>
          <w:sz w:val="20"/>
          <w:szCs w:val="20"/>
          <w:color w:val="auto"/>
        </w:rPr>
        <w:t>Closing shall discuss and adopt resolutions with respect to the following matters:</w:t>
      </w:r>
    </w:p>
    <w:p>
      <w:pPr>
        <w:spacing w:after="0" w:line="200"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20"/>
          <w:szCs w:val="20"/>
          <w:color w:val="auto"/>
        </w:rPr>
        <w:t>(ae)</w:t>
      </w:r>
      <w:r>
        <w:rPr>
          <w:sz w:val="20"/>
          <w:szCs w:val="20"/>
          <w:color w:val="auto"/>
        </w:rPr>
        <w:tab/>
      </w:r>
      <w:r>
        <w:rPr>
          <w:rFonts w:ascii="Arial" w:cs="Arial" w:eastAsia="Arial" w:hAnsi="Arial"/>
          <w:sz w:val="18"/>
          <w:szCs w:val="18"/>
          <w:color w:val="auto"/>
        </w:rPr>
        <w:t>election of the Board of Directors as per the provisions of this Agreement; and</w:t>
      </w:r>
    </w:p>
    <w:p>
      <w:pPr>
        <w:spacing w:after="0" w:line="216"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20"/>
          <w:szCs w:val="20"/>
          <w:color w:val="auto"/>
        </w:rPr>
        <w:t>(af)</w:t>
      </w:r>
      <w:r>
        <w:rPr>
          <w:sz w:val="20"/>
          <w:szCs w:val="20"/>
          <w:color w:val="auto"/>
        </w:rPr>
        <w:tab/>
      </w:r>
      <w:r>
        <w:rPr>
          <w:rFonts w:ascii="Arial" w:cs="Arial" w:eastAsia="Arial" w:hAnsi="Arial"/>
          <w:sz w:val="16"/>
          <w:szCs w:val="16"/>
          <w:color w:val="auto"/>
        </w:rPr>
        <w:t>election of the Supervisors as per the provisions of this Agreement.</w:t>
      </w:r>
    </w:p>
    <w:p>
      <w:pPr>
        <w:spacing w:after="0" w:line="197"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8"/>
          <w:szCs w:val="18"/>
          <w:u w:val="single" w:color="auto"/>
          <w:color w:val="auto"/>
        </w:rPr>
        <w:t>Regular Meeting</w:t>
      </w:r>
    </w:p>
    <w:p>
      <w:pPr>
        <w:spacing w:after="0" w:line="30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regular meeting of the Shareholders’ Meeting shall be held once (1) a year, and shall be convened by the Board and</w:t>
      </w:r>
    </w:p>
    <w:p>
      <w:pPr>
        <w:spacing w:after="0" w:line="12" w:lineRule="exact"/>
        <w:rPr>
          <w:sz w:val="20"/>
          <w:szCs w:val="20"/>
          <w:color w:val="auto"/>
        </w:rPr>
      </w:pPr>
    </w:p>
    <w:p>
      <w:pPr>
        <w:jc w:val="both"/>
        <w:ind w:left="820" w:right="20"/>
        <w:spacing w:after="0" w:line="250" w:lineRule="auto"/>
        <w:rPr>
          <w:sz w:val="20"/>
          <w:szCs w:val="20"/>
          <w:color w:val="auto"/>
        </w:rPr>
      </w:pPr>
      <w:r>
        <w:rPr>
          <w:rFonts w:ascii="Arial" w:cs="Arial" w:eastAsia="Arial" w:hAnsi="Arial"/>
          <w:sz w:val="18"/>
          <w:szCs w:val="18"/>
          <w:color w:val="auto"/>
        </w:rPr>
        <w:t>presided over by the Chairman. Where the Chairman is unable to or does not perform his or her function, the meeting shall be presided over by a Director designated in writing by the Chairman and/or preapproved by a majority of the Board.</w:t>
      </w:r>
    </w:p>
    <w:p>
      <w:pPr>
        <w:spacing w:after="0" w:line="183"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8"/>
          <w:szCs w:val="18"/>
          <w:u w:val="single" w:color="auto"/>
          <w:color w:val="auto"/>
        </w:rPr>
        <w:t>Interim Meeting</w:t>
      </w:r>
    </w:p>
    <w:p>
      <w:pPr>
        <w:spacing w:after="0" w:line="292" w:lineRule="exact"/>
        <w:rPr>
          <w:sz w:val="20"/>
          <w:szCs w:val="20"/>
          <w:color w:val="auto"/>
        </w:rPr>
      </w:pPr>
    </w:p>
    <w:p>
      <w:pPr>
        <w:jc w:val="both"/>
        <w:ind w:left="820" w:right="20"/>
        <w:spacing w:after="0" w:line="239" w:lineRule="auto"/>
        <w:rPr>
          <w:sz w:val="20"/>
          <w:szCs w:val="20"/>
          <w:color w:val="auto"/>
        </w:rPr>
      </w:pPr>
      <w:r>
        <w:rPr>
          <w:rFonts w:ascii="Arial" w:cs="Arial" w:eastAsia="Arial" w:hAnsi="Arial"/>
          <w:sz w:val="19"/>
          <w:szCs w:val="19"/>
          <w:color w:val="auto"/>
        </w:rPr>
        <w:t>An interim meeting of the Shareholders’ Meeting shall only be held if proposed by the Shareholders representing ten percent (10%) or more of the voting rights, or by a Supervisor. The interim meeting shall be presided over by the Chairman or a Director designated in writing by the Chairman and preapproved by a majority of the Board.</w:t>
      </w:r>
    </w:p>
    <w:p>
      <w:pPr>
        <w:spacing w:after="0" w:line="193"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8"/>
          <w:szCs w:val="18"/>
          <w:u w:val="single" w:color="auto"/>
          <w:color w:val="auto"/>
        </w:rPr>
        <w:t>Place and Method of Meeting</w:t>
      </w:r>
    </w:p>
    <w:p>
      <w:pPr>
        <w:spacing w:after="0" w:line="2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Each meeting of the Shareholders’ Meeting generally shall be held at the registered address of the Company or such other</w:t>
      </w:r>
    </w:p>
    <w:p>
      <w:pPr>
        <w:spacing w:after="0" w:line="12" w:lineRule="exact"/>
        <w:rPr>
          <w:sz w:val="20"/>
          <w:szCs w:val="20"/>
          <w:color w:val="auto"/>
        </w:rPr>
      </w:pPr>
    </w:p>
    <w:p>
      <w:pPr>
        <w:jc w:val="both"/>
        <w:ind w:left="820"/>
        <w:spacing w:after="0" w:line="255" w:lineRule="auto"/>
        <w:rPr>
          <w:sz w:val="20"/>
          <w:szCs w:val="20"/>
          <w:color w:val="auto"/>
        </w:rPr>
      </w:pPr>
      <w:r>
        <w:rPr>
          <w:rFonts w:ascii="Arial" w:cs="Arial" w:eastAsia="Arial" w:hAnsi="Arial"/>
          <w:sz w:val="16"/>
          <w:szCs w:val="16"/>
          <w:color w:val="auto"/>
        </w:rPr>
        <w:t>address in the PRC or abroad as is designated by the Chairman. A meeting of the Shareholders’ Meeting may be held by any method which allows all participants to hear and be heard simultaneously throughout the meeting, such as telephone, video-</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20"/>
          <w:szCs w:val="20"/>
          <w:color w:val="auto"/>
        </w:rPr>
        <w:t>conferencing or other electronic communicating methods.</w:t>
      </w:r>
    </w:p>
    <w:p>
      <w:pPr>
        <w:sectPr>
          <w:pgSz w:w="11900" w:h="16838" w:orient="portrait"/>
          <w:cols w:equalWidth="0" w:num="1">
            <w:col w:w="10740"/>
          </w:cols>
          <w:pgMar w:left="40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740"/>
          </w:cols>
          <w:pgMar w:left="400" w:top="1440" w:right="759" w:bottom="1440" w:gutter="0" w:footer="0" w:header="0"/>
          <w:type w:val="continuous"/>
        </w:sectPr>
      </w:pPr>
    </w:p>
    <w:bookmarkStart w:id="88" w:name="page89"/>
    <w:bookmarkEnd w:id="88"/>
    <w:p>
      <w:pPr>
        <w:spacing w:after="0" w:line="195" w:lineRule="exact"/>
        <w:rPr>
          <w:sz w:val="20"/>
          <w:szCs w:val="20"/>
          <w:color w:val="auto"/>
        </w:rPr>
      </w:pPr>
    </w:p>
    <w:p>
      <w:pPr>
        <w:ind w:left="820"/>
        <w:spacing w:after="0" w:line="229" w:lineRule="auto"/>
        <w:rPr>
          <w:sz w:val="20"/>
          <w:szCs w:val="20"/>
          <w:color w:val="auto"/>
        </w:rPr>
      </w:pPr>
      <w:r>
        <w:rPr>
          <w:rFonts w:ascii="Arial" w:cs="Arial" w:eastAsia="Arial" w:hAnsi="Arial"/>
          <w:sz w:val="20"/>
          <w:szCs w:val="20"/>
          <w:color w:val="auto"/>
        </w:rPr>
        <w:t>Participation in the meeting through such method by a Shareholder shall be deemed presence in person by such Shareholder at the meeting.</w:t>
      </w:r>
    </w:p>
    <w:p>
      <w:pPr>
        <w:spacing w:after="0" w:line="191"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8"/>
          <w:szCs w:val="18"/>
          <w:u w:val="single" w:color="auto"/>
          <w:color w:val="auto"/>
        </w:rPr>
        <w:t>Attending the Meeting</w:t>
      </w:r>
    </w:p>
    <w:p>
      <w:pPr>
        <w:spacing w:after="0" w:line="305" w:lineRule="exact"/>
        <w:rPr>
          <w:sz w:val="20"/>
          <w:szCs w:val="20"/>
          <w:color w:val="auto"/>
        </w:rPr>
      </w:pPr>
    </w:p>
    <w:p>
      <w:pPr>
        <w:ind w:left="820" w:right="400"/>
        <w:spacing w:after="0" w:line="229" w:lineRule="auto"/>
        <w:rPr>
          <w:sz w:val="20"/>
          <w:szCs w:val="20"/>
          <w:color w:val="auto"/>
        </w:rPr>
      </w:pPr>
      <w:r>
        <w:rPr>
          <w:rFonts w:ascii="Arial" w:cs="Arial" w:eastAsia="Arial" w:hAnsi="Arial"/>
          <w:sz w:val="20"/>
          <w:szCs w:val="20"/>
          <w:color w:val="auto"/>
        </w:rPr>
        <w:t>Each Shareholder shall attend the Shareholders’ Meeting in person or by video or audio conference, or entrust other person(s) by proxy in writing to attend the meeting and exercise rights specified in the entrustment letter.</w:t>
      </w:r>
    </w:p>
    <w:p>
      <w:pPr>
        <w:spacing w:after="0" w:line="205"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8"/>
          <w:szCs w:val="18"/>
          <w:u w:val="single" w:color="auto"/>
          <w:color w:val="auto"/>
        </w:rPr>
        <w:t>Notice</w:t>
      </w:r>
    </w:p>
    <w:p>
      <w:pPr>
        <w:spacing w:after="0" w:line="292" w:lineRule="exact"/>
        <w:rPr>
          <w:sz w:val="20"/>
          <w:szCs w:val="20"/>
          <w:color w:val="auto"/>
        </w:rPr>
      </w:pPr>
    </w:p>
    <w:p>
      <w:pPr>
        <w:ind w:left="820" w:right="240"/>
        <w:spacing w:after="0" w:line="236" w:lineRule="auto"/>
        <w:rPr>
          <w:sz w:val="20"/>
          <w:szCs w:val="20"/>
          <w:color w:val="auto"/>
        </w:rPr>
      </w:pPr>
      <w:r>
        <w:rPr>
          <w:rFonts w:ascii="Arial" w:cs="Arial" w:eastAsia="Arial" w:hAnsi="Arial"/>
          <w:sz w:val="20"/>
          <w:szCs w:val="20"/>
          <w:color w:val="auto"/>
        </w:rPr>
        <w:t>Each Shareholder shall be given written notice by the Company at least fifteen (15) days before a meeting of the Shareholders’ Meeting is held.</w:t>
      </w:r>
    </w:p>
    <w:p>
      <w:pPr>
        <w:spacing w:after="0" w:line="191"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8"/>
          <w:szCs w:val="18"/>
          <w:u w:val="single" w:color="auto"/>
          <w:color w:val="auto"/>
        </w:rPr>
        <w:t>Meeting Minutes</w:t>
      </w:r>
    </w:p>
    <w:p>
      <w:pPr>
        <w:spacing w:after="0" w:line="292" w:lineRule="exact"/>
        <w:rPr>
          <w:sz w:val="20"/>
          <w:szCs w:val="20"/>
          <w:color w:val="auto"/>
        </w:rPr>
      </w:pPr>
    </w:p>
    <w:p>
      <w:pPr>
        <w:ind w:left="820" w:right="400"/>
        <w:spacing w:after="0" w:line="244" w:lineRule="auto"/>
        <w:rPr>
          <w:sz w:val="20"/>
          <w:szCs w:val="20"/>
          <w:color w:val="auto"/>
        </w:rPr>
      </w:pPr>
      <w:r>
        <w:rPr>
          <w:rFonts w:ascii="Arial" w:cs="Arial" w:eastAsia="Arial" w:hAnsi="Arial"/>
          <w:sz w:val="18"/>
          <w:szCs w:val="18"/>
          <w:color w:val="auto"/>
        </w:rPr>
        <w:t>The minutes of a Shareholders’ Meeting shall be taken by a Person designated by the Chairman. A transcript of such minutes shall be prepared by such designated Person in the Chinese and English languages and shall be delivered to each</w:t>
      </w:r>
    </w:p>
    <w:p>
      <w:pPr>
        <w:ind w:left="820" w:right="400"/>
        <w:spacing w:after="0" w:line="255" w:lineRule="auto"/>
        <w:rPr>
          <w:sz w:val="20"/>
          <w:szCs w:val="20"/>
          <w:color w:val="auto"/>
        </w:rPr>
      </w:pPr>
      <w:r>
        <w:rPr>
          <w:rFonts w:ascii="Arial" w:cs="Arial" w:eastAsia="Arial" w:hAnsi="Arial"/>
          <w:sz w:val="16"/>
          <w:szCs w:val="16"/>
          <w:color w:val="auto"/>
        </w:rPr>
        <w:t>Shareholder as soon as reasonably practicable following such meeting of the Shareholders’ Meeting. The Shareholders shall sign or seal all resolutions duly adopted by the Shareholders’ Meeting and the minutes pursuant to this Agreement as soon as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20"/>
          <w:szCs w:val="20"/>
          <w:color w:val="auto"/>
        </w:rPr>
        <w:t>reasonably practical following the delivery of such resolutions or minutes to the Shareholders.</w:t>
      </w:r>
    </w:p>
    <w:p>
      <w:pPr>
        <w:spacing w:after="0" w:line="195"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8"/>
          <w:szCs w:val="18"/>
          <w:u w:val="single" w:color="auto"/>
          <w:color w:val="auto"/>
        </w:rPr>
        <w:t>Written Resolution</w:t>
      </w:r>
    </w:p>
    <w:p>
      <w:pPr>
        <w:spacing w:after="0" w:line="2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lieu of a meeting of the Shareholders’ Meeting, a written resolution may be adopted by the Shareholders if such resolution</w:t>
      </w:r>
    </w:p>
    <w:p>
      <w:pPr>
        <w:spacing w:after="0" w:line="12" w:lineRule="exact"/>
        <w:rPr>
          <w:sz w:val="20"/>
          <w:szCs w:val="20"/>
          <w:color w:val="auto"/>
        </w:rPr>
      </w:pPr>
    </w:p>
    <w:p>
      <w:pPr>
        <w:jc w:val="both"/>
        <w:ind w:left="820" w:right="400"/>
        <w:spacing w:after="0" w:line="226" w:lineRule="auto"/>
        <w:rPr>
          <w:sz w:val="20"/>
          <w:szCs w:val="20"/>
          <w:color w:val="auto"/>
        </w:rPr>
      </w:pPr>
      <w:r>
        <w:rPr>
          <w:rFonts w:ascii="Arial" w:cs="Arial" w:eastAsia="Arial" w:hAnsi="Arial"/>
          <w:sz w:val="18"/>
          <w:szCs w:val="18"/>
          <w:color w:val="auto"/>
        </w:rPr>
        <w:t>is sent to all Shareholders and is affirmatively signed and adopted by all Shareholders. The written resolution shall be made in writing with the signatures or seals of all Shareholders. Such resolution shall be filed with the minutes of Shareholders’</w:t>
      </w:r>
    </w:p>
    <w:p>
      <w:pPr>
        <w:spacing w:after="0" w:line="2" w:lineRule="exact"/>
        <w:rPr>
          <w:sz w:val="20"/>
          <w:szCs w:val="20"/>
          <w:color w:val="auto"/>
        </w:rPr>
      </w:pPr>
    </w:p>
    <w:p>
      <w:pPr>
        <w:ind w:left="820" w:right="400"/>
        <w:spacing w:after="0" w:line="227" w:lineRule="auto"/>
        <w:rPr>
          <w:sz w:val="20"/>
          <w:szCs w:val="20"/>
          <w:color w:val="auto"/>
        </w:rPr>
      </w:pPr>
      <w:r>
        <w:rPr>
          <w:rFonts w:ascii="Arial" w:cs="Arial" w:eastAsia="Arial" w:hAnsi="Arial"/>
          <w:sz w:val="20"/>
          <w:szCs w:val="20"/>
          <w:color w:val="auto"/>
        </w:rPr>
        <w:t>Meetings and shall have the same force and effect as resolutions adopted by Shareholders present in person or by proxy at a duly convened meeting of the Shareholders’ Meeting.</w:t>
      </w: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5 BOARD</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5.10 </w:t>
      </w:r>
      <w:r>
        <w:rPr>
          <w:rFonts w:ascii="Arial" w:cs="Arial" w:eastAsia="Arial" w:hAnsi="Arial"/>
          <w:sz w:val="19"/>
          <w:szCs w:val="19"/>
          <w:u w:val="single" w:color="auto"/>
          <w:color w:val="auto"/>
        </w:rPr>
        <w:t>Composition of the Board</w:t>
      </w:r>
    </w:p>
    <w:p>
      <w:pPr>
        <w:spacing w:after="0" w:line="29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Board shall consist of five (5) directors (“</w:t>
      </w:r>
      <w:r>
        <w:rPr>
          <w:rFonts w:ascii="Arial" w:cs="Arial" w:eastAsia="Arial" w:hAnsi="Arial"/>
          <w:sz w:val="20"/>
          <w:szCs w:val="20"/>
          <w:b w:val="1"/>
          <w:bCs w:val="1"/>
          <w:color w:val="auto"/>
        </w:rPr>
        <w:t>Directors</w:t>
      </w:r>
      <w:r>
        <w:rPr>
          <w:rFonts w:ascii="Arial" w:cs="Arial" w:eastAsia="Arial" w:hAnsi="Arial"/>
          <w:sz w:val="20"/>
          <w:szCs w:val="20"/>
          <w:color w:val="auto"/>
        </w:rPr>
        <w:t>”), allocated as follows.</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(ag)AHK shall be entitled to nominate and appoint two (2) Directors.</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(ah)Investor A shall be entitled to nominate and appoint one (1) Director.</w:t>
      </w:r>
    </w:p>
    <w:p>
      <w:pPr>
        <w:ind w:left="980"/>
        <w:spacing w:after="0" w:line="225" w:lineRule="auto"/>
        <w:rPr>
          <w:sz w:val="20"/>
          <w:szCs w:val="20"/>
          <w:color w:val="auto"/>
        </w:rPr>
      </w:pPr>
      <w:r>
        <w:rPr>
          <w:rFonts w:ascii="Arial" w:cs="Arial" w:eastAsia="Arial" w:hAnsi="Arial"/>
          <w:sz w:val="20"/>
          <w:szCs w:val="20"/>
          <w:color w:val="auto"/>
        </w:rPr>
        <w:t>(ai) Investor B shall be entitled to nominate and appoint one (1) Director.</w:t>
      </w:r>
    </w:p>
    <w:p>
      <w:pPr>
        <w:ind w:left="980"/>
        <w:spacing w:after="0"/>
        <w:rPr>
          <w:sz w:val="20"/>
          <w:szCs w:val="20"/>
          <w:color w:val="auto"/>
        </w:rPr>
      </w:pPr>
      <w:r>
        <w:rPr>
          <w:rFonts w:ascii="Arial" w:cs="Arial" w:eastAsia="Arial" w:hAnsi="Arial"/>
          <w:sz w:val="20"/>
          <w:szCs w:val="20"/>
          <w:color w:val="auto"/>
        </w:rPr>
        <w:t>(aj) The remaining one (1) Director shall be appointed by Management Co.</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All persons appointed as Directors shall meet the qualification requirements for company directors as specified in PRC</w:t>
      </w:r>
    </w:p>
    <w:p>
      <w:pPr>
        <w:ind w:left="860" w:right="400"/>
        <w:spacing w:after="0" w:line="220" w:lineRule="auto"/>
        <w:rPr>
          <w:sz w:val="20"/>
          <w:szCs w:val="20"/>
          <w:color w:val="auto"/>
        </w:rPr>
      </w:pPr>
      <w:r>
        <w:rPr>
          <w:rFonts w:ascii="Arial" w:cs="Arial" w:eastAsia="Arial" w:hAnsi="Arial"/>
          <w:sz w:val="20"/>
          <w:szCs w:val="20"/>
          <w:color w:val="auto"/>
        </w:rPr>
        <w:t>Laws. All Parties undertake to vote in favor of the candidates for Directors and Chairman as nominated by each Party pursuant to this provision to be elected on Shareholders’ Meeting.</w:t>
      </w:r>
    </w:p>
    <w:p>
      <w:pPr>
        <w:spacing w:after="0" w:line="192"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8"/>
          <w:szCs w:val="18"/>
          <w:u w:val="single" w:color="auto"/>
          <w:color w:val="auto"/>
        </w:rPr>
        <w:t>Term of Office</w:t>
      </w:r>
    </w:p>
    <w:p>
      <w:pPr>
        <w:spacing w:after="0" w:line="305" w:lineRule="exact"/>
        <w:rPr>
          <w:sz w:val="20"/>
          <w:szCs w:val="20"/>
          <w:color w:val="auto"/>
        </w:rPr>
      </w:pPr>
    </w:p>
    <w:p>
      <w:pPr>
        <w:ind w:left="860" w:right="500"/>
        <w:spacing w:after="0" w:line="229" w:lineRule="auto"/>
        <w:rPr>
          <w:sz w:val="20"/>
          <w:szCs w:val="20"/>
          <w:color w:val="auto"/>
        </w:rPr>
      </w:pPr>
      <w:r>
        <w:rPr>
          <w:rFonts w:ascii="Arial" w:cs="Arial" w:eastAsia="Arial" w:hAnsi="Arial"/>
          <w:sz w:val="20"/>
          <w:szCs w:val="20"/>
          <w:color w:val="auto"/>
        </w:rPr>
        <w:t>The term of each Director shall be three (3) years, and each Director shall be nominated by the Party to this Agreement that originally nominated such Director, on or prior to the</w:t>
      </w:r>
    </w:p>
    <w:p>
      <w:pPr>
        <w:sectPr>
          <w:pgSz w:w="11900" w:h="16838" w:orient="portrait"/>
          <w:cols w:equalWidth="0" w:num="1">
            <w:col w:w="11120"/>
          </w:cols>
          <w:pgMar w:left="40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400" w:top="1440" w:right="379" w:bottom="1440" w:gutter="0" w:footer="0" w:header="0"/>
          <w:type w:val="continuous"/>
        </w:sectPr>
      </w:pPr>
    </w:p>
    <w:bookmarkStart w:id="89" w:name="page90"/>
    <w:bookmarkEnd w:id="89"/>
    <w:p>
      <w:pPr>
        <w:spacing w:after="0" w:line="195" w:lineRule="exact"/>
        <w:rPr>
          <w:sz w:val="20"/>
          <w:szCs w:val="20"/>
          <w:color w:val="auto"/>
        </w:rPr>
      </w:pPr>
    </w:p>
    <w:p>
      <w:pPr>
        <w:ind w:left="860"/>
        <w:spacing w:after="0" w:line="236" w:lineRule="auto"/>
        <w:rPr>
          <w:sz w:val="20"/>
          <w:szCs w:val="20"/>
          <w:color w:val="auto"/>
        </w:rPr>
      </w:pPr>
      <w:r>
        <w:rPr>
          <w:rFonts w:ascii="Arial" w:cs="Arial" w:eastAsia="Arial" w:hAnsi="Arial"/>
          <w:sz w:val="18"/>
          <w:szCs w:val="18"/>
          <w:color w:val="auto"/>
        </w:rPr>
        <w:t>conclusion of such Director’s then-current term. If a seat on the Board is vacated by the retirement, removal, resignation, illness, disability or death of a Director, the Party that originally nominated such Director shall be entitled to nominate a</w:t>
      </w:r>
    </w:p>
    <w:p>
      <w:pPr>
        <w:ind w:left="860"/>
        <w:spacing w:after="0" w:line="235" w:lineRule="auto"/>
        <w:rPr>
          <w:sz w:val="20"/>
          <w:szCs w:val="20"/>
          <w:color w:val="auto"/>
        </w:rPr>
      </w:pPr>
      <w:r>
        <w:rPr>
          <w:rFonts w:ascii="Arial" w:cs="Arial" w:eastAsia="Arial" w:hAnsi="Arial"/>
          <w:sz w:val="18"/>
          <w:szCs w:val="18"/>
          <w:color w:val="auto"/>
        </w:rPr>
        <w:t>successor for election at the next relevant meeting of the Shareholders’ Meeting. The term of such successor Director shall</w:t>
      </w:r>
    </w:p>
    <w:p>
      <w:pPr>
        <w:ind w:left="860"/>
        <w:spacing w:after="0" w:line="226" w:lineRule="auto"/>
        <w:rPr>
          <w:sz w:val="20"/>
          <w:szCs w:val="20"/>
          <w:color w:val="auto"/>
        </w:rPr>
      </w:pPr>
      <w:r>
        <w:rPr>
          <w:rFonts w:ascii="Arial" w:cs="Arial" w:eastAsia="Arial" w:hAnsi="Arial"/>
          <w:sz w:val="18"/>
          <w:szCs w:val="18"/>
          <w:color w:val="auto"/>
        </w:rPr>
        <w:t>end upon expiry of the term of the original Director. A Director may serve consecutive terms if nominated again by the Party who originally nominated that person and elected by the relevant meeting of the Shareholders’ Meeting. Any Director</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may resign at any time upon written notice to the Company and the Party who originally nominated that Director.</w:t>
      </w:r>
    </w:p>
    <w:p>
      <w:pPr>
        <w:spacing w:after="0" w:line="206"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6"/>
          <w:szCs w:val="16"/>
          <w:u w:val="single" w:color="auto"/>
          <w:color w:val="auto"/>
        </w:rPr>
        <w:t>Chairman</w:t>
      </w:r>
    </w:p>
    <w:p>
      <w:pPr>
        <w:spacing w:after="0" w:line="220" w:lineRule="exact"/>
        <w:rPr>
          <w:sz w:val="20"/>
          <w:szCs w:val="20"/>
          <w:color w:val="auto"/>
        </w:rPr>
      </w:pPr>
    </w:p>
    <w:p>
      <w:pPr>
        <w:jc w:val="both"/>
        <w:ind w:left="1320" w:hanging="485"/>
        <w:spacing w:after="0" w:line="241" w:lineRule="auto"/>
        <w:rPr>
          <w:sz w:val="20"/>
          <w:szCs w:val="20"/>
          <w:color w:val="auto"/>
        </w:rPr>
      </w:pPr>
      <w:r>
        <w:rPr>
          <w:rFonts w:ascii="Arial" w:cs="Arial" w:eastAsia="Arial" w:hAnsi="Arial"/>
          <w:sz w:val="22"/>
          <w:szCs w:val="22"/>
          <w:color w:val="auto"/>
        </w:rPr>
        <w:t xml:space="preserve">(ak) </w:t>
      </w:r>
      <w:r>
        <w:rPr>
          <w:rFonts w:ascii="Arial" w:cs="Arial" w:eastAsia="Arial" w:hAnsi="Arial"/>
          <w:sz w:val="19"/>
          <w:szCs w:val="19"/>
          <w:color w:val="auto"/>
        </w:rPr>
        <w:t>The Chairman is the legal representative of the Company. The Chairman shall convene and preside over Board</w:t>
      </w:r>
      <w:r>
        <w:rPr>
          <w:rFonts w:ascii="Arial" w:cs="Arial" w:eastAsia="Arial" w:hAnsi="Arial"/>
          <w:sz w:val="22"/>
          <w:szCs w:val="22"/>
          <w:color w:val="auto"/>
        </w:rPr>
        <w:t xml:space="preserve"> </w:t>
      </w:r>
      <w:r>
        <w:rPr>
          <w:rFonts w:ascii="Arial" w:cs="Arial" w:eastAsia="Arial" w:hAnsi="Arial"/>
          <w:sz w:val="19"/>
          <w:szCs w:val="19"/>
          <w:color w:val="auto"/>
        </w:rPr>
        <w:t>meetings, and exercise his or her powers within the limits given by the Board in accordance with this Agreement and the Articles of Association.</w:t>
      </w:r>
    </w:p>
    <w:p>
      <w:pPr>
        <w:spacing w:after="0" w:line="188"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22"/>
          <w:szCs w:val="22"/>
          <w:color w:val="auto"/>
        </w:rPr>
        <w:t>(al)</w:t>
      </w:r>
      <w:r>
        <w:rPr>
          <w:sz w:val="20"/>
          <w:szCs w:val="20"/>
          <w:color w:val="auto"/>
        </w:rPr>
        <w:tab/>
      </w:r>
      <w:r>
        <w:rPr>
          <w:rFonts w:ascii="Arial" w:cs="Arial" w:eastAsia="Arial" w:hAnsi="Arial"/>
          <w:sz w:val="18"/>
          <w:szCs w:val="18"/>
          <w:color w:val="auto"/>
        </w:rPr>
        <w:t>When the Chairman is unable to perform his or her duties (including convening and presiding over Board meetings)</w:t>
      </w:r>
    </w:p>
    <w:p>
      <w:pPr>
        <w:ind w:left="1360"/>
        <w:spacing w:after="0" w:line="226" w:lineRule="auto"/>
        <w:rPr>
          <w:sz w:val="20"/>
          <w:szCs w:val="20"/>
          <w:color w:val="auto"/>
        </w:rPr>
      </w:pPr>
      <w:r>
        <w:rPr>
          <w:rFonts w:ascii="Arial" w:cs="Arial" w:eastAsia="Arial" w:hAnsi="Arial"/>
          <w:sz w:val="18"/>
          <w:szCs w:val="18"/>
          <w:color w:val="auto"/>
        </w:rPr>
        <w:t>for any reason, he or she shall appoint another Director to act on his or her behalf in accordance with China’s Company Law. If the Chairman further fails to appoint such Director, any Director elected by no less than half of the</w:t>
      </w:r>
    </w:p>
    <w:p>
      <w:pPr>
        <w:spacing w:after="0" w:line="2" w:lineRule="exact"/>
        <w:rPr>
          <w:sz w:val="20"/>
          <w:szCs w:val="20"/>
          <w:color w:val="auto"/>
        </w:rPr>
      </w:pPr>
    </w:p>
    <w:p>
      <w:pPr>
        <w:ind w:left="1360"/>
        <w:spacing w:after="0" w:line="227" w:lineRule="auto"/>
        <w:rPr>
          <w:sz w:val="20"/>
          <w:szCs w:val="20"/>
          <w:color w:val="auto"/>
        </w:rPr>
      </w:pPr>
      <w:r>
        <w:rPr>
          <w:rFonts w:ascii="Arial" w:cs="Arial" w:eastAsia="Arial" w:hAnsi="Arial"/>
          <w:sz w:val="20"/>
          <w:szCs w:val="20"/>
          <w:color w:val="auto"/>
        </w:rPr>
        <w:t>remaining Directors except the Chairman shall act on behalf of the Chairman until a new Chairman is elected by the Board.</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5.11 </w:t>
      </w:r>
      <w:r>
        <w:rPr>
          <w:rFonts w:ascii="Arial" w:cs="Arial" w:eastAsia="Arial" w:hAnsi="Arial"/>
          <w:sz w:val="19"/>
          <w:szCs w:val="19"/>
          <w:u w:val="single" w:color="auto"/>
          <w:color w:val="auto"/>
        </w:rPr>
        <w:t>Board Meetings</w:t>
      </w:r>
    </w:p>
    <w:p>
      <w:pPr>
        <w:spacing w:after="0" w:line="206" w:lineRule="exact"/>
        <w:rPr>
          <w:sz w:val="20"/>
          <w:szCs w:val="20"/>
          <w:color w:val="auto"/>
        </w:rPr>
      </w:pPr>
    </w:p>
    <w:p>
      <w:pPr>
        <w:jc w:val="both"/>
        <w:ind w:left="1360" w:right="140" w:hanging="509"/>
        <w:spacing w:after="0" w:line="223" w:lineRule="auto"/>
        <w:rPr>
          <w:sz w:val="20"/>
          <w:szCs w:val="20"/>
          <w:color w:val="auto"/>
        </w:rPr>
      </w:pPr>
      <w:r>
        <w:rPr>
          <w:rFonts w:ascii="Arial" w:cs="Arial" w:eastAsia="Arial" w:hAnsi="Arial"/>
          <w:sz w:val="21"/>
          <w:szCs w:val="21"/>
          <w:color w:val="auto"/>
        </w:rPr>
        <w:t xml:space="preserve">(am) </w:t>
      </w:r>
      <w:r>
        <w:rPr>
          <w:rFonts w:ascii="Arial" w:cs="Arial" w:eastAsia="Arial" w:hAnsi="Arial"/>
          <w:sz w:val="18"/>
          <w:szCs w:val="18"/>
          <w:color w:val="auto"/>
        </w:rPr>
        <w:t>In each calendar year, the Board shall convene at least one (1) regular meeting to examine the operations and</w:t>
      </w:r>
      <w:r>
        <w:rPr>
          <w:rFonts w:ascii="Arial" w:cs="Arial" w:eastAsia="Arial" w:hAnsi="Arial"/>
          <w:sz w:val="21"/>
          <w:szCs w:val="21"/>
          <w:color w:val="auto"/>
        </w:rPr>
        <w:t xml:space="preserve"> </w:t>
      </w:r>
      <w:r>
        <w:rPr>
          <w:rFonts w:ascii="Arial" w:cs="Arial" w:eastAsia="Arial" w:hAnsi="Arial"/>
          <w:sz w:val="18"/>
          <w:szCs w:val="18"/>
          <w:color w:val="auto"/>
        </w:rPr>
        <w:t>approve major matters of the Company. Upon written request of two (2) or more of the Directors, the Chairman shall convene an interim Board meeting to discuss relevant matters within ten (10) days after his or her receipt of</w:t>
      </w:r>
    </w:p>
    <w:p>
      <w:pPr>
        <w:spacing w:after="0" w:line="1" w:lineRule="exact"/>
        <w:rPr>
          <w:sz w:val="20"/>
          <w:szCs w:val="20"/>
          <w:color w:val="auto"/>
        </w:rPr>
      </w:pPr>
    </w:p>
    <w:p>
      <w:pPr>
        <w:ind w:left="1360" w:right="140"/>
        <w:spacing w:after="0" w:line="226" w:lineRule="auto"/>
        <w:rPr>
          <w:sz w:val="20"/>
          <w:szCs w:val="20"/>
          <w:color w:val="auto"/>
        </w:rPr>
      </w:pPr>
      <w:r>
        <w:rPr>
          <w:rFonts w:ascii="Arial" w:cs="Arial" w:eastAsia="Arial" w:hAnsi="Arial"/>
          <w:sz w:val="18"/>
          <w:szCs w:val="18"/>
          <w:color w:val="auto"/>
        </w:rPr>
        <w:t>such request. Board meetings may be attended by the Directors in person, or through television conference, video conference, tele- conference or other similar communication methods, so long as all attending Directors are able to</w:t>
      </w:r>
    </w:p>
    <w:p>
      <w:pPr>
        <w:spacing w:after="0" w:line="2" w:lineRule="exact"/>
        <w:rPr>
          <w:sz w:val="20"/>
          <w:szCs w:val="20"/>
          <w:color w:val="auto"/>
        </w:rPr>
      </w:pPr>
    </w:p>
    <w:p>
      <w:pPr>
        <w:ind w:left="1360" w:right="120"/>
        <w:spacing w:after="0" w:line="227" w:lineRule="auto"/>
        <w:rPr>
          <w:sz w:val="20"/>
          <w:szCs w:val="20"/>
          <w:color w:val="auto"/>
        </w:rPr>
      </w:pPr>
      <w:r>
        <w:rPr>
          <w:rFonts w:ascii="Arial" w:cs="Arial" w:eastAsia="Arial" w:hAnsi="Arial"/>
          <w:sz w:val="20"/>
          <w:szCs w:val="20"/>
          <w:color w:val="auto"/>
        </w:rPr>
        <w:t>hear each other and to communicate, and all such Directors are deemed to attend the Board meeting by presenting in this meeting in person.</w:t>
      </w:r>
    </w:p>
    <w:p>
      <w:pPr>
        <w:spacing w:after="0" w:line="192" w:lineRule="exact"/>
        <w:rPr>
          <w:sz w:val="20"/>
          <w:szCs w:val="20"/>
          <w:color w:val="auto"/>
        </w:rPr>
      </w:pPr>
    </w:p>
    <w:p>
      <w:pPr>
        <w:jc w:val="both"/>
        <w:ind w:left="1360" w:right="140" w:hanging="499"/>
        <w:spacing w:after="0" w:line="237" w:lineRule="auto"/>
        <w:tabs>
          <w:tab w:leader="none" w:pos="1340" w:val="left"/>
        </w:tabs>
        <w:rPr>
          <w:sz w:val="20"/>
          <w:szCs w:val="20"/>
          <w:color w:val="auto"/>
        </w:rPr>
      </w:pPr>
      <w:r>
        <w:rPr>
          <w:rFonts w:ascii="Arial" w:cs="Arial" w:eastAsia="Arial" w:hAnsi="Arial"/>
          <w:sz w:val="19"/>
          <w:szCs w:val="19"/>
          <w:color w:val="auto"/>
        </w:rPr>
        <w:t>(an)</w:t>
      </w:r>
      <w:r>
        <w:rPr>
          <w:sz w:val="20"/>
          <w:szCs w:val="20"/>
          <w:color w:val="auto"/>
        </w:rPr>
        <w:tab/>
      </w:r>
      <w:r>
        <w:rPr>
          <w:rFonts w:ascii="Arial" w:cs="Arial" w:eastAsia="Arial" w:hAnsi="Arial"/>
          <w:sz w:val="18"/>
          <w:szCs w:val="18"/>
          <w:color w:val="auto"/>
        </w:rPr>
        <w:t>All Board meetings shall be convened and presided over by the Chairman. The Chairman shall give written notice of any Board meeting to each of the Directors at least ten (10) days prior to the meeting, which notice shall specify</w:t>
      </w:r>
    </w:p>
    <w:p>
      <w:pPr>
        <w:spacing w:after="0" w:line="19" w:lineRule="exact"/>
        <w:rPr>
          <w:sz w:val="20"/>
          <w:szCs w:val="20"/>
          <w:color w:val="auto"/>
        </w:rPr>
      </w:pPr>
    </w:p>
    <w:p>
      <w:pPr>
        <w:ind w:left="1360" w:right="120"/>
        <w:spacing w:after="0" w:line="226" w:lineRule="auto"/>
        <w:rPr>
          <w:sz w:val="20"/>
          <w:szCs w:val="20"/>
          <w:color w:val="auto"/>
        </w:rPr>
      </w:pPr>
      <w:r>
        <w:rPr>
          <w:rFonts w:ascii="Arial" w:cs="Arial" w:eastAsia="Arial" w:hAnsi="Arial"/>
          <w:sz w:val="18"/>
          <w:szCs w:val="18"/>
          <w:color w:val="auto"/>
        </w:rPr>
        <w:t>the time, place, agenda of the meeting and other documents related to such Board meeting (if any). Any Board meeting held without giving proper and timely notice to each of the Directors shall be invalid unless each of the</w:t>
      </w:r>
    </w:p>
    <w:p>
      <w:pPr>
        <w:ind w:left="1360"/>
        <w:spacing w:after="0" w:line="224" w:lineRule="auto"/>
        <w:rPr>
          <w:sz w:val="20"/>
          <w:szCs w:val="20"/>
          <w:color w:val="auto"/>
        </w:rPr>
      </w:pPr>
      <w:r>
        <w:rPr>
          <w:rFonts w:ascii="Arial" w:cs="Arial" w:eastAsia="Arial" w:hAnsi="Arial"/>
          <w:sz w:val="19"/>
          <w:szCs w:val="19"/>
          <w:color w:val="auto"/>
        </w:rPr>
        <w:t>Directors who did not receive proper and timely notice delivers a written waiver to the Chairman either before or</w:t>
      </w:r>
    </w:p>
    <w:p>
      <w:pPr>
        <w:ind w:left="1360" w:right="140"/>
        <w:spacing w:after="0" w:line="232" w:lineRule="auto"/>
        <w:rPr>
          <w:sz w:val="20"/>
          <w:szCs w:val="20"/>
          <w:color w:val="auto"/>
        </w:rPr>
      </w:pPr>
      <w:r>
        <w:rPr>
          <w:rFonts w:ascii="Arial" w:cs="Arial" w:eastAsia="Arial" w:hAnsi="Arial"/>
          <w:sz w:val="19"/>
          <w:szCs w:val="19"/>
          <w:color w:val="auto"/>
        </w:rPr>
        <w:t>after the meeting of the Board or attends the meeting. Board meetings shall be held at the registered address of the Company or such other place inside or outside the PRC as may be determined by the Chairman.</w:t>
      </w:r>
    </w:p>
    <w:p>
      <w:pPr>
        <w:spacing w:after="0" w:line="20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(ao)  </w:t>
      </w:r>
      <w:r>
        <w:rPr>
          <w:rFonts w:ascii="Arial" w:cs="Arial" w:eastAsia="Arial" w:hAnsi="Arial"/>
          <w:sz w:val="19"/>
          <w:szCs w:val="19"/>
          <w:color w:val="auto"/>
        </w:rPr>
        <w:t>Other details regarding Board meetings may be provided in the Articles of Association.</w:t>
      </w:r>
    </w:p>
    <w:p>
      <w:pPr>
        <w:spacing w:after="0" w:line="200" w:lineRule="exact"/>
        <w:rPr>
          <w:sz w:val="20"/>
          <w:szCs w:val="20"/>
          <w:color w:val="auto"/>
        </w:rPr>
      </w:pPr>
    </w:p>
    <w:p>
      <w:pPr>
        <w:spacing w:after="0" w:line="263"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8"/>
          <w:szCs w:val="18"/>
          <w:u w:val="single" w:color="auto"/>
          <w:color w:val="auto"/>
        </w:rPr>
        <w:t>Quorum and Adoption of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720"/>
          </w:cols>
          <w:pgMar w:left="400" w:top="1440" w:right="779" w:bottom="1440" w:gutter="0" w:footer="0" w:header="0"/>
        </w:sectPr>
      </w:pPr>
    </w:p>
    <w:bookmarkStart w:id="90" w:name="page91"/>
    <w:bookmarkEnd w:id="90"/>
    <w:p>
      <w:pPr>
        <w:ind w:left="900"/>
        <w:spacing w:after="0"/>
        <w:rPr>
          <w:sz w:val="20"/>
          <w:szCs w:val="20"/>
          <w:color w:val="auto"/>
        </w:rPr>
      </w:pPr>
      <w:r>
        <w:rPr>
          <w:rFonts w:ascii="Arial" w:cs="Arial" w:eastAsia="Arial" w:hAnsi="Arial"/>
          <w:sz w:val="22"/>
          <w:szCs w:val="22"/>
          <w:color w:val="auto"/>
        </w:rPr>
        <w:t xml:space="preserve">(ap)  </w:t>
      </w:r>
      <w:r>
        <w:rPr>
          <w:rFonts w:ascii="Arial" w:cs="Arial" w:eastAsia="Arial" w:hAnsi="Arial"/>
          <w:sz w:val="19"/>
          <w:szCs w:val="19"/>
          <w:color w:val="auto"/>
        </w:rPr>
        <w:t>The quorum for a duly convened Board meeting shall include at least two-thirds (2/3) of the Directors present in</w:t>
      </w:r>
    </w:p>
    <w:p>
      <w:pPr>
        <w:ind w:left="1400"/>
        <w:spacing w:after="0" w:line="226" w:lineRule="auto"/>
        <w:rPr>
          <w:sz w:val="20"/>
          <w:szCs w:val="20"/>
          <w:color w:val="auto"/>
        </w:rPr>
      </w:pPr>
      <w:r>
        <w:rPr>
          <w:rFonts w:ascii="Arial" w:cs="Arial" w:eastAsia="Arial" w:hAnsi="Arial"/>
          <w:sz w:val="18"/>
          <w:szCs w:val="18"/>
          <w:color w:val="auto"/>
        </w:rPr>
        <w:t>person (including attending via television conference or tele-conference) or by proxy. In the absence of a quorum, any resolutions passed at a Board meeting shall be invalid and have no effect, subject to the following sentences if and</w:t>
      </w:r>
    </w:p>
    <w:p>
      <w:pPr>
        <w:ind w:left="1400"/>
        <w:spacing w:after="0" w:line="236" w:lineRule="auto"/>
        <w:rPr>
          <w:sz w:val="20"/>
          <w:szCs w:val="20"/>
          <w:color w:val="auto"/>
        </w:rPr>
      </w:pPr>
      <w:r>
        <w:rPr>
          <w:rFonts w:ascii="Arial" w:cs="Arial" w:eastAsia="Arial" w:hAnsi="Arial"/>
          <w:sz w:val="18"/>
          <w:szCs w:val="18"/>
          <w:color w:val="auto"/>
        </w:rPr>
        <w:t>when applicable. If the quorum is not present at any duly convened Board meeting, the Chairman (or another Director</w:t>
      </w:r>
    </w:p>
    <w:p>
      <w:pPr>
        <w:spacing w:after="0" w:line="1" w:lineRule="exact"/>
        <w:rPr>
          <w:sz w:val="20"/>
          <w:szCs w:val="20"/>
          <w:color w:val="auto"/>
        </w:rPr>
      </w:pPr>
    </w:p>
    <w:p>
      <w:pPr>
        <w:ind w:left="1400"/>
        <w:spacing w:after="0" w:line="223" w:lineRule="auto"/>
        <w:rPr>
          <w:sz w:val="20"/>
          <w:szCs w:val="20"/>
          <w:color w:val="auto"/>
        </w:rPr>
      </w:pPr>
      <w:r>
        <w:rPr>
          <w:rFonts w:ascii="Arial" w:cs="Arial" w:eastAsia="Arial" w:hAnsi="Arial"/>
          <w:sz w:val="18"/>
          <w:szCs w:val="18"/>
          <w:color w:val="auto"/>
        </w:rPr>
        <w:t>in accordance with Section 5.3(b)), shall send a notice to all Directors within two (2) Business Days to convene a second Board meeting (with the same agenda to be held at the same place as the first meeting) on or about the fifth</w:t>
      </w:r>
    </w:p>
    <w:p>
      <w:pPr>
        <w:spacing w:after="0" w:line="1" w:lineRule="exact"/>
        <w:rPr>
          <w:sz w:val="20"/>
          <w:szCs w:val="20"/>
          <w:color w:val="auto"/>
        </w:rPr>
      </w:pPr>
    </w:p>
    <w:p>
      <w:pPr>
        <w:ind w:left="1400" w:right="20"/>
        <w:spacing w:after="0" w:line="205" w:lineRule="auto"/>
        <w:rPr>
          <w:sz w:val="20"/>
          <w:szCs w:val="20"/>
          <w:color w:val="auto"/>
        </w:rPr>
      </w:pPr>
      <w:r>
        <w:rPr>
          <w:rFonts w:ascii="Arial" w:cs="Arial" w:eastAsia="Arial" w:hAnsi="Arial"/>
          <w:sz w:val="20"/>
          <w:szCs w:val="20"/>
          <w:color w:val="auto"/>
        </w:rPr>
        <w:t>(5</w:t>
      </w:r>
      <w:r>
        <w:rPr>
          <w:rFonts w:ascii="Arial" w:cs="Arial" w:eastAsia="Arial" w:hAnsi="Arial"/>
          <w:sz w:val="25"/>
          <w:szCs w:val="25"/>
          <w:color w:val="auto"/>
          <w:vertAlign w:val="superscript"/>
        </w:rPr>
        <w:t>th</w:t>
      </w:r>
      <w:r>
        <w:rPr>
          <w:rFonts w:ascii="Arial" w:cs="Arial" w:eastAsia="Arial" w:hAnsi="Arial"/>
          <w:sz w:val="20"/>
          <w:szCs w:val="20"/>
          <w:color w:val="auto"/>
        </w:rPr>
        <w:t>) Business Day after the first meeting, in accordance with the procedures provided in this Agreement and the Articles of Association, and so on until a quorum is present.</w:t>
      </w:r>
    </w:p>
    <w:p>
      <w:pPr>
        <w:spacing w:after="0" w:line="191" w:lineRule="exact"/>
        <w:rPr>
          <w:sz w:val="20"/>
          <w:szCs w:val="20"/>
          <w:color w:val="auto"/>
        </w:rPr>
      </w:pPr>
    </w:p>
    <w:p>
      <w:pPr>
        <w:jc w:val="both"/>
        <w:ind w:left="1400" w:hanging="499"/>
        <w:spacing w:after="0" w:line="237" w:lineRule="auto"/>
        <w:tabs>
          <w:tab w:leader="none" w:pos="1380" w:val="left"/>
        </w:tabs>
        <w:rPr>
          <w:sz w:val="20"/>
          <w:szCs w:val="20"/>
          <w:color w:val="auto"/>
        </w:rPr>
      </w:pPr>
      <w:r>
        <w:rPr>
          <w:rFonts w:ascii="Arial" w:cs="Arial" w:eastAsia="Arial" w:hAnsi="Arial"/>
          <w:sz w:val="19"/>
          <w:szCs w:val="19"/>
          <w:color w:val="auto"/>
        </w:rPr>
        <w:t>(aq)</w:t>
      </w:r>
      <w:r>
        <w:rPr>
          <w:sz w:val="20"/>
          <w:szCs w:val="20"/>
          <w:color w:val="auto"/>
        </w:rPr>
        <w:tab/>
      </w:r>
      <w:r>
        <w:rPr>
          <w:rFonts w:ascii="Arial" w:cs="Arial" w:eastAsia="Arial" w:hAnsi="Arial"/>
          <w:sz w:val="18"/>
          <w:szCs w:val="18"/>
          <w:color w:val="auto"/>
        </w:rPr>
        <w:t>If a Director is unable to attend a Board meeting for any reason, he or she may, so long as providing notice to the Chairman or Secretary prior to the Board meeting, appoint a proxy in writing to attend the meeting, who may be but</w:t>
      </w:r>
    </w:p>
    <w:p>
      <w:pPr>
        <w:spacing w:after="0" w:line="19" w:lineRule="exact"/>
        <w:rPr>
          <w:sz w:val="20"/>
          <w:szCs w:val="20"/>
          <w:color w:val="auto"/>
        </w:rPr>
      </w:pPr>
    </w:p>
    <w:p>
      <w:pPr>
        <w:ind w:left="1400" w:right="20"/>
        <w:spacing w:after="0" w:line="255" w:lineRule="auto"/>
        <w:rPr>
          <w:sz w:val="20"/>
          <w:szCs w:val="20"/>
          <w:color w:val="auto"/>
        </w:rPr>
      </w:pPr>
      <w:r>
        <w:rPr>
          <w:rFonts w:ascii="Arial" w:cs="Arial" w:eastAsia="Arial" w:hAnsi="Arial"/>
          <w:sz w:val="16"/>
          <w:szCs w:val="16"/>
          <w:color w:val="auto"/>
        </w:rPr>
        <w:t>not necessarily to be another Director of the Board. Any proxy so appointed shall have the same rights as the Director who appointed him or her, and one proxy may represent more than one Director. A proxy shall have one vote for each</w:t>
      </w:r>
    </w:p>
    <w:p>
      <w:pPr>
        <w:spacing w:after="0" w:line="1" w:lineRule="exact"/>
        <w:rPr>
          <w:sz w:val="20"/>
          <w:szCs w:val="20"/>
          <w:color w:val="auto"/>
        </w:rPr>
      </w:pPr>
    </w:p>
    <w:p>
      <w:pPr>
        <w:ind w:left="1400" w:right="20"/>
        <w:spacing w:after="0" w:line="220" w:lineRule="auto"/>
        <w:rPr>
          <w:sz w:val="20"/>
          <w:szCs w:val="20"/>
          <w:color w:val="auto"/>
        </w:rPr>
      </w:pPr>
      <w:r>
        <w:rPr>
          <w:rFonts w:ascii="Arial" w:cs="Arial" w:eastAsia="Arial" w:hAnsi="Arial"/>
          <w:sz w:val="20"/>
          <w:szCs w:val="20"/>
          <w:color w:val="auto"/>
        </w:rPr>
        <w:t>Director he or she represents and an additional vote if he or she is also a Director. The Chairman shall have the same right of one vote as accorded to each of the other Directors.</w:t>
      </w:r>
    </w:p>
    <w:p>
      <w:pPr>
        <w:spacing w:after="0" w:line="200" w:lineRule="exact"/>
        <w:rPr>
          <w:sz w:val="20"/>
          <w:szCs w:val="20"/>
          <w:color w:val="auto"/>
        </w:rPr>
      </w:pPr>
    </w:p>
    <w:p>
      <w:pPr>
        <w:spacing w:after="0" w:line="232" w:lineRule="exact"/>
        <w:rPr>
          <w:sz w:val="20"/>
          <w:szCs w:val="20"/>
          <w:color w:val="auto"/>
        </w:rPr>
      </w:pPr>
    </w:p>
    <w:p>
      <w:pPr>
        <w:ind w:left="900"/>
        <w:spacing w:after="0"/>
        <w:tabs>
          <w:tab w:leader="none" w:pos="1380" w:val="left"/>
        </w:tabs>
        <w:rPr>
          <w:sz w:val="20"/>
          <w:szCs w:val="20"/>
          <w:color w:val="auto"/>
        </w:rPr>
      </w:pPr>
      <w:r>
        <w:rPr>
          <w:rFonts w:ascii="Arial" w:cs="Arial" w:eastAsia="Arial" w:hAnsi="Arial"/>
          <w:sz w:val="22"/>
          <w:szCs w:val="22"/>
          <w:color w:val="auto"/>
        </w:rPr>
        <w:t>(ar)</w:t>
      </w:r>
      <w:r>
        <w:rPr>
          <w:sz w:val="20"/>
          <w:szCs w:val="20"/>
          <w:color w:val="auto"/>
        </w:rPr>
        <w:tab/>
      </w:r>
      <w:r>
        <w:rPr>
          <w:rFonts w:ascii="Arial" w:cs="Arial" w:eastAsia="Arial" w:hAnsi="Arial"/>
          <w:sz w:val="18"/>
          <w:szCs w:val="18"/>
          <w:color w:val="auto"/>
        </w:rPr>
        <w:t>Resolutions may be passed without a Board meeting if in writing and executed by the required Directors pursuant to</w:t>
      </w:r>
    </w:p>
    <w:p>
      <w:pPr>
        <w:ind w:left="1400" w:right="20"/>
        <w:spacing w:after="0" w:line="226" w:lineRule="auto"/>
        <w:rPr>
          <w:sz w:val="20"/>
          <w:szCs w:val="20"/>
          <w:color w:val="auto"/>
        </w:rPr>
      </w:pPr>
      <w:r>
        <w:rPr>
          <w:rFonts w:ascii="Arial" w:cs="Arial" w:eastAsia="Arial" w:hAnsi="Arial"/>
          <w:sz w:val="18"/>
          <w:szCs w:val="18"/>
          <w:color w:val="auto"/>
        </w:rPr>
        <w:t>Section 5.6 below, provided that the proposed resolution is delivered to each of the Directors. For such purposes, Directors may execute separate counterparts of identical written resolutions, which, taken together, shall constitute</w:t>
      </w:r>
    </w:p>
    <w:p>
      <w:pPr>
        <w:ind w:left="1400"/>
        <w:spacing w:after="0" w:line="236" w:lineRule="auto"/>
        <w:rPr>
          <w:sz w:val="20"/>
          <w:szCs w:val="20"/>
          <w:color w:val="auto"/>
        </w:rPr>
      </w:pPr>
      <w:r>
        <w:rPr>
          <w:rFonts w:ascii="Arial" w:cs="Arial" w:eastAsia="Arial" w:hAnsi="Arial"/>
          <w:sz w:val="18"/>
          <w:szCs w:val="18"/>
          <w:color w:val="auto"/>
        </w:rPr>
        <w:t>one valid set of written resolutions, and facsimile or email signatures of the Directors shall be valid and binding for</w:t>
      </w:r>
    </w:p>
    <w:p>
      <w:pPr>
        <w:spacing w:after="0" w:line="1" w:lineRule="exact"/>
        <w:rPr>
          <w:sz w:val="20"/>
          <w:szCs w:val="20"/>
          <w:color w:val="auto"/>
        </w:rPr>
      </w:pPr>
    </w:p>
    <w:p>
      <w:pPr>
        <w:ind w:left="1400" w:right="20"/>
        <w:spacing w:after="0" w:line="220" w:lineRule="auto"/>
        <w:rPr>
          <w:sz w:val="20"/>
          <w:szCs w:val="20"/>
          <w:color w:val="auto"/>
        </w:rPr>
      </w:pPr>
      <w:r>
        <w:rPr>
          <w:rFonts w:ascii="Arial" w:cs="Arial" w:eastAsia="Arial" w:hAnsi="Arial"/>
          <w:sz w:val="20"/>
          <w:szCs w:val="20"/>
          <w:color w:val="auto"/>
        </w:rPr>
        <w:t>such purposes. Such written resolutions shall have the same force and effect as resolutions adopted at a duly convened Board meeting.</w:t>
      </w: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 xml:space="preserve">5.12 </w:t>
      </w:r>
      <w:r>
        <w:rPr>
          <w:rFonts w:ascii="Arial" w:cs="Arial" w:eastAsia="Arial" w:hAnsi="Arial"/>
          <w:sz w:val="19"/>
          <w:szCs w:val="19"/>
          <w:u w:val="single" w:color="auto"/>
          <w:color w:val="auto"/>
        </w:rPr>
        <w:t>Powers of the Board</w:t>
      </w:r>
    </w:p>
    <w:p>
      <w:pPr>
        <w:spacing w:after="0" w:line="305" w:lineRule="exact"/>
        <w:rPr>
          <w:sz w:val="20"/>
          <w:szCs w:val="20"/>
          <w:color w:val="auto"/>
        </w:rPr>
      </w:pPr>
    </w:p>
    <w:p>
      <w:pPr>
        <w:ind w:left="900"/>
        <w:spacing w:after="0"/>
        <w:rPr>
          <w:sz w:val="20"/>
          <w:szCs w:val="20"/>
          <w:color w:val="auto"/>
        </w:rPr>
      </w:pPr>
      <w:r>
        <w:rPr>
          <w:rFonts w:ascii="Arial" w:cs="Arial" w:eastAsia="Arial" w:hAnsi="Arial"/>
          <w:sz w:val="19"/>
          <w:szCs w:val="19"/>
          <w:color w:val="auto"/>
        </w:rPr>
        <w:t>Except as reserved to the Shareholders’ Meeting, the Board shall have the power to manage and to direct the Senior</w:t>
      </w:r>
    </w:p>
    <w:p>
      <w:pPr>
        <w:ind w:left="900" w:right="20"/>
        <w:spacing w:after="0" w:line="255" w:lineRule="auto"/>
        <w:rPr>
          <w:sz w:val="20"/>
          <w:szCs w:val="20"/>
          <w:color w:val="auto"/>
        </w:rPr>
      </w:pPr>
      <w:r>
        <w:rPr>
          <w:rFonts w:ascii="Arial" w:cs="Arial" w:eastAsia="Arial" w:hAnsi="Arial"/>
          <w:sz w:val="16"/>
          <w:szCs w:val="16"/>
          <w:color w:val="auto"/>
        </w:rPr>
        <w:t>Management Personnel and employees of the Company. The Board shall have the right to delegate authority to such Senior Management Personnel as the Board shall deem appropriate except for such authority that cannot be delegated according to</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applicable laws. The Board shall decide on the following matters:</w:t>
      </w:r>
    </w:p>
    <w:p>
      <w:pPr>
        <w:spacing w:after="0" w:line="195"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22"/>
          <w:szCs w:val="22"/>
          <w:color w:val="auto"/>
        </w:rPr>
        <w:t>(as)</w:t>
      </w:r>
      <w:r>
        <w:rPr>
          <w:sz w:val="20"/>
          <w:szCs w:val="20"/>
          <w:color w:val="auto"/>
        </w:rPr>
        <w:tab/>
      </w:r>
      <w:r>
        <w:rPr>
          <w:rFonts w:ascii="Arial" w:cs="Arial" w:eastAsia="Arial" w:hAnsi="Arial"/>
          <w:sz w:val="18"/>
          <w:szCs w:val="18"/>
          <w:color w:val="auto"/>
        </w:rPr>
        <w:t>provision of security or guarantee to a third party by the Company;</w:t>
      </w:r>
    </w:p>
    <w:p>
      <w:pPr>
        <w:spacing w:after="0" w:line="206" w:lineRule="exact"/>
        <w:rPr>
          <w:sz w:val="20"/>
          <w:szCs w:val="20"/>
          <w:color w:val="auto"/>
        </w:rPr>
      </w:pPr>
    </w:p>
    <w:p>
      <w:pPr>
        <w:ind w:left="900"/>
        <w:spacing w:after="0"/>
        <w:tabs>
          <w:tab w:leader="none" w:pos="1380" w:val="left"/>
        </w:tabs>
        <w:rPr>
          <w:sz w:val="20"/>
          <w:szCs w:val="20"/>
          <w:color w:val="auto"/>
        </w:rPr>
      </w:pPr>
      <w:r>
        <w:rPr>
          <w:rFonts w:ascii="Arial" w:cs="Arial" w:eastAsia="Arial" w:hAnsi="Arial"/>
          <w:sz w:val="22"/>
          <w:szCs w:val="22"/>
          <w:color w:val="auto"/>
        </w:rPr>
        <w:t>(at)</w:t>
      </w:r>
      <w:r>
        <w:rPr>
          <w:sz w:val="20"/>
          <w:szCs w:val="20"/>
          <w:color w:val="auto"/>
        </w:rPr>
        <w:tab/>
      </w:r>
      <w:r>
        <w:rPr>
          <w:rFonts w:ascii="Arial" w:cs="Arial" w:eastAsia="Arial" w:hAnsi="Arial"/>
          <w:sz w:val="16"/>
          <w:szCs w:val="16"/>
          <w:color w:val="auto"/>
        </w:rPr>
        <w:t>appointment or dismissal and remuneration of the Senior Management Personnel;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0" w:right="20" w:hanging="499"/>
        <w:spacing w:after="0" w:line="238" w:lineRule="auto"/>
        <w:tabs>
          <w:tab w:leader="none" w:pos="1380" w:val="left"/>
        </w:tabs>
        <w:rPr>
          <w:sz w:val="20"/>
          <w:szCs w:val="20"/>
          <w:color w:val="auto"/>
        </w:rPr>
      </w:pPr>
      <w:r>
        <w:rPr>
          <w:rFonts w:ascii="Arial" w:cs="Arial" w:eastAsia="Arial" w:hAnsi="Arial"/>
          <w:sz w:val="22"/>
          <w:szCs w:val="22"/>
          <w:color w:val="auto"/>
        </w:rPr>
        <w:t>(au)</w:t>
      </w:r>
      <w:r>
        <w:rPr>
          <w:sz w:val="20"/>
          <w:szCs w:val="20"/>
          <w:color w:val="auto"/>
        </w:rPr>
        <w:tab/>
      </w:r>
      <w:r>
        <w:rPr>
          <w:rFonts w:ascii="Arial" w:cs="Arial" w:eastAsia="Arial" w:hAnsi="Arial"/>
          <w:sz w:val="20"/>
          <w:szCs w:val="20"/>
          <w:color w:val="auto"/>
        </w:rPr>
        <w:t>establishment or termination of subsidiaries, branches or other branch offices, or investment by the Company in any other entity or acquisition or disposal of any equity interest in any other entity;</w:t>
      </w:r>
    </w:p>
    <w:p>
      <w:pPr>
        <w:spacing w:after="0" w:line="200" w:lineRule="exact"/>
        <w:rPr>
          <w:sz w:val="20"/>
          <w:szCs w:val="20"/>
          <w:color w:val="auto"/>
        </w:rPr>
      </w:pPr>
    </w:p>
    <w:p>
      <w:pPr>
        <w:spacing w:after="0" w:line="280" w:lineRule="exact"/>
        <w:rPr>
          <w:sz w:val="20"/>
          <w:szCs w:val="20"/>
          <w:color w:val="auto"/>
        </w:rPr>
      </w:pPr>
    </w:p>
    <w:p>
      <w:pPr>
        <w:ind w:left="1400" w:right="20" w:hanging="499"/>
        <w:spacing w:after="0" w:line="250" w:lineRule="auto"/>
        <w:tabs>
          <w:tab w:leader="none" w:pos="1380" w:val="left"/>
        </w:tabs>
        <w:rPr>
          <w:sz w:val="20"/>
          <w:szCs w:val="20"/>
          <w:color w:val="auto"/>
        </w:rPr>
      </w:pPr>
      <w:r>
        <w:rPr>
          <w:rFonts w:ascii="Arial" w:cs="Arial" w:eastAsia="Arial" w:hAnsi="Arial"/>
          <w:sz w:val="22"/>
          <w:szCs w:val="22"/>
          <w:color w:val="auto"/>
        </w:rPr>
        <w:t>(av)</w:t>
      </w:r>
      <w:r>
        <w:rPr>
          <w:sz w:val="20"/>
          <w:szCs w:val="20"/>
          <w:color w:val="auto"/>
        </w:rPr>
        <w:tab/>
      </w:r>
      <w:r>
        <w:rPr>
          <w:rFonts w:ascii="Arial" w:cs="Arial" w:eastAsia="Arial" w:hAnsi="Arial"/>
          <w:sz w:val="20"/>
          <w:szCs w:val="20"/>
          <w:color w:val="auto"/>
        </w:rPr>
        <w:t>borrowing of any amounts involving value or amounts of more than RMB 1,000,000 in a single transaction or a series of related transactions (for the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780"/>
          </w:cols>
          <w:pgMar w:left="360" w:top="1371" w:right="759" w:bottom="1440" w:gutter="0" w:footer="0" w:header="0"/>
        </w:sectPr>
      </w:pPr>
    </w:p>
    <w:bookmarkStart w:id="91" w:name="page92"/>
    <w:bookmarkEnd w:id="91"/>
    <w:p>
      <w:pPr>
        <w:jc w:val="both"/>
        <w:ind w:left="1360"/>
        <w:spacing w:after="0" w:line="236" w:lineRule="auto"/>
        <w:rPr>
          <w:sz w:val="20"/>
          <w:szCs w:val="20"/>
          <w:color w:val="auto"/>
        </w:rPr>
      </w:pPr>
      <w:r>
        <w:rPr>
          <w:rFonts w:ascii="Arial" w:cs="Arial" w:eastAsia="Arial" w:hAnsi="Arial"/>
          <w:sz w:val="18"/>
          <w:szCs w:val="18"/>
          <w:color w:val="auto"/>
        </w:rPr>
        <w:t>of this Section 5.6, “a series of related transactions” shall mean a series of transactions (i) entered into with the same counterparty or its Affiliates, and (ii) regarding the same or related subject matter within a period of twelve (12)</w:t>
      </w:r>
    </w:p>
    <w:p>
      <w:pPr>
        <w:ind w:left="1360"/>
        <w:spacing w:after="0"/>
        <w:rPr>
          <w:sz w:val="20"/>
          <w:szCs w:val="20"/>
          <w:color w:val="auto"/>
        </w:rPr>
      </w:pPr>
      <w:r>
        <w:rPr>
          <w:rFonts w:ascii="Arial" w:cs="Arial" w:eastAsia="Arial" w:hAnsi="Arial"/>
          <w:sz w:val="20"/>
          <w:szCs w:val="20"/>
          <w:color w:val="auto"/>
        </w:rPr>
        <w:t>consecutive months);</w:t>
      </w:r>
    </w:p>
    <w:p>
      <w:pPr>
        <w:spacing w:after="0" w:line="200" w:lineRule="exact"/>
        <w:rPr>
          <w:sz w:val="20"/>
          <w:szCs w:val="20"/>
          <w:color w:val="auto"/>
        </w:rPr>
      </w:pPr>
    </w:p>
    <w:p>
      <w:pPr>
        <w:spacing w:after="0" w:line="253" w:lineRule="exact"/>
        <w:rPr>
          <w:sz w:val="20"/>
          <w:szCs w:val="20"/>
          <w:color w:val="auto"/>
        </w:rPr>
      </w:pPr>
    </w:p>
    <w:p>
      <w:pPr>
        <w:ind w:left="1360" w:hanging="510"/>
        <w:spacing w:after="0"/>
        <w:tabs>
          <w:tab w:leader="none" w:pos="1360" w:val="left"/>
        </w:tabs>
        <w:numPr>
          <w:ilvl w:val="0"/>
          <w:numId w:val="54"/>
        </w:numPr>
        <w:rPr>
          <w:rFonts w:ascii="Arial" w:cs="Arial" w:eastAsia="Arial" w:hAnsi="Arial"/>
          <w:sz w:val="22"/>
          <w:szCs w:val="22"/>
          <w:color w:val="auto"/>
        </w:rPr>
      </w:pPr>
      <w:r>
        <w:rPr>
          <w:rFonts w:ascii="Arial" w:cs="Arial" w:eastAsia="Arial" w:hAnsi="Arial"/>
          <w:sz w:val="20"/>
          <w:szCs w:val="20"/>
          <w:color w:val="auto"/>
        </w:rPr>
        <w:t>provision of any loans to organizations or individuals other than the Company;</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jc w:val="both"/>
        <w:ind w:left="1360" w:hanging="509"/>
        <w:spacing w:after="0" w:line="238" w:lineRule="auto"/>
        <w:tabs>
          <w:tab w:leader="none" w:pos="1358" w:val="left"/>
        </w:tabs>
        <w:numPr>
          <w:ilvl w:val="0"/>
          <w:numId w:val="54"/>
        </w:numPr>
        <w:rPr>
          <w:rFonts w:ascii="Arial" w:cs="Arial" w:eastAsia="Arial" w:hAnsi="Arial"/>
          <w:sz w:val="22"/>
          <w:szCs w:val="22"/>
          <w:color w:val="auto"/>
        </w:rPr>
      </w:pPr>
      <w:r>
        <w:rPr>
          <w:rFonts w:ascii="Arial" w:cs="Arial" w:eastAsia="Arial" w:hAnsi="Arial"/>
          <w:sz w:val="20"/>
          <w:szCs w:val="20"/>
          <w:color w:val="auto"/>
        </w:rPr>
        <w:t>decisions on sales, transfers or other dispositions of any fixed assets and/or Company IP that is material to the business of the Company important business operated by the Company, the amount of which is or would exceed RMB 1,000,000 in a single transaction or a series of related transactions;</w:t>
      </w:r>
    </w:p>
    <w:p>
      <w:pPr>
        <w:spacing w:after="0" w:line="200" w:lineRule="exact"/>
        <w:rPr>
          <w:rFonts w:ascii="Arial" w:cs="Arial" w:eastAsia="Arial" w:hAnsi="Arial"/>
          <w:sz w:val="22"/>
          <w:szCs w:val="22"/>
          <w:color w:val="auto"/>
        </w:rPr>
      </w:pPr>
    </w:p>
    <w:p>
      <w:pPr>
        <w:spacing w:after="0" w:line="291" w:lineRule="exact"/>
        <w:rPr>
          <w:rFonts w:ascii="Arial" w:cs="Arial" w:eastAsia="Arial" w:hAnsi="Arial"/>
          <w:sz w:val="22"/>
          <w:szCs w:val="22"/>
          <w:color w:val="auto"/>
        </w:rPr>
      </w:pPr>
    </w:p>
    <w:p>
      <w:pPr>
        <w:ind w:left="1360" w:hanging="509"/>
        <w:spacing w:after="0"/>
        <w:tabs>
          <w:tab w:leader="none" w:pos="1360" w:val="left"/>
        </w:tabs>
        <w:numPr>
          <w:ilvl w:val="0"/>
          <w:numId w:val="54"/>
        </w:numPr>
        <w:rPr>
          <w:rFonts w:ascii="Arial" w:cs="Arial" w:eastAsia="Arial" w:hAnsi="Arial"/>
          <w:sz w:val="22"/>
          <w:szCs w:val="22"/>
          <w:color w:val="auto"/>
        </w:rPr>
      </w:pPr>
      <w:r>
        <w:rPr>
          <w:rFonts w:ascii="Arial" w:cs="Arial" w:eastAsia="Arial" w:hAnsi="Arial"/>
          <w:sz w:val="20"/>
          <w:szCs w:val="20"/>
          <w:color w:val="auto"/>
        </w:rPr>
        <w:t>selection and appointment of external auditor of the Company, subject to Article 9 below;</w:t>
      </w:r>
    </w:p>
    <w:p>
      <w:pPr>
        <w:spacing w:after="0" w:line="200" w:lineRule="exact"/>
        <w:rPr>
          <w:rFonts w:ascii="Arial" w:cs="Arial" w:eastAsia="Arial" w:hAnsi="Arial"/>
          <w:sz w:val="22"/>
          <w:szCs w:val="22"/>
          <w:color w:val="auto"/>
        </w:rPr>
      </w:pPr>
    </w:p>
    <w:p>
      <w:pPr>
        <w:spacing w:after="0" w:line="278" w:lineRule="exact"/>
        <w:rPr>
          <w:rFonts w:ascii="Arial" w:cs="Arial" w:eastAsia="Arial" w:hAnsi="Arial"/>
          <w:sz w:val="22"/>
          <w:szCs w:val="22"/>
          <w:color w:val="auto"/>
        </w:rPr>
      </w:pPr>
    </w:p>
    <w:p>
      <w:pPr>
        <w:ind w:left="1360" w:hanging="509"/>
        <w:spacing w:after="0" w:line="250" w:lineRule="auto"/>
        <w:tabs>
          <w:tab w:leader="none" w:pos="1358" w:val="left"/>
        </w:tabs>
        <w:numPr>
          <w:ilvl w:val="0"/>
          <w:numId w:val="54"/>
        </w:numPr>
        <w:rPr>
          <w:rFonts w:ascii="Arial" w:cs="Arial" w:eastAsia="Arial" w:hAnsi="Arial"/>
          <w:sz w:val="22"/>
          <w:szCs w:val="22"/>
          <w:color w:val="auto"/>
        </w:rPr>
      </w:pPr>
      <w:r>
        <w:rPr>
          <w:rFonts w:ascii="Arial" w:cs="Arial" w:eastAsia="Arial" w:hAnsi="Arial"/>
          <w:sz w:val="20"/>
          <w:szCs w:val="20"/>
          <w:color w:val="auto"/>
        </w:rPr>
        <w:t>any contract or other transaction to be entered into between the Company and any Party or its Affiliates involving value of RMB 5,000,000 or more in a single transaction or a series of related transactions;</w:t>
      </w:r>
    </w:p>
    <w:p>
      <w:pPr>
        <w:spacing w:after="0" w:line="200" w:lineRule="exact"/>
        <w:rPr>
          <w:rFonts w:ascii="Arial" w:cs="Arial" w:eastAsia="Arial" w:hAnsi="Arial"/>
          <w:sz w:val="22"/>
          <w:szCs w:val="22"/>
          <w:color w:val="auto"/>
        </w:rPr>
      </w:pPr>
    </w:p>
    <w:p>
      <w:pPr>
        <w:spacing w:after="0" w:line="268" w:lineRule="exact"/>
        <w:rPr>
          <w:rFonts w:ascii="Arial" w:cs="Arial" w:eastAsia="Arial" w:hAnsi="Arial"/>
          <w:sz w:val="22"/>
          <w:szCs w:val="22"/>
          <w:color w:val="auto"/>
        </w:rPr>
      </w:pPr>
    </w:p>
    <w:p>
      <w:pPr>
        <w:ind w:left="1360" w:hanging="509"/>
        <w:spacing w:after="0" w:line="238" w:lineRule="auto"/>
        <w:tabs>
          <w:tab w:leader="none" w:pos="1359" w:val="left"/>
        </w:tabs>
        <w:numPr>
          <w:ilvl w:val="0"/>
          <w:numId w:val="54"/>
        </w:numPr>
        <w:rPr>
          <w:rFonts w:ascii="Arial" w:cs="Arial" w:eastAsia="Arial" w:hAnsi="Arial"/>
          <w:sz w:val="22"/>
          <w:szCs w:val="22"/>
          <w:color w:val="auto"/>
        </w:rPr>
      </w:pPr>
      <w:r>
        <w:rPr>
          <w:rFonts w:ascii="Arial" w:cs="Arial" w:eastAsia="Arial" w:hAnsi="Arial"/>
          <w:sz w:val="20"/>
          <w:szCs w:val="20"/>
          <w:color w:val="auto"/>
        </w:rPr>
        <w:t>formulating the Company’s proposed annual budgets and business plans, for submission to the Shareholders’ Meeting for final approval;</w:t>
      </w:r>
    </w:p>
    <w:p>
      <w:pPr>
        <w:spacing w:after="0" w:line="200" w:lineRule="exact"/>
        <w:rPr>
          <w:rFonts w:ascii="Arial" w:cs="Arial" w:eastAsia="Arial" w:hAnsi="Arial"/>
          <w:sz w:val="22"/>
          <w:szCs w:val="22"/>
          <w:color w:val="auto"/>
        </w:rPr>
      </w:pPr>
    </w:p>
    <w:p>
      <w:pPr>
        <w:spacing w:after="0" w:line="279" w:lineRule="exact"/>
        <w:rPr>
          <w:rFonts w:ascii="Arial" w:cs="Arial" w:eastAsia="Arial" w:hAnsi="Arial"/>
          <w:sz w:val="22"/>
          <w:szCs w:val="22"/>
          <w:color w:val="auto"/>
        </w:rPr>
      </w:pPr>
    </w:p>
    <w:p>
      <w:pPr>
        <w:ind w:left="1360" w:hanging="509"/>
        <w:spacing w:after="0" w:line="238" w:lineRule="auto"/>
        <w:tabs>
          <w:tab w:leader="none" w:pos="1349" w:val="left"/>
        </w:tabs>
        <w:numPr>
          <w:ilvl w:val="0"/>
          <w:numId w:val="54"/>
        </w:numPr>
        <w:rPr>
          <w:rFonts w:ascii="Arial" w:cs="Arial" w:eastAsia="Arial" w:hAnsi="Arial"/>
          <w:sz w:val="22"/>
          <w:szCs w:val="22"/>
          <w:color w:val="auto"/>
        </w:rPr>
      </w:pPr>
      <w:r>
        <w:rPr>
          <w:rFonts w:ascii="Arial" w:cs="Arial" w:eastAsia="Arial" w:hAnsi="Arial"/>
          <w:sz w:val="20"/>
          <w:szCs w:val="20"/>
          <w:color w:val="auto"/>
        </w:rPr>
        <w:t>formulating the Company’s profit distribution plans and plans for making up losses, for submission to the Shareholders’ Meeting for final approval;</w:t>
      </w:r>
    </w:p>
    <w:p>
      <w:pPr>
        <w:spacing w:after="0" w:line="200" w:lineRule="exact"/>
        <w:rPr>
          <w:rFonts w:ascii="Arial" w:cs="Arial" w:eastAsia="Arial" w:hAnsi="Arial"/>
          <w:sz w:val="22"/>
          <w:szCs w:val="22"/>
          <w:color w:val="auto"/>
        </w:rPr>
      </w:pPr>
    </w:p>
    <w:p>
      <w:pPr>
        <w:spacing w:after="0" w:line="293" w:lineRule="exact"/>
        <w:rPr>
          <w:rFonts w:ascii="Arial" w:cs="Arial" w:eastAsia="Arial" w:hAnsi="Arial"/>
          <w:sz w:val="22"/>
          <w:szCs w:val="22"/>
          <w:color w:val="auto"/>
        </w:rPr>
      </w:pPr>
    </w:p>
    <w:p>
      <w:pPr>
        <w:ind w:left="1360" w:hanging="509"/>
        <w:spacing w:after="0" w:line="238" w:lineRule="auto"/>
        <w:tabs>
          <w:tab w:leader="none" w:pos="1358" w:val="left"/>
        </w:tabs>
        <w:numPr>
          <w:ilvl w:val="0"/>
          <w:numId w:val="54"/>
        </w:numPr>
        <w:rPr>
          <w:rFonts w:ascii="Arial" w:cs="Arial" w:eastAsia="Arial" w:hAnsi="Arial"/>
          <w:sz w:val="22"/>
          <w:szCs w:val="22"/>
          <w:color w:val="auto"/>
        </w:rPr>
      </w:pPr>
      <w:r>
        <w:rPr>
          <w:rFonts w:ascii="Arial" w:cs="Arial" w:eastAsia="Arial" w:hAnsi="Arial"/>
          <w:sz w:val="20"/>
          <w:szCs w:val="20"/>
          <w:color w:val="auto"/>
        </w:rPr>
        <w:t>formulating plans for the merger, division, change of corporate form or dissolution of the Company, for submission to the Shareholders’ Meeting for final approval;</w:t>
      </w:r>
    </w:p>
    <w:p>
      <w:pPr>
        <w:spacing w:after="0" w:line="200" w:lineRule="exact"/>
        <w:rPr>
          <w:rFonts w:ascii="Arial" w:cs="Arial" w:eastAsia="Arial" w:hAnsi="Arial"/>
          <w:sz w:val="22"/>
          <w:szCs w:val="22"/>
          <w:color w:val="auto"/>
        </w:rPr>
      </w:pPr>
    </w:p>
    <w:p>
      <w:pPr>
        <w:spacing w:after="0" w:line="279" w:lineRule="exact"/>
        <w:rPr>
          <w:rFonts w:ascii="Arial" w:cs="Arial" w:eastAsia="Arial" w:hAnsi="Arial"/>
          <w:sz w:val="22"/>
          <w:szCs w:val="22"/>
          <w:color w:val="auto"/>
        </w:rPr>
      </w:pPr>
    </w:p>
    <w:p>
      <w:pPr>
        <w:ind w:left="1360" w:hanging="509"/>
        <w:spacing w:after="0" w:line="303" w:lineRule="auto"/>
        <w:tabs>
          <w:tab w:leader="none" w:pos="1358" w:val="left"/>
        </w:tabs>
        <w:numPr>
          <w:ilvl w:val="0"/>
          <w:numId w:val="54"/>
        </w:numPr>
        <w:rPr>
          <w:rFonts w:ascii="Arial" w:cs="Arial" w:eastAsia="Arial" w:hAnsi="Arial"/>
          <w:sz w:val="19"/>
          <w:szCs w:val="19"/>
          <w:color w:val="auto"/>
        </w:rPr>
      </w:pPr>
      <w:r>
        <w:rPr>
          <w:rFonts w:ascii="Arial" w:cs="Arial" w:eastAsia="Arial" w:hAnsi="Arial"/>
          <w:sz w:val="18"/>
          <w:szCs w:val="18"/>
          <w:color w:val="auto"/>
        </w:rPr>
        <w:t>important rules and regulations of the Company, including without limitation financial system, investment management system, human resources and remuneration management system and market development system;</w:t>
      </w:r>
    </w:p>
    <w:p>
      <w:pPr>
        <w:spacing w:after="0" w:line="178" w:lineRule="exact"/>
        <w:rPr>
          <w:rFonts w:ascii="Arial" w:cs="Arial" w:eastAsia="Arial" w:hAnsi="Arial"/>
          <w:sz w:val="19"/>
          <w:szCs w:val="19"/>
          <w:color w:val="auto"/>
        </w:rPr>
      </w:pPr>
    </w:p>
    <w:p>
      <w:pPr>
        <w:ind w:left="1360" w:hanging="513"/>
        <w:spacing w:after="0" w:line="238" w:lineRule="auto"/>
        <w:tabs>
          <w:tab w:leader="none" w:pos="1355" w:val="left"/>
        </w:tabs>
        <w:numPr>
          <w:ilvl w:val="0"/>
          <w:numId w:val="54"/>
        </w:numPr>
        <w:rPr>
          <w:rFonts w:ascii="Arial" w:cs="Arial" w:eastAsia="Arial" w:hAnsi="Arial"/>
          <w:sz w:val="22"/>
          <w:szCs w:val="22"/>
          <w:color w:val="auto"/>
        </w:rPr>
      </w:pPr>
      <w:r>
        <w:rPr>
          <w:rFonts w:ascii="Arial" w:cs="Arial" w:eastAsia="Arial" w:hAnsi="Arial"/>
          <w:sz w:val="20"/>
          <w:szCs w:val="20"/>
          <w:color w:val="auto"/>
        </w:rPr>
        <w:t>matters relating to executive compensation and administration of the ESOP (including any grants and awards associated therewith); and</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60" w:hanging="509"/>
        <w:spacing w:after="0"/>
        <w:tabs>
          <w:tab w:leader="none" w:pos="1360" w:val="left"/>
        </w:tabs>
        <w:numPr>
          <w:ilvl w:val="0"/>
          <w:numId w:val="54"/>
        </w:numPr>
        <w:rPr>
          <w:rFonts w:ascii="Arial" w:cs="Arial" w:eastAsia="Arial" w:hAnsi="Arial"/>
          <w:sz w:val="22"/>
          <w:szCs w:val="22"/>
          <w:color w:val="auto"/>
        </w:rPr>
      </w:pPr>
      <w:r>
        <w:rPr>
          <w:rFonts w:ascii="Arial" w:cs="Arial" w:eastAsia="Arial" w:hAnsi="Arial"/>
          <w:sz w:val="20"/>
          <w:szCs w:val="20"/>
          <w:color w:val="auto"/>
        </w:rPr>
        <w:t>other matters the Board has the right to determine in accordance with the applicable PRC Laws.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60"/>
        <w:spacing w:after="0" w:line="236" w:lineRule="auto"/>
        <w:rPr>
          <w:sz w:val="20"/>
          <w:szCs w:val="20"/>
          <w:color w:val="auto"/>
        </w:rPr>
      </w:pPr>
      <w:r>
        <w:rPr>
          <w:rFonts w:ascii="Arial" w:cs="Arial" w:eastAsia="Arial" w:hAnsi="Arial"/>
          <w:sz w:val="18"/>
          <w:szCs w:val="18"/>
          <w:color w:val="auto"/>
        </w:rPr>
        <w:t>Unless otherwise provided in this Agreement, a decision on any matters specified in this Section 5.6 shall require the approval of affirmative votes of at least a majority of the Directors (including at least one (1) Director nominated by the</w:t>
      </w:r>
    </w:p>
    <w:p>
      <w:pPr>
        <w:ind w:left="860"/>
        <w:spacing w:after="0"/>
        <w:rPr>
          <w:sz w:val="20"/>
          <w:szCs w:val="20"/>
          <w:color w:val="auto"/>
        </w:rPr>
      </w:pPr>
      <w:r>
        <w:rPr>
          <w:rFonts w:ascii="Arial" w:cs="Arial" w:eastAsia="Arial" w:hAnsi="Arial"/>
          <w:sz w:val="20"/>
          <w:szCs w:val="20"/>
          <w:color w:val="auto"/>
        </w:rPr>
        <w:t>Lead Investor) present in person or by proxy at a duly convened Board meeting or by an affirmative written</w:t>
      </w:r>
    </w:p>
    <w:p>
      <w:pPr>
        <w:sectPr>
          <w:pgSz w:w="11900" w:h="16838" w:orient="portrait"/>
          <w:cols w:equalWidth="0" w:num="1">
            <w:col w:w="10720"/>
          </w:cols>
          <w:pgMar w:left="400" w:top="1392"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720"/>
          </w:cols>
          <w:pgMar w:left="400" w:top="1392" w:right="779" w:bottom="1440" w:gutter="0" w:footer="0" w:header="0"/>
          <w:type w:val="continuous"/>
        </w:sectPr>
      </w:pPr>
    </w:p>
    <w:bookmarkStart w:id="92" w:name="page93"/>
    <w:bookmarkEnd w:id="92"/>
    <w:p>
      <w:pPr>
        <w:spacing w:after="0" w:line="195" w:lineRule="exact"/>
        <w:rPr>
          <w:sz w:val="20"/>
          <w:szCs w:val="20"/>
          <w:color w:val="auto"/>
        </w:rPr>
      </w:pPr>
    </w:p>
    <w:p>
      <w:pPr>
        <w:ind w:left="860"/>
        <w:spacing w:after="0" w:line="229" w:lineRule="auto"/>
        <w:rPr>
          <w:sz w:val="20"/>
          <w:szCs w:val="20"/>
          <w:color w:val="auto"/>
        </w:rPr>
      </w:pPr>
      <w:r>
        <w:rPr>
          <w:rFonts w:ascii="Arial" w:cs="Arial" w:eastAsia="Arial" w:hAnsi="Arial"/>
          <w:sz w:val="20"/>
          <w:szCs w:val="20"/>
          <w:color w:val="auto"/>
        </w:rPr>
        <w:t>resolution signed by at least a majority of the Directors (including at least one (1) Director nominated by the Lead Investor) in accordance with Section 5.5 above.</w:t>
      </w:r>
    </w:p>
    <w:p>
      <w:pPr>
        <w:spacing w:after="0" w:line="191"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6"/>
          <w:szCs w:val="16"/>
          <w:u w:val="single" w:color="auto"/>
          <w:color w:val="auto"/>
        </w:rPr>
        <w:t>Protective Provisions</w:t>
      </w:r>
    </w:p>
    <w:p>
      <w:pPr>
        <w:spacing w:after="0" w:line="305" w:lineRule="exact"/>
        <w:rPr>
          <w:sz w:val="20"/>
          <w:szCs w:val="20"/>
          <w:color w:val="auto"/>
        </w:rPr>
      </w:pPr>
    </w:p>
    <w:p>
      <w:pPr>
        <w:ind w:left="860" w:right="100"/>
        <w:spacing w:after="0" w:line="236" w:lineRule="auto"/>
        <w:rPr>
          <w:sz w:val="20"/>
          <w:szCs w:val="20"/>
          <w:color w:val="auto"/>
        </w:rPr>
      </w:pPr>
      <w:r>
        <w:rPr>
          <w:rFonts w:ascii="Arial" w:cs="Arial" w:eastAsia="Arial" w:hAnsi="Arial"/>
          <w:sz w:val="18"/>
          <w:szCs w:val="18"/>
          <w:color w:val="auto"/>
        </w:rPr>
        <w:t>Without limiting any other provisions in this Agreement, the Articles of Association and PRC Laws, the Company or its subsidiaries shall not, without the prior written consent or resolution from at least two-thirds (2/3) of the members of the</w:t>
      </w:r>
    </w:p>
    <w:p>
      <w:pPr>
        <w:ind w:left="860"/>
        <w:spacing w:after="0"/>
        <w:rPr>
          <w:sz w:val="20"/>
          <w:szCs w:val="20"/>
          <w:color w:val="auto"/>
        </w:rPr>
      </w:pPr>
      <w:r>
        <w:rPr>
          <w:rFonts w:ascii="Arial" w:cs="Arial" w:eastAsia="Arial" w:hAnsi="Arial"/>
          <w:sz w:val="20"/>
          <w:szCs w:val="20"/>
          <w:color w:val="auto"/>
        </w:rPr>
        <w:t>Board, take or do or agree to take or do any of the following actions or transactions:</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(aw) </w:t>
      </w:r>
      <w:r>
        <w:rPr>
          <w:rFonts w:ascii="Arial" w:cs="Arial" w:eastAsia="Arial" w:hAnsi="Arial"/>
          <w:sz w:val="19"/>
          <w:szCs w:val="19"/>
          <w:color w:val="auto"/>
        </w:rPr>
        <w:t>Change in the principal business activities of the Company;</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(ax) </w:t>
      </w:r>
      <w:r>
        <w:rPr>
          <w:rFonts w:ascii="Arial" w:cs="Arial" w:eastAsia="Arial" w:hAnsi="Arial"/>
          <w:sz w:val="19"/>
          <w:szCs w:val="19"/>
          <w:color w:val="auto"/>
        </w:rPr>
        <w:t>Making or changing annual business plan and annual budget plan;</w:t>
      </w:r>
    </w:p>
    <w:p>
      <w:pPr>
        <w:spacing w:after="0" w:line="4" w:lineRule="exact"/>
        <w:rPr>
          <w:sz w:val="20"/>
          <w:szCs w:val="20"/>
          <w:color w:val="auto"/>
        </w:rPr>
      </w:pPr>
    </w:p>
    <w:p>
      <w:pPr>
        <w:ind w:left="820" w:right="1520" w:firstLine="1"/>
        <w:spacing w:after="0" w:line="265" w:lineRule="exact"/>
        <w:rPr>
          <w:sz w:val="20"/>
          <w:szCs w:val="20"/>
          <w:color w:val="auto"/>
        </w:rPr>
      </w:pPr>
      <w:r>
        <w:rPr>
          <w:rFonts w:ascii="Arial" w:cs="Arial" w:eastAsia="Arial" w:hAnsi="Arial"/>
          <w:sz w:val="22"/>
          <w:szCs w:val="22"/>
          <w:color w:val="auto"/>
        </w:rPr>
        <w:t xml:space="preserve">(ay) </w:t>
      </w:r>
      <w:r>
        <w:rPr>
          <w:rFonts w:ascii="Arial" w:cs="Arial" w:eastAsia="Arial" w:hAnsi="Arial"/>
          <w:sz w:val="19"/>
          <w:szCs w:val="19"/>
          <w:color w:val="auto"/>
        </w:rPr>
        <w:t>Adoption or amendment of the Articles of Association, by-laws or any similar governing documents;</w:t>
      </w:r>
      <w:r>
        <w:rPr>
          <w:rFonts w:ascii="Arial" w:cs="Arial" w:eastAsia="Arial" w:hAnsi="Arial"/>
          <w:sz w:val="22"/>
          <w:szCs w:val="22"/>
          <w:color w:val="auto"/>
        </w:rPr>
        <w:t xml:space="preserve"> (az) </w:t>
      </w:r>
      <w:r>
        <w:rPr>
          <w:rFonts w:ascii="Arial" w:cs="Arial" w:eastAsia="Arial" w:hAnsi="Arial"/>
          <w:sz w:val="19"/>
          <w:szCs w:val="19"/>
          <w:color w:val="auto"/>
        </w:rPr>
        <w:t>Any change in accounting principles or policies materially or change auditors;</w:t>
      </w:r>
      <w:r>
        <w:rPr>
          <w:rFonts w:ascii="Arial" w:cs="Arial" w:eastAsia="Arial" w:hAnsi="Arial"/>
          <w:sz w:val="22"/>
          <w:szCs w:val="22"/>
          <w:color w:val="auto"/>
        </w:rPr>
        <w:t xml:space="preserve"> (ba) </w:t>
      </w:r>
      <w:r>
        <w:rPr>
          <w:rFonts w:ascii="Arial" w:cs="Arial" w:eastAsia="Arial" w:hAnsi="Arial"/>
          <w:sz w:val="19"/>
          <w:szCs w:val="19"/>
          <w:color w:val="auto"/>
        </w:rPr>
        <w:t>Modification of the number of board of directors</w:t>
      </w:r>
      <w:r>
        <w:rPr>
          <w:rFonts w:ascii="SimSun" w:cs="SimSun" w:eastAsia="SimSun" w:hAnsi="SimSun"/>
          <w:sz w:val="19"/>
          <w:szCs w:val="19"/>
          <w:color w:val="auto"/>
        </w:rPr>
        <w:t>；</w:t>
      </w:r>
    </w:p>
    <w:p>
      <w:pPr>
        <w:spacing w:after="0" w:line="16" w:lineRule="exact"/>
        <w:rPr>
          <w:sz w:val="20"/>
          <w:szCs w:val="20"/>
          <w:color w:val="auto"/>
        </w:rPr>
      </w:pPr>
    </w:p>
    <w:p>
      <w:pPr>
        <w:ind w:left="1320" w:right="120" w:hanging="492"/>
        <w:spacing w:after="0" w:line="238" w:lineRule="auto"/>
        <w:tabs>
          <w:tab w:leader="none" w:pos="1315" w:val="left"/>
        </w:tabs>
        <w:numPr>
          <w:ilvl w:val="0"/>
          <w:numId w:val="55"/>
        </w:numPr>
        <w:rPr>
          <w:rFonts w:ascii="Arial" w:cs="Arial" w:eastAsia="Arial" w:hAnsi="Arial"/>
          <w:sz w:val="22"/>
          <w:szCs w:val="22"/>
          <w:color w:val="auto"/>
        </w:rPr>
      </w:pPr>
      <w:r>
        <w:rPr>
          <w:rFonts w:ascii="Arial" w:cs="Arial" w:eastAsia="Arial" w:hAnsi="Arial"/>
          <w:sz w:val="20"/>
          <w:szCs w:val="20"/>
          <w:color w:val="auto"/>
        </w:rPr>
        <w:t>Alternation or change in the rights, preferences or privileges of the Investing Parties, or provide other investors with any rights favorable than the Investing Parties;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(bc) </w:t>
      </w:r>
      <w:r>
        <w:rPr>
          <w:rFonts w:ascii="Arial" w:cs="Arial" w:eastAsia="Arial" w:hAnsi="Arial"/>
          <w:sz w:val="19"/>
          <w:szCs w:val="19"/>
          <w:color w:val="auto"/>
        </w:rPr>
        <w:t>Transactions with any related or affiliated party;</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(bd) </w:t>
      </w:r>
      <w:r>
        <w:rPr>
          <w:rFonts w:ascii="Arial" w:cs="Arial" w:eastAsia="Arial" w:hAnsi="Arial"/>
          <w:sz w:val="19"/>
          <w:szCs w:val="19"/>
          <w:color w:val="auto"/>
        </w:rPr>
        <w:t>Making any guarantee for third parties;</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(be) </w:t>
      </w:r>
      <w:r>
        <w:rPr>
          <w:rFonts w:ascii="Arial" w:cs="Arial" w:eastAsia="Arial" w:hAnsi="Arial"/>
          <w:sz w:val="19"/>
          <w:szCs w:val="19"/>
          <w:color w:val="auto"/>
        </w:rPr>
        <w:t>Any acquisition of part or all of the Company;</w:t>
      </w:r>
    </w:p>
    <w:p>
      <w:pPr>
        <w:spacing w:after="0" w:line="17"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(bf)  </w:t>
      </w:r>
      <w:r>
        <w:rPr>
          <w:rFonts w:ascii="Arial" w:cs="Arial" w:eastAsia="Arial" w:hAnsi="Arial"/>
          <w:sz w:val="19"/>
          <w:szCs w:val="19"/>
          <w:color w:val="auto"/>
        </w:rPr>
        <w:t>Any corporate or product acquisition or merger activities;</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(bg) </w:t>
      </w:r>
      <w:r>
        <w:rPr>
          <w:rFonts w:ascii="Arial" w:cs="Arial" w:eastAsia="Arial" w:hAnsi="Arial"/>
          <w:sz w:val="19"/>
          <w:szCs w:val="19"/>
          <w:color w:val="auto"/>
        </w:rPr>
        <w:t>Any Company corporate reorganization, including divestiture or consolidation activities or resolutions;</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(bh) </w:t>
      </w:r>
      <w:r>
        <w:rPr>
          <w:rFonts w:ascii="Arial" w:cs="Arial" w:eastAsia="Arial" w:hAnsi="Arial"/>
          <w:sz w:val="19"/>
          <w:szCs w:val="19"/>
          <w:color w:val="auto"/>
        </w:rPr>
        <w:t>Any initial public offering of the Company;</w:t>
      </w:r>
    </w:p>
    <w:p>
      <w:pPr>
        <w:spacing w:after="0" w:line="17"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(bi)  </w:t>
      </w:r>
      <w:r>
        <w:rPr>
          <w:rFonts w:ascii="Arial" w:cs="Arial" w:eastAsia="Arial" w:hAnsi="Arial"/>
          <w:sz w:val="19"/>
          <w:szCs w:val="19"/>
          <w:color w:val="auto"/>
        </w:rPr>
        <w:t>Any dividends or redemptions issued by the Company;</w:t>
      </w:r>
    </w:p>
    <w:p>
      <w:pPr>
        <w:spacing w:after="0" w:line="17"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(bj)  </w:t>
      </w:r>
      <w:r>
        <w:rPr>
          <w:rFonts w:ascii="Arial" w:cs="Arial" w:eastAsia="Arial" w:hAnsi="Arial"/>
          <w:sz w:val="19"/>
          <w:szCs w:val="19"/>
          <w:color w:val="auto"/>
        </w:rPr>
        <w:t>Any new financing activity by the Company; and</w:t>
      </w:r>
    </w:p>
    <w:p>
      <w:pPr>
        <w:spacing w:after="0" w:line="17"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(bk) </w:t>
      </w:r>
      <w:r>
        <w:rPr>
          <w:rFonts w:ascii="Arial" w:cs="Arial" w:eastAsia="Arial" w:hAnsi="Arial"/>
          <w:sz w:val="19"/>
          <w:szCs w:val="19"/>
          <w:color w:val="auto"/>
        </w:rPr>
        <w:t>Any new stock issuance activity by the Company.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5.13 </w:t>
      </w:r>
      <w:r>
        <w:rPr>
          <w:rFonts w:ascii="Arial" w:cs="Arial" w:eastAsia="Arial" w:hAnsi="Arial"/>
          <w:sz w:val="19"/>
          <w:szCs w:val="19"/>
          <w:u w:val="single" w:color="auto"/>
          <w:color w:val="auto"/>
        </w:rPr>
        <w:t>Directors’ Remuneration and Indemnification</w:t>
      </w:r>
    </w:p>
    <w:p>
      <w:pPr>
        <w:spacing w:after="0" w:line="220" w:lineRule="exact"/>
        <w:rPr>
          <w:sz w:val="20"/>
          <w:szCs w:val="20"/>
          <w:color w:val="auto"/>
        </w:rPr>
      </w:pPr>
    </w:p>
    <w:p>
      <w:pPr>
        <w:jc w:val="both"/>
        <w:ind w:left="1360" w:right="100" w:hanging="509"/>
        <w:spacing w:after="0" w:line="251" w:lineRule="auto"/>
        <w:tabs>
          <w:tab w:leader="none" w:pos="1340" w:val="left"/>
        </w:tabs>
        <w:rPr>
          <w:sz w:val="20"/>
          <w:szCs w:val="20"/>
          <w:color w:val="auto"/>
        </w:rPr>
      </w:pPr>
      <w:r>
        <w:rPr>
          <w:rFonts w:ascii="Arial" w:cs="Arial" w:eastAsia="Arial" w:hAnsi="Arial"/>
          <w:sz w:val="22"/>
          <w:szCs w:val="22"/>
          <w:color w:val="auto"/>
        </w:rPr>
        <w:t>(bl)</w:t>
      </w:r>
      <w:r>
        <w:rPr>
          <w:sz w:val="20"/>
          <w:szCs w:val="20"/>
          <w:color w:val="auto"/>
        </w:rPr>
        <w:tab/>
      </w:r>
      <w:r>
        <w:rPr>
          <w:rFonts w:ascii="Arial" w:cs="Arial" w:eastAsia="Arial" w:hAnsi="Arial"/>
          <w:sz w:val="20"/>
          <w:szCs w:val="20"/>
          <w:color w:val="auto"/>
        </w:rPr>
        <w:t>The Directors are not entitled to receive any remuneration from the Company for their position as Directors of the Company, provided that reasonable costs incurred by Directors or their proxies in connection with attending Board meetings shall be reimbursed by the Company in Renminbi or U.S. Dollars based on vouchers permissible under the PRC Accounting System.</w:t>
      </w:r>
    </w:p>
    <w:p>
      <w:pPr>
        <w:spacing w:after="0" w:line="217" w:lineRule="exact"/>
        <w:rPr>
          <w:sz w:val="20"/>
          <w:szCs w:val="20"/>
          <w:color w:val="auto"/>
        </w:rPr>
      </w:pPr>
    </w:p>
    <w:p>
      <w:pPr>
        <w:ind w:left="740" w:right="100"/>
        <w:spacing w:after="0" w:line="236" w:lineRule="auto"/>
        <w:rPr>
          <w:sz w:val="20"/>
          <w:szCs w:val="20"/>
          <w:color w:val="auto"/>
        </w:rPr>
      </w:pPr>
      <w:r>
        <w:rPr>
          <w:rFonts w:ascii="Arial" w:cs="Arial" w:eastAsia="Arial" w:hAnsi="Arial"/>
          <w:sz w:val="18"/>
          <w:szCs w:val="18"/>
          <w:color w:val="auto"/>
        </w:rPr>
        <w:t>(bm) Directors shall be indemnified by the Company from personal liabilities for acts performed in a normal manner within their respective capacities as such. After Closing, the Company shall enter into a standard indemnification agreement with the</w:t>
      </w:r>
    </w:p>
    <w:p>
      <w:pPr>
        <w:ind w:left="740"/>
        <w:spacing w:after="0" w:line="222" w:lineRule="auto"/>
        <w:rPr>
          <w:sz w:val="20"/>
          <w:szCs w:val="20"/>
          <w:color w:val="auto"/>
        </w:rPr>
      </w:pPr>
      <w:r>
        <w:rPr>
          <w:rFonts w:ascii="Arial" w:cs="Arial" w:eastAsia="Arial" w:hAnsi="Arial"/>
          <w:sz w:val="19"/>
          <w:szCs w:val="19"/>
          <w:color w:val="auto"/>
        </w:rPr>
        <w:t>Directors, pursuant to which the Company will indemnify them, to the fullest extent possible under applicable PRC Laws,</w:t>
      </w:r>
    </w:p>
    <w:p>
      <w:pPr>
        <w:spacing w:after="0" w:line="1" w:lineRule="exact"/>
        <w:rPr>
          <w:sz w:val="20"/>
          <w:szCs w:val="20"/>
          <w:color w:val="auto"/>
        </w:rPr>
      </w:pPr>
    </w:p>
    <w:p>
      <w:pPr>
        <w:ind w:left="740" w:right="120"/>
        <w:spacing w:after="0" w:line="220" w:lineRule="auto"/>
        <w:rPr>
          <w:sz w:val="20"/>
          <w:szCs w:val="20"/>
          <w:color w:val="auto"/>
        </w:rPr>
      </w:pPr>
      <w:r>
        <w:rPr>
          <w:rFonts w:ascii="Arial" w:cs="Arial" w:eastAsia="Arial" w:hAnsi="Arial"/>
          <w:sz w:val="20"/>
          <w:szCs w:val="20"/>
          <w:color w:val="auto"/>
        </w:rPr>
        <w:t>from and against any claim or charge brought against them, except for claims or charges resulting from acts or omissions of intent or gross negligence, fraud or serious dereliction of duties by the Director.</w:t>
      </w:r>
    </w:p>
    <w:p>
      <w:pPr>
        <w:spacing w:after="0" w:line="192"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8"/>
          <w:szCs w:val="18"/>
          <w:u w:val="single" w:color="auto"/>
          <w:color w:val="auto"/>
        </w:rPr>
        <w:t>Meeting Minutes of Board Meetings</w:t>
      </w:r>
    </w:p>
    <w:p>
      <w:pPr>
        <w:spacing w:after="0" w:line="305" w:lineRule="exact"/>
        <w:rPr>
          <w:sz w:val="20"/>
          <w:szCs w:val="20"/>
          <w:color w:val="auto"/>
        </w:rPr>
      </w:pPr>
    </w:p>
    <w:p>
      <w:pPr>
        <w:ind w:left="860" w:right="120"/>
        <w:spacing w:after="0" w:line="236" w:lineRule="auto"/>
        <w:rPr>
          <w:sz w:val="20"/>
          <w:szCs w:val="20"/>
          <w:color w:val="auto"/>
        </w:rPr>
      </w:pPr>
      <w:r>
        <w:rPr>
          <w:rFonts w:ascii="Arial" w:cs="Arial" w:eastAsia="Arial" w:hAnsi="Arial"/>
          <w:sz w:val="18"/>
          <w:szCs w:val="18"/>
          <w:color w:val="auto"/>
        </w:rPr>
        <w:t>The Board shall maintain complete and correct records of its meetings, including copies of all meeting notices to convene meetings. All Board meeting minutes and adopted resolutions shall be recorded by the secretary and/or assistant secretary</w:t>
      </w:r>
    </w:p>
    <w:p>
      <w:pPr>
        <w:ind w:left="860" w:right="120"/>
        <w:spacing w:after="0" w:line="227" w:lineRule="auto"/>
        <w:rPr>
          <w:sz w:val="20"/>
          <w:szCs w:val="20"/>
          <w:color w:val="auto"/>
        </w:rPr>
      </w:pPr>
      <w:r>
        <w:rPr>
          <w:rFonts w:ascii="Arial" w:cs="Arial" w:eastAsia="Arial" w:hAnsi="Arial"/>
          <w:sz w:val="20"/>
          <w:szCs w:val="20"/>
          <w:color w:val="auto"/>
        </w:rPr>
        <w:t>appointed by the Board for a meeting designated by the Board and shall be circulated to all Directors within ten (10) days after the conclusion of each meeting. All Board resolutions shall be</w:t>
      </w:r>
    </w:p>
    <w:p>
      <w:pPr>
        <w:sectPr>
          <w:pgSz w:w="11900" w:h="16838" w:orient="portrait"/>
          <w:cols w:equalWidth="0" w:num="1">
            <w:col w:w="10840"/>
          </w:cols>
          <w:pgMar w:left="40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840"/>
          </w:cols>
          <w:pgMar w:left="400" w:top="1440" w:right="659" w:bottom="1440" w:gutter="0" w:footer="0" w:header="0"/>
          <w:type w:val="continuous"/>
        </w:sectPr>
      </w:pPr>
    </w:p>
    <w:bookmarkStart w:id="93" w:name="page94"/>
    <w:bookmarkEnd w:id="93"/>
    <w:p>
      <w:pPr>
        <w:spacing w:after="0" w:line="195" w:lineRule="exact"/>
        <w:rPr>
          <w:sz w:val="20"/>
          <w:szCs w:val="20"/>
          <w:color w:val="auto"/>
        </w:rPr>
      </w:pPr>
    </w:p>
    <w:p>
      <w:pPr>
        <w:jc w:val="both"/>
        <w:ind w:left="860"/>
        <w:spacing w:after="0" w:line="236" w:lineRule="auto"/>
        <w:rPr>
          <w:sz w:val="20"/>
          <w:szCs w:val="20"/>
          <w:color w:val="auto"/>
        </w:rPr>
      </w:pPr>
      <w:r>
        <w:rPr>
          <w:rFonts w:ascii="Arial" w:cs="Arial" w:eastAsia="Arial" w:hAnsi="Arial"/>
          <w:sz w:val="18"/>
          <w:szCs w:val="18"/>
          <w:color w:val="auto"/>
        </w:rPr>
        <w:t>signed by all voting Directors, and Board meeting minutes shall be signed and approved by the Chairman and then filed by the secretary and kept in the Company Board meeting minutes books. The appointment and replacement of Directors shall</w:t>
      </w:r>
    </w:p>
    <w:p>
      <w:pPr>
        <w:ind w:left="860"/>
        <w:spacing w:after="0"/>
        <w:rPr>
          <w:sz w:val="20"/>
          <w:szCs w:val="20"/>
          <w:color w:val="auto"/>
        </w:rPr>
      </w:pPr>
      <w:r>
        <w:rPr>
          <w:rFonts w:ascii="Arial" w:cs="Arial" w:eastAsia="Arial" w:hAnsi="Arial"/>
          <w:sz w:val="20"/>
          <w:szCs w:val="20"/>
          <w:color w:val="auto"/>
        </w:rPr>
        <w:t>be recorded in the Board meeting minutes books.</w:t>
      </w:r>
    </w:p>
    <w:p>
      <w:pPr>
        <w:spacing w:after="0" w:line="200" w:lineRule="exact"/>
        <w:rPr>
          <w:sz w:val="20"/>
          <w:szCs w:val="20"/>
          <w:color w:val="auto"/>
        </w:rPr>
      </w:pPr>
    </w:p>
    <w:p>
      <w:pPr>
        <w:spacing w:after="0" w:line="232"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ARTICLE 6 SUPERVISORS</w:t>
      </w:r>
    </w:p>
    <w:p>
      <w:pPr>
        <w:spacing w:after="0" w:line="226"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8"/>
          <w:szCs w:val="18"/>
          <w:u w:val="single" w:color="auto"/>
          <w:color w:val="auto"/>
        </w:rPr>
        <w:t>Appointment of Supervisors</w:t>
      </w:r>
    </w:p>
    <w:p>
      <w:pPr>
        <w:spacing w:after="0" w:line="299" w:lineRule="exact"/>
        <w:rPr>
          <w:sz w:val="20"/>
          <w:szCs w:val="20"/>
          <w:color w:val="auto"/>
        </w:rPr>
      </w:pPr>
    </w:p>
    <w:p>
      <w:pPr>
        <w:jc w:val="both"/>
        <w:ind w:left="860" w:right="20"/>
        <w:spacing w:after="0" w:line="239" w:lineRule="auto"/>
        <w:rPr>
          <w:sz w:val="20"/>
          <w:szCs w:val="20"/>
          <w:color w:val="auto"/>
        </w:rPr>
      </w:pPr>
      <w:r>
        <w:rPr>
          <w:rFonts w:ascii="Arial" w:cs="Arial" w:eastAsia="Arial" w:hAnsi="Arial"/>
          <w:sz w:val="18"/>
          <w:szCs w:val="18"/>
          <w:color w:val="auto"/>
        </w:rPr>
        <w:t>The Company shall have two (2) supervisors (“</w:t>
      </w:r>
      <w:r>
        <w:rPr>
          <w:rFonts w:ascii="Arial" w:cs="Arial" w:eastAsia="Arial" w:hAnsi="Arial"/>
          <w:sz w:val="18"/>
          <w:szCs w:val="18"/>
          <w:b w:val="1"/>
          <w:bCs w:val="1"/>
          <w:color w:val="auto"/>
        </w:rPr>
        <w:t>Supervisors</w:t>
      </w:r>
      <w:r>
        <w:rPr>
          <w:rFonts w:ascii="Arial" w:cs="Arial" w:eastAsia="Arial" w:hAnsi="Arial"/>
          <w:sz w:val="18"/>
          <w:szCs w:val="18"/>
          <w:color w:val="auto"/>
        </w:rPr>
        <w:t>”). Each of Management Co. and Investor C is entitled to nominate one (1) Supervisor for the Company. Both Parties undertake to vote in favor of the candidates for Supervisors as</w:t>
      </w:r>
    </w:p>
    <w:p>
      <w:pPr>
        <w:ind w:left="860"/>
        <w:spacing w:after="0" w:line="223" w:lineRule="auto"/>
        <w:rPr>
          <w:sz w:val="20"/>
          <w:szCs w:val="20"/>
          <w:color w:val="auto"/>
        </w:rPr>
      </w:pPr>
      <w:r>
        <w:rPr>
          <w:rFonts w:ascii="Arial" w:cs="Arial" w:eastAsia="Arial" w:hAnsi="Arial"/>
          <w:sz w:val="19"/>
          <w:szCs w:val="19"/>
          <w:color w:val="auto"/>
        </w:rPr>
        <w:t>nominated by each Party pursuant to this provision to be elected on Shareholders’ Meeting. The Directors and Senior</w:t>
      </w:r>
    </w:p>
    <w:p>
      <w:pPr>
        <w:spacing w:after="0" w:line="1" w:lineRule="exact"/>
        <w:rPr>
          <w:sz w:val="20"/>
          <w:szCs w:val="20"/>
          <w:color w:val="auto"/>
        </w:rPr>
      </w:pPr>
    </w:p>
    <w:p>
      <w:pPr>
        <w:jc w:val="both"/>
        <w:ind w:left="860"/>
        <w:spacing w:after="0" w:line="255" w:lineRule="auto"/>
        <w:rPr>
          <w:sz w:val="20"/>
          <w:szCs w:val="20"/>
          <w:color w:val="auto"/>
        </w:rPr>
      </w:pPr>
      <w:r>
        <w:rPr>
          <w:rFonts w:ascii="Arial" w:cs="Arial" w:eastAsia="Arial" w:hAnsi="Arial"/>
          <w:sz w:val="16"/>
          <w:szCs w:val="16"/>
          <w:color w:val="auto"/>
        </w:rPr>
        <w:t>Management Personnel of the Company shall not act as the Supervisors of the Company. Each Supervisor shall be appointed for a term of three (3) years and may serve consecutive terms if reappointed by the Party that originally appointed him or</w:t>
      </w:r>
    </w:p>
    <w:p>
      <w:pPr>
        <w:ind w:left="860"/>
        <w:spacing w:after="0" w:line="235" w:lineRule="auto"/>
        <w:rPr>
          <w:sz w:val="20"/>
          <w:szCs w:val="20"/>
          <w:color w:val="auto"/>
        </w:rPr>
      </w:pPr>
      <w:r>
        <w:rPr>
          <w:rFonts w:ascii="Arial" w:cs="Arial" w:eastAsia="Arial" w:hAnsi="Arial"/>
          <w:sz w:val="18"/>
          <w:szCs w:val="18"/>
          <w:color w:val="auto"/>
        </w:rPr>
        <w:t>her. The Supervisors are not entitled to receive any remuneration from the Company for their position as Supervisors of the</w:t>
      </w:r>
    </w:p>
    <w:p>
      <w:pPr>
        <w:jc w:val="both"/>
        <w:ind w:left="860" w:right="20"/>
        <w:spacing w:after="0" w:line="312" w:lineRule="auto"/>
        <w:rPr>
          <w:sz w:val="20"/>
          <w:szCs w:val="20"/>
          <w:color w:val="auto"/>
        </w:rPr>
      </w:pPr>
      <w:r>
        <w:rPr>
          <w:rFonts w:ascii="Arial" w:cs="Arial" w:eastAsia="Arial" w:hAnsi="Arial"/>
          <w:sz w:val="16"/>
          <w:szCs w:val="16"/>
          <w:color w:val="auto"/>
        </w:rPr>
        <w:t>Company. Reasonable costs incurred by Supervisors or their proxies in connection with attending Board meetings shall be reimbursed by the Company in Renminbi or U.S. Dollars based on vouchers permissible under the PRC Accounting System.</w:t>
      </w:r>
    </w:p>
    <w:p>
      <w:pPr>
        <w:spacing w:after="0" w:line="136"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6"/>
          <w:szCs w:val="16"/>
          <w:u w:val="single" w:color="auto"/>
          <w:color w:val="auto"/>
        </w:rPr>
        <w:t>Powers of Supervisors</w:t>
      </w:r>
    </w:p>
    <w:p>
      <w:pPr>
        <w:spacing w:after="0" w:line="30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 Supervisor shall exercise the following powers:</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(bn)  </w:t>
      </w:r>
      <w:r>
        <w:rPr>
          <w:rFonts w:ascii="Arial" w:cs="Arial" w:eastAsia="Arial" w:hAnsi="Arial"/>
          <w:sz w:val="19"/>
          <w:szCs w:val="19"/>
          <w:color w:val="auto"/>
        </w:rPr>
        <w:t>examine the financial status of the Company;</w:t>
      </w:r>
    </w:p>
    <w:p>
      <w:pPr>
        <w:spacing w:after="0" w:line="233" w:lineRule="exact"/>
        <w:rPr>
          <w:sz w:val="20"/>
          <w:szCs w:val="20"/>
          <w:color w:val="auto"/>
        </w:rPr>
      </w:pPr>
    </w:p>
    <w:p>
      <w:pPr>
        <w:jc w:val="both"/>
        <w:ind w:left="1360" w:hanging="499"/>
        <w:spacing w:after="0" w:line="238" w:lineRule="auto"/>
        <w:tabs>
          <w:tab w:leader="none" w:pos="1340" w:val="left"/>
        </w:tabs>
        <w:rPr>
          <w:sz w:val="20"/>
          <w:szCs w:val="20"/>
          <w:color w:val="auto"/>
        </w:rPr>
      </w:pPr>
      <w:r>
        <w:rPr>
          <w:rFonts w:ascii="Arial" w:cs="Arial" w:eastAsia="Arial" w:hAnsi="Arial"/>
          <w:sz w:val="22"/>
          <w:szCs w:val="22"/>
          <w:color w:val="auto"/>
        </w:rPr>
        <w:t>(bo)</w:t>
      </w:r>
      <w:r>
        <w:rPr>
          <w:sz w:val="20"/>
          <w:szCs w:val="20"/>
          <w:color w:val="auto"/>
        </w:rPr>
        <w:tab/>
      </w:r>
      <w:r>
        <w:rPr>
          <w:rFonts w:ascii="Arial" w:cs="Arial" w:eastAsia="Arial" w:hAnsi="Arial"/>
          <w:sz w:val="20"/>
          <w:szCs w:val="20"/>
          <w:color w:val="auto"/>
        </w:rPr>
        <w:t>supervise Directors’ and Senior Management Personnel’s behaviors to carry out his/her duties for the Company, and advise to dismiss any Director or Senior Management Personnel who violates any laws, the Articles of Association or any Board resolution;</w:t>
      </w:r>
    </w:p>
    <w:p>
      <w:pPr>
        <w:spacing w:after="0" w:line="238" w:lineRule="exact"/>
        <w:rPr>
          <w:sz w:val="20"/>
          <w:szCs w:val="20"/>
          <w:color w:val="auto"/>
        </w:rPr>
      </w:pPr>
    </w:p>
    <w:p>
      <w:pPr>
        <w:jc w:val="both"/>
        <w:ind w:left="1360" w:right="20" w:hanging="499"/>
        <w:spacing w:after="0" w:line="250" w:lineRule="auto"/>
        <w:tabs>
          <w:tab w:leader="none" w:pos="1340" w:val="left"/>
        </w:tabs>
        <w:rPr>
          <w:sz w:val="20"/>
          <w:szCs w:val="20"/>
          <w:color w:val="auto"/>
        </w:rPr>
      </w:pPr>
      <w:r>
        <w:rPr>
          <w:rFonts w:ascii="Arial" w:cs="Arial" w:eastAsia="Arial" w:hAnsi="Arial"/>
          <w:sz w:val="22"/>
          <w:szCs w:val="22"/>
          <w:color w:val="auto"/>
        </w:rPr>
        <w:t>(bp)</w:t>
      </w:r>
      <w:r>
        <w:rPr>
          <w:sz w:val="20"/>
          <w:szCs w:val="20"/>
          <w:color w:val="auto"/>
        </w:rPr>
        <w:tab/>
      </w:r>
      <w:r>
        <w:rPr>
          <w:rFonts w:ascii="Arial" w:cs="Arial" w:eastAsia="Arial" w:hAnsi="Arial"/>
          <w:sz w:val="20"/>
          <w:szCs w:val="20"/>
          <w:color w:val="auto"/>
        </w:rPr>
        <w:t>when the behaviors of Directors and Senior Management Personnel damage the interest of the Company, request the Director and Senior Management Personnel to rectify such behavior;</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(bq)  </w:t>
      </w:r>
      <w:r>
        <w:rPr>
          <w:rFonts w:ascii="Arial" w:cs="Arial" w:eastAsia="Arial" w:hAnsi="Arial"/>
          <w:sz w:val="19"/>
          <w:szCs w:val="19"/>
          <w:color w:val="auto"/>
        </w:rPr>
        <w:t>make proposals in furtherance of Supervisor powers at or in connection with a Board meeting; and</w:t>
      </w:r>
    </w:p>
    <w:p>
      <w:pPr>
        <w:spacing w:after="0" w:line="247"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22"/>
          <w:szCs w:val="22"/>
          <w:color w:val="auto"/>
        </w:rPr>
        <w:t>(br)</w:t>
      </w:r>
      <w:r>
        <w:rPr>
          <w:sz w:val="20"/>
          <w:szCs w:val="20"/>
          <w:color w:val="auto"/>
        </w:rPr>
        <w:tab/>
      </w:r>
      <w:r>
        <w:rPr>
          <w:rFonts w:ascii="Arial" w:cs="Arial" w:eastAsia="Arial" w:hAnsi="Arial"/>
          <w:sz w:val="18"/>
          <w:szCs w:val="18"/>
          <w:color w:val="auto"/>
        </w:rPr>
        <w:t xml:space="preserve">bring lawsuits against the Directors and Senior Management Personnel pursuant to Article 151 of the </w:t>
      </w:r>
      <w:r>
        <w:rPr>
          <w:rFonts w:ascii="Arial" w:cs="Arial" w:eastAsia="Arial" w:hAnsi="Arial"/>
          <w:sz w:val="18"/>
          <w:szCs w:val="18"/>
          <w:i w:val="1"/>
          <w:iCs w:val="1"/>
          <w:color w:val="auto"/>
        </w:rPr>
        <w:t>Company Law</w:t>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20"/>
          <w:szCs w:val="20"/>
          <w:i w:val="1"/>
          <w:iCs w:val="1"/>
          <w:color w:val="auto"/>
        </w:rPr>
        <w:t xml:space="preserve">of the People’s Republic of China, </w:t>
      </w:r>
      <w:r>
        <w:rPr>
          <w:rFonts w:ascii="Arial" w:cs="Arial" w:eastAsia="Arial" w:hAnsi="Arial"/>
          <w:sz w:val="20"/>
          <w:szCs w:val="20"/>
          <w:color w:val="auto"/>
        </w:rPr>
        <w:t>as amended.</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Supervisors may attend Board meetings as observers.</w:t>
      </w:r>
    </w:p>
    <w:p>
      <w:pPr>
        <w:spacing w:after="0" w:line="200" w:lineRule="exact"/>
        <w:rPr>
          <w:sz w:val="20"/>
          <w:szCs w:val="20"/>
          <w:color w:val="auto"/>
        </w:rPr>
      </w:pPr>
    </w:p>
    <w:p>
      <w:pPr>
        <w:spacing w:after="0" w:line="234"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ARTICLE 7 OPERATION AND MANAGEMENT ORGANIZATION</w:t>
      </w:r>
    </w:p>
    <w:p>
      <w:pPr>
        <w:spacing w:after="0" w:line="226"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6"/>
          <w:szCs w:val="16"/>
          <w:u w:val="single" w:color="auto"/>
          <w:color w:val="auto"/>
        </w:rPr>
        <w:t>Management System</w:t>
      </w:r>
    </w:p>
    <w:p>
      <w:pPr>
        <w:spacing w:after="0" w:line="233" w:lineRule="exact"/>
        <w:rPr>
          <w:sz w:val="20"/>
          <w:szCs w:val="20"/>
          <w:color w:val="auto"/>
        </w:rPr>
      </w:pPr>
    </w:p>
    <w:p>
      <w:pPr>
        <w:jc w:val="both"/>
        <w:ind w:left="1320" w:right="20" w:hanging="323"/>
        <w:spacing w:after="0" w:line="253" w:lineRule="auto"/>
        <w:tabs>
          <w:tab w:leader="none" w:pos="1300" w:val="left"/>
        </w:tabs>
        <w:rPr>
          <w:sz w:val="20"/>
          <w:szCs w:val="20"/>
          <w:color w:val="auto"/>
        </w:rPr>
      </w:pPr>
      <w:r>
        <w:rPr>
          <w:rFonts w:ascii="Arial" w:cs="Arial" w:eastAsia="Arial" w:hAnsi="Arial"/>
          <w:sz w:val="22"/>
          <w:szCs w:val="22"/>
          <w:color w:val="auto"/>
        </w:rPr>
        <w:t>(bs)</w:t>
      </w:r>
      <w:r>
        <w:rPr>
          <w:sz w:val="20"/>
          <w:szCs w:val="20"/>
          <w:color w:val="auto"/>
        </w:rPr>
        <w:tab/>
      </w:r>
      <w:r>
        <w:rPr>
          <w:rFonts w:ascii="Arial" w:cs="Arial" w:eastAsia="Arial" w:hAnsi="Arial"/>
          <w:sz w:val="20"/>
          <w:szCs w:val="20"/>
          <w:color w:val="auto"/>
        </w:rPr>
        <w:t>The Company shall have one (1) general manager (“</w:t>
      </w:r>
      <w:r>
        <w:rPr>
          <w:rFonts w:ascii="Arial" w:cs="Arial" w:eastAsia="Arial" w:hAnsi="Arial"/>
          <w:sz w:val="20"/>
          <w:szCs w:val="20"/>
          <w:b w:val="1"/>
          <w:bCs w:val="1"/>
          <w:color w:val="auto"/>
        </w:rPr>
        <w:t>General Manager</w:t>
      </w:r>
      <w:r>
        <w:rPr>
          <w:rFonts w:ascii="Arial" w:cs="Arial" w:eastAsia="Arial" w:hAnsi="Arial"/>
          <w:sz w:val="20"/>
          <w:szCs w:val="20"/>
          <w:color w:val="auto"/>
        </w:rPr>
        <w:t>”), who shall be appointed by the Board. The day-to-day management and operation of the Company shall be carried out by the General Manager in accordance with the</w:t>
      </w:r>
    </w:p>
    <w:p>
      <w:pPr>
        <w:sectPr>
          <w:pgSz w:w="11900" w:h="16838" w:orient="portrait"/>
          <w:cols w:equalWidth="0" w:num="1">
            <w:col w:w="10740"/>
          </w:cols>
          <w:pgMar w:left="40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740"/>
          </w:cols>
          <w:pgMar w:left="400" w:top="1440" w:right="759" w:bottom="1440" w:gutter="0" w:footer="0" w:header="0"/>
          <w:type w:val="continuous"/>
        </w:sectPr>
      </w:pPr>
    </w:p>
    <w:bookmarkStart w:id="94" w:name="page95"/>
    <w:bookmarkEnd w:id="94"/>
    <w:p>
      <w:pPr>
        <w:spacing w:after="0" w:line="195" w:lineRule="exact"/>
        <w:rPr>
          <w:sz w:val="20"/>
          <w:szCs w:val="20"/>
          <w:color w:val="auto"/>
        </w:rPr>
      </w:pPr>
    </w:p>
    <w:p>
      <w:pPr>
        <w:ind w:left="1320" w:right="20"/>
        <w:spacing w:after="0" w:line="229" w:lineRule="auto"/>
        <w:rPr>
          <w:sz w:val="20"/>
          <w:szCs w:val="20"/>
          <w:color w:val="auto"/>
        </w:rPr>
      </w:pPr>
      <w:r>
        <w:rPr>
          <w:rFonts w:ascii="Arial" w:cs="Arial" w:eastAsia="Arial" w:hAnsi="Arial"/>
          <w:sz w:val="20"/>
          <w:szCs w:val="20"/>
          <w:color w:val="auto"/>
        </w:rPr>
        <w:t>policies adopted by the Board from time to time. The General Manager will be the CEO of the Company. The General Manager shall be directly responsible to the Board.</w:t>
      </w:r>
    </w:p>
    <w:p>
      <w:pPr>
        <w:spacing w:after="0" w:line="205" w:lineRule="exact"/>
        <w:rPr>
          <w:sz w:val="20"/>
          <w:szCs w:val="20"/>
          <w:color w:val="auto"/>
        </w:rPr>
      </w:pPr>
    </w:p>
    <w:p>
      <w:pPr>
        <w:jc w:val="both"/>
        <w:ind w:left="1360" w:right="20" w:hanging="509"/>
        <w:spacing w:after="0" w:line="332" w:lineRule="auto"/>
        <w:tabs>
          <w:tab w:leader="none" w:pos="1340" w:val="left"/>
        </w:tabs>
        <w:rPr>
          <w:sz w:val="20"/>
          <w:szCs w:val="20"/>
          <w:color w:val="auto"/>
        </w:rPr>
      </w:pPr>
      <w:r>
        <w:rPr>
          <w:rFonts w:ascii="Arial" w:cs="Arial" w:eastAsia="Arial" w:hAnsi="Arial"/>
          <w:sz w:val="22"/>
          <w:szCs w:val="22"/>
          <w:color w:val="auto"/>
        </w:rPr>
        <w:t>(bt)</w:t>
      </w:r>
      <w:r>
        <w:rPr>
          <w:sz w:val="20"/>
          <w:szCs w:val="20"/>
          <w:color w:val="auto"/>
        </w:rPr>
        <w:tab/>
      </w:r>
      <w:r>
        <w:rPr>
          <w:rFonts w:ascii="Arial" w:cs="Arial" w:eastAsia="Arial" w:hAnsi="Arial"/>
          <w:sz w:val="18"/>
          <w:szCs w:val="18"/>
          <w:color w:val="auto"/>
        </w:rPr>
        <w:t>The term of office of the General Manager shall be three (3) years and he/she can serve consecutive terms upon re-appointment. The General Manager may be dismissed and replaced by the Board upon thirty (30) days’ notice.</w:t>
      </w:r>
    </w:p>
    <w:p>
      <w:pPr>
        <w:spacing w:after="0" w:line="156" w:lineRule="exact"/>
        <w:rPr>
          <w:sz w:val="20"/>
          <w:szCs w:val="20"/>
          <w:color w:val="auto"/>
        </w:rPr>
      </w:pPr>
    </w:p>
    <w:p>
      <w:pPr>
        <w:jc w:val="both"/>
        <w:ind w:left="1360" w:right="20" w:hanging="499"/>
        <w:spacing w:after="0" w:line="241" w:lineRule="auto"/>
        <w:tabs>
          <w:tab w:leader="none" w:pos="1340" w:val="left"/>
        </w:tabs>
        <w:rPr>
          <w:sz w:val="20"/>
          <w:szCs w:val="20"/>
          <w:color w:val="auto"/>
        </w:rPr>
      </w:pPr>
      <w:r>
        <w:rPr>
          <w:rFonts w:ascii="Arial" w:cs="Arial" w:eastAsia="Arial" w:hAnsi="Arial"/>
          <w:sz w:val="22"/>
          <w:szCs w:val="22"/>
          <w:color w:val="auto"/>
        </w:rPr>
        <w:t>(bu)</w:t>
      </w:r>
      <w:r>
        <w:rPr>
          <w:sz w:val="20"/>
          <w:szCs w:val="20"/>
          <w:color w:val="auto"/>
        </w:rPr>
        <w:tab/>
      </w:r>
      <w:r>
        <w:rPr>
          <w:rFonts w:ascii="Arial" w:cs="Arial" w:eastAsia="Arial" w:hAnsi="Arial"/>
          <w:sz w:val="20"/>
          <w:szCs w:val="20"/>
          <w:color w:val="auto"/>
        </w:rPr>
        <w:t>The Company shall have one (1) chief financial officer (“</w:t>
      </w:r>
      <w:r>
        <w:rPr>
          <w:rFonts w:ascii="Arial" w:cs="Arial" w:eastAsia="Arial" w:hAnsi="Arial"/>
          <w:sz w:val="20"/>
          <w:szCs w:val="20"/>
          <w:b w:val="1"/>
          <w:bCs w:val="1"/>
          <w:color w:val="auto"/>
        </w:rPr>
        <w:t>CFO</w:t>
      </w:r>
      <w:r>
        <w:rPr>
          <w:rFonts w:ascii="Arial" w:cs="Arial" w:eastAsia="Arial" w:hAnsi="Arial"/>
          <w:sz w:val="20"/>
          <w:szCs w:val="20"/>
          <w:color w:val="auto"/>
        </w:rPr>
        <w:t>”) who shall be in charge of matters of finance, accounting, financial reporting to the Board and shareholders, internal control and tax. The CFO will be nominated by AHK, and shall be approved and appointed by the Board.</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1"/>
          <w:szCs w:val="21"/>
          <w:color w:val="auto"/>
        </w:rPr>
        <w:t xml:space="preserve">(bv)  </w:t>
      </w:r>
      <w:r>
        <w:rPr>
          <w:rFonts w:ascii="Arial" w:cs="Arial" w:eastAsia="Arial" w:hAnsi="Arial"/>
          <w:sz w:val="18"/>
          <w:szCs w:val="18"/>
          <w:color w:val="auto"/>
        </w:rPr>
        <w:t>The General Manager, CFO and any other personnel of the Company who are required to be senior management</w:t>
      </w:r>
    </w:p>
    <w:p>
      <w:pPr>
        <w:spacing w:after="0" w:line="33" w:lineRule="exact"/>
        <w:rPr>
          <w:sz w:val="20"/>
          <w:szCs w:val="20"/>
          <w:color w:val="auto"/>
        </w:rPr>
      </w:pPr>
    </w:p>
    <w:p>
      <w:pPr>
        <w:jc w:val="both"/>
        <w:ind w:left="1360" w:right="20"/>
        <w:spacing w:after="0" w:line="237" w:lineRule="auto"/>
        <w:rPr>
          <w:sz w:val="20"/>
          <w:szCs w:val="20"/>
          <w:color w:val="auto"/>
        </w:rPr>
      </w:pPr>
      <w:r>
        <w:rPr>
          <w:rFonts w:ascii="Arial" w:cs="Arial" w:eastAsia="Arial" w:hAnsi="Arial"/>
          <w:sz w:val="20"/>
          <w:szCs w:val="20"/>
          <w:color w:val="auto"/>
        </w:rPr>
        <w:t>personnel of the Company under the PRC Laws, regulations, rules or as per the requirements of the regulatory authorities or departments (“</w:t>
      </w:r>
      <w:r>
        <w:rPr>
          <w:rFonts w:ascii="Arial" w:cs="Arial" w:eastAsia="Arial" w:hAnsi="Arial"/>
          <w:sz w:val="20"/>
          <w:szCs w:val="20"/>
          <w:b w:val="1"/>
          <w:bCs w:val="1"/>
          <w:color w:val="auto"/>
        </w:rPr>
        <w:t>Senior Management Personnel</w:t>
      </w:r>
      <w:r>
        <w:rPr>
          <w:rFonts w:ascii="Arial" w:cs="Arial" w:eastAsia="Arial" w:hAnsi="Arial"/>
          <w:sz w:val="20"/>
          <w:szCs w:val="20"/>
          <w:color w:val="auto"/>
        </w:rPr>
        <w:t>”) shall be appointed by the Board based on market-oriented principles.</w:t>
      </w:r>
    </w:p>
    <w:p>
      <w:pPr>
        <w:spacing w:after="0" w:line="219"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6"/>
          <w:szCs w:val="16"/>
          <w:u w:val="single" w:color="auto"/>
          <w:color w:val="auto"/>
        </w:rPr>
        <w:t>Powers and Responsibilities of the General Manager</w:t>
      </w:r>
    </w:p>
    <w:p>
      <w:pPr>
        <w:spacing w:after="0" w:line="29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powers and responsibilities of the General Manager shall consist of the following:</w:t>
      </w:r>
    </w:p>
    <w:p>
      <w:pPr>
        <w:sectPr>
          <w:pgSz w:w="11900" w:h="16838" w:orient="portrait"/>
          <w:cols w:equalWidth="0" w:num="1">
            <w:col w:w="10740"/>
          </w:cols>
          <w:pgMar w:left="400" w:top="1440" w:right="759" w:bottom="1440" w:gutter="0" w:footer="0" w:header="0"/>
        </w:sectPr>
      </w:pPr>
    </w:p>
    <w:p>
      <w:pPr>
        <w:spacing w:after="0" w:line="2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(bw)</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implementation of the resolutions adopted by the Board from time to time;</w:t>
      </w:r>
    </w:p>
    <w:p>
      <w:pPr>
        <w:spacing w:after="0" w:line="200" w:lineRule="exact"/>
        <w:rPr>
          <w:sz w:val="20"/>
          <w:szCs w:val="20"/>
          <w:color w:val="auto"/>
        </w:rPr>
      </w:pPr>
    </w:p>
    <w:p>
      <w:pPr>
        <w:sectPr>
          <w:pgSz w:w="11900" w:h="16838" w:orient="portrait"/>
          <w:cols w:equalWidth="0" w:num="2">
            <w:col w:w="1220" w:space="140"/>
            <w:col w:w="9380"/>
          </w:cols>
          <w:pgMar w:left="400" w:top="1440" w:right="759" w:bottom="1440" w:gutter="0" w:footer="0" w:header="0"/>
          <w:type w:val="continuous"/>
        </w:sectPr>
      </w:pPr>
    </w:p>
    <w:p>
      <w:pPr>
        <w:spacing w:after="0" w:line="3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(bx)</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reporting to the Board on the operation of, and matters of major importance to, the Company;</w:t>
      </w:r>
    </w:p>
    <w:p>
      <w:pPr>
        <w:spacing w:after="0" w:line="222" w:lineRule="exact"/>
        <w:rPr>
          <w:sz w:val="20"/>
          <w:szCs w:val="20"/>
          <w:color w:val="auto"/>
        </w:rPr>
      </w:pPr>
    </w:p>
    <w:p>
      <w:pPr>
        <w:sectPr>
          <w:pgSz w:w="11900" w:h="16838" w:orient="portrait"/>
          <w:cols w:equalWidth="0" w:num="2">
            <w:col w:w="1180" w:space="180"/>
            <w:col w:w="9380"/>
          </w:cols>
          <w:pgMar w:left="400" w:top="1440" w:right="759" w:bottom="1440" w:gutter="0" w:footer="0" w:header="0"/>
          <w:type w:val="continuous"/>
        </w:sectPr>
      </w:pPr>
    </w:p>
    <w:p>
      <w:pPr>
        <w:spacing w:after="0" w:line="3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20" w:hanging="4"/>
        <w:spacing w:after="0" w:line="236" w:lineRule="auto"/>
        <w:rPr>
          <w:sz w:val="20"/>
          <w:szCs w:val="20"/>
          <w:color w:val="auto"/>
        </w:rPr>
      </w:pPr>
      <w:r>
        <w:rPr>
          <w:rFonts w:ascii="Arial" w:cs="Arial" w:eastAsia="Arial" w:hAnsi="Arial"/>
          <w:sz w:val="20"/>
          <w:szCs w:val="20"/>
          <w:color w:val="auto"/>
        </w:rPr>
        <w:t>preparation and submission to the Board of operational reports concerning the business, marketing, capital expenditure, personnel and other operational matters of the Company;</w:t>
      </w:r>
    </w:p>
    <w:p>
      <w:pPr>
        <w:spacing w:after="0" w:line="196" w:lineRule="exact"/>
        <w:rPr>
          <w:sz w:val="20"/>
          <w:szCs w:val="20"/>
          <w:color w:val="auto"/>
        </w:rPr>
      </w:pPr>
    </w:p>
    <w:p>
      <w:pPr>
        <w:sectPr>
          <w:pgSz w:w="11900" w:h="16838" w:orient="portrait"/>
          <w:cols w:equalWidth="0" w:num="2">
            <w:col w:w="1180" w:space="180"/>
            <w:col w:w="9380"/>
          </w:cols>
          <w:pgMar w:left="400" w:top="1440" w:right="75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(bz)</w:t>
      </w:r>
    </w:p>
    <w:p>
      <w:pPr>
        <w:spacing w:after="0" w:line="20" w:lineRule="exact"/>
        <w:rPr>
          <w:sz w:val="20"/>
          <w:szCs w:val="20"/>
          <w:color w:val="auto"/>
        </w:rPr>
      </w:pPr>
      <w:r>
        <w:rPr>
          <w:sz w:val="20"/>
          <w:szCs w:val="20"/>
          <w:color w:val="auto"/>
        </w:rPr>
        <w:br w:type="column"/>
      </w:r>
    </w:p>
    <w:p>
      <w:pPr>
        <w:ind w:hanging="2"/>
        <w:spacing w:after="0" w:line="236" w:lineRule="auto"/>
        <w:rPr>
          <w:sz w:val="20"/>
          <w:szCs w:val="20"/>
          <w:color w:val="auto"/>
        </w:rPr>
      </w:pPr>
      <w:r>
        <w:rPr>
          <w:rFonts w:ascii="Arial" w:cs="Arial" w:eastAsia="Arial" w:hAnsi="Arial"/>
          <w:sz w:val="20"/>
          <w:szCs w:val="20"/>
          <w:color w:val="auto"/>
        </w:rPr>
        <w:t>within the powers delegated by the Board, negotiation, execution, amendment and implementation of business contracts and other contracts with third persons;</w:t>
      </w:r>
    </w:p>
    <w:p>
      <w:pPr>
        <w:spacing w:after="0" w:line="196" w:lineRule="exact"/>
        <w:rPr>
          <w:sz w:val="20"/>
          <w:szCs w:val="20"/>
          <w:color w:val="auto"/>
        </w:rPr>
      </w:pPr>
    </w:p>
    <w:p>
      <w:pPr>
        <w:sectPr>
          <w:pgSz w:w="11900" w:h="16838" w:orient="portrait"/>
          <w:cols w:equalWidth="0" w:num="2">
            <w:col w:w="1160" w:space="200"/>
            <w:col w:w="9380"/>
          </w:cols>
          <w:pgMar w:left="400" w:top="1440" w:right="75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(ca)</w:t>
      </w:r>
    </w:p>
    <w:p>
      <w:pPr>
        <w:spacing w:after="0" w:line="20" w:lineRule="exact"/>
        <w:rPr>
          <w:sz w:val="20"/>
          <w:szCs w:val="20"/>
          <w:color w:val="auto"/>
        </w:rPr>
      </w:pPr>
      <w:r>
        <w:rPr>
          <w:sz w:val="20"/>
          <w:szCs w:val="20"/>
          <w:color w:val="auto"/>
        </w:rPr>
        <w:br w:type="column"/>
      </w:r>
    </w:p>
    <w:p>
      <w:pPr>
        <w:jc w:val="both"/>
        <w:ind w:right="20"/>
        <w:spacing w:after="0" w:line="252" w:lineRule="auto"/>
        <w:rPr>
          <w:sz w:val="20"/>
          <w:szCs w:val="20"/>
          <w:color w:val="auto"/>
        </w:rPr>
      </w:pPr>
      <w:r>
        <w:rPr>
          <w:rFonts w:ascii="Arial" w:cs="Arial" w:eastAsia="Arial" w:hAnsi="Arial"/>
          <w:sz w:val="18"/>
          <w:szCs w:val="18"/>
          <w:color w:val="auto"/>
        </w:rPr>
        <w:t>formulation, amendment and submission to the Board of the rules and regulations required for the operation of the Company, including but not limited to internal employees management rules and regulations, confidentiality system, bonuses and welfare or benefit plans of the Company, which shall be implemented upon approval by the Board;</w:t>
      </w:r>
    </w:p>
    <w:p>
      <w:pPr>
        <w:spacing w:after="0" w:line="185" w:lineRule="exact"/>
        <w:rPr>
          <w:sz w:val="20"/>
          <w:szCs w:val="20"/>
          <w:color w:val="auto"/>
        </w:rPr>
      </w:pPr>
    </w:p>
    <w:p>
      <w:pPr>
        <w:sectPr>
          <w:pgSz w:w="11900" w:h="16838" w:orient="portrait"/>
          <w:cols w:equalWidth="0" w:num="2">
            <w:col w:w="1160" w:space="200"/>
            <w:col w:w="9380"/>
          </w:cols>
          <w:pgMar w:left="400" w:top="1440" w:right="75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(cb)</w:t>
      </w:r>
    </w:p>
    <w:p>
      <w:pPr>
        <w:spacing w:after="0" w:line="20" w:lineRule="exact"/>
        <w:rPr>
          <w:sz w:val="20"/>
          <w:szCs w:val="20"/>
          <w:color w:val="auto"/>
        </w:rPr>
      </w:pPr>
      <w:r>
        <w:rPr>
          <w:sz w:val="20"/>
          <w:szCs w:val="20"/>
          <w:color w:val="auto"/>
        </w:rPr>
        <w:br w:type="column"/>
      </w:r>
    </w:p>
    <w:p>
      <w:pPr>
        <w:jc w:val="both"/>
        <w:ind w:hanging="2"/>
        <w:spacing w:after="0" w:line="220" w:lineRule="auto"/>
        <w:rPr>
          <w:sz w:val="20"/>
          <w:szCs w:val="20"/>
          <w:color w:val="auto"/>
        </w:rPr>
      </w:pPr>
      <w:r>
        <w:rPr>
          <w:rFonts w:ascii="Arial" w:cs="Arial" w:eastAsia="Arial" w:hAnsi="Arial"/>
          <w:sz w:val="20"/>
          <w:szCs w:val="20"/>
          <w:color w:val="auto"/>
        </w:rPr>
        <w:t>suggestion to Board of the nomination and remuneration of the Senior Management Personnel (except for the General Manager), and determination of the employment, appointment and dismissal of other employees of the Company, and determination of the salaries, rewards, promotion and sanctions for employees in accordance with the Company’s employment policies;</w:t>
      </w:r>
    </w:p>
    <w:p>
      <w:pPr>
        <w:spacing w:after="0" w:line="196" w:lineRule="exact"/>
        <w:rPr>
          <w:sz w:val="20"/>
          <w:szCs w:val="20"/>
          <w:color w:val="auto"/>
        </w:rPr>
      </w:pPr>
    </w:p>
    <w:p>
      <w:pPr>
        <w:sectPr>
          <w:pgSz w:w="11900" w:h="16838" w:orient="portrait"/>
          <w:cols w:equalWidth="0" w:num="2">
            <w:col w:w="1160" w:space="200"/>
            <w:col w:w="9380"/>
          </w:cols>
          <w:pgMar w:left="400" w:top="1440" w:right="759" w:bottom="1440" w:gutter="0" w:footer="0" w:header="0"/>
          <w:type w:val="continuous"/>
        </w:sectPr>
      </w:pPr>
    </w:p>
    <w:p>
      <w:pPr>
        <w:jc w:val="both"/>
        <w:ind w:left="1360" w:right="20" w:hanging="509"/>
        <w:spacing w:after="0" w:line="227" w:lineRule="auto"/>
        <w:tabs>
          <w:tab w:leader="none" w:pos="13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preparation and submission to the Board of proposals for an organizational structure suitable for the Company’s operations, the establishment of various departments and their responsibilities and functions, which shall be implemented upon approval by the Board;</w:t>
      </w:r>
    </w:p>
    <w:p>
      <w:pPr>
        <w:spacing w:after="0" w:line="184" w:lineRule="exact"/>
        <w:rPr>
          <w:sz w:val="20"/>
          <w:szCs w:val="20"/>
          <w:color w:val="auto"/>
        </w:rPr>
      </w:pPr>
    </w:p>
    <w:p>
      <w:pPr>
        <w:ind w:left="1360" w:right="20" w:hanging="509"/>
        <w:spacing w:after="0" w:line="236" w:lineRule="auto"/>
        <w:tabs>
          <w:tab w:leader="none" w:pos="1340" w:val="left"/>
        </w:tabs>
        <w:rPr>
          <w:sz w:val="20"/>
          <w:szCs w:val="20"/>
          <w:color w:val="auto"/>
        </w:rPr>
      </w:pPr>
      <w:r>
        <w:rPr>
          <w:rFonts w:ascii="Arial" w:cs="Arial" w:eastAsia="Arial" w:hAnsi="Arial"/>
          <w:sz w:val="20"/>
          <w:szCs w:val="20"/>
          <w:color w:val="auto"/>
        </w:rPr>
        <w:t>(cd)</w:t>
        <w:tab/>
        <w:t>the daily management and direction of all the Company’s employees, including without limitation those engaged in the activities of marketing, sales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740"/>
          </w:cols>
          <w:pgMar w:left="400" w:top="1440" w:right="759" w:bottom="1440" w:gutter="0" w:footer="0" w:header="0"/>
          <w:type w:val="continuous"/>
        </w:sectPr>
      </w:pPr>
    </w:p>
    <w:bookmarkStart w:id="95" w:name="page96"/>
    <w:bookmarkEnd w:id="95"/>
    <w:p>
      <w:pPr>
        <w:spacing w:after="0" w:line="195"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and</w:t>
      </w:r>
    </w:p>
    <w:p>
      <w:pPr>
        <w:spacing w:after="0" w:line="202" w:lineRule="exact"/>
        <w:rPr>
          <w:sz w:val="20"/>
          <w:szCs w:val="20"/>
          <w:color w:val="auto"/>
        </w:rPr>
      </w:pPr>
    </w:p>
    <w:p>
      <w:pPr>
        <w:ind w:left="1360" w:right="100" w:hanging="499"/>
        <w:spacing w:after="0" w:line="236" w:lineRule="auto"/>
        <w:tabs>
          <w:tab w:leader="none" w:pos="1340" w:val="left"/>
        </w:tabs>
        <w:rPr>
          <w:sz w:val="20"/>
          <w:szCs w:val="20"/>
          <w:color w:val="auto"/>
        </w:rPr>
      </w:pPr>
      <w:r>
        <w:rPr>
          <w:rFonts w:ascii="Arial" w:cs="Arial" w:eastAsia="Arial" w:hAnsi="Arial"/>
          <w:sz w:val="20"/>
          <w:szCs w:val="20"/>
          <w:color w:val="auto"/>
        </w:rPr>
        <w:t>(ce)</w:t>
        <w:tab/>
        <w:t>all other responsibilities entrusted to him or her by the Board from time to time or necessary for the normal operation of the Company.</w:t>
      </w:r>
    </w:p>
    <w:p>
      <w:pPr>
        <w:spacing w:after="0" w:line="200" w:lineRule="exact"/>
        <w:rPr>
          <w:sz w:val="20"/>
          <w:szCs w:val="20"/>
          <w:color w:val="auto"/>
        </w:rPr>
      </w:pPr>
    </w:p>
    <w:p>
      <w:pPr>
        <w:spacing w:after="0" w:line="309" w:lineRule="exact"/>
        <w:rPr>
          <w:sz w:val="20"/>
          <w:szCs w:val="20"/>
          <w:color w:val="auto"/>
        </w:rPr>
      </w:pPr>
    </w:p>
    <w:p>
      <w:pPr>
        <w:jc w:val="center"/>
        <w:ind w:right="-359"/>
        <w:spacing w:after="0"/>
        <w:tabs>
          <w:tab w:leader="none" w:pos="180" w:val="left"/>
        </w:tabs>
        <w:rPr>
          <w:sz w:val="20"/>
          <w:szCs w:val="20"/>
          <w:color w:val="auto"/>
        </w:rPr>
      </w:pPr>
      <w:r>
        <w:rPr>
          <w:rFonts w:ascii="Arial" w:cs="Arial" w:eastAsia="Arial" w:hAnsi="Arial"/>
          <w:sz w:val="22"/>
          <w:szCs w:val="22"/>
          <w:b w:val="1"/>
          <w:bCs w:val="1"/>
          <w:color w:val="auto"/>
        </w:rPr>
        <w:t>ARTICLE 8</w:t>
        <w:tab/>
        <w:t>CONFIDENTIALITY</w:t>
      </w:r>
    </w:p>
    <w:p>
      <w:pPr>
        <w:spacing w:after="0" w:line="212"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u w:val="single" w:color="auto"/>
          <w:color w:val="auto"/>
        </w:rPr>
        <w:t>Confidentiality</w:t>
      </w:r>
    </w:p>
    <w:p>
      <w:pPr>
        <w:spacing w:after="0" w:line="299" w:lineRule="exact"/>
        <w:rPr>
          <w:sz w:val="20"/>
          <w:szCs w:val="20"/>
          <w:color w:val="auto"/>
        </w:rPr>
      </w:pPr>
    </w:p>
    <w:p>
      <w:pPr>
        <w:ind w:left="860" w:right="20"/>
        <w:spacing w:after="0" w:line="239" w:lineRule="auto"/>
        <w:rPr>
          <w:sz w:val="20"/>
          <w:szCs w:val="20"/>
          <w:color w:val="auto"/>
        </w:rPr>
      </w:pPr>
      <w:r>
        <w:rPr>
          <w:rFonts w:ascii="Arial" w:cs="Arial" w:eastAsia="Arial" w:hAnsi="Arial"/>
          <w:sz w:val="20"/>
          <w:szCs w:val="20"/>
          <w:color w:val="auto"/>
        </w:rPr>
        <w:t>Each Party shall maintain the secrecy and confidentiality of any information of the following (“</w:t>
      </w:r>
      <w:r>
        <w:rPr>
          <w:rFonts w:ascii="Arial" w:cs="Arial" w:eastAsia="Arial" w:hAnsi="Arial"/>
          <w:sz w:val="20"/>
          <w:szCs w:val="20"/>
          <w:b w:val="1"/>
          <w:bCs w:val="1"/>
          <w:color w:val="auto"/>
        </w:rPr>
        <w:t>Confidential</w:t>
      </w:r>
      <w:r>
        <w:rPr>
          <w:rFonts w:ascii="Arial" w:cs="Arial" w:eastAsia="Arial" w:hAnsi="Arial"/>
          <w:sz w:val="20"/>
          <w:szCs w:val="20"/>
          <w:color w:val="auto"/>
        </w:rPr>
        <w:t xml:space="preserve"> </w:t>
      </w:r>
      <w:r>
        <w:rPr>
          <w:rFonts w:ascii="Arial" w:cs="Arial" w:eastAsia="Arial" w:hAnsi="Arial"/>
          <w:sz w:val="20"/>
          <w:szCs w:val="20"/>
          <w:b w:val="1"/>
          <w:bCs w:val="1"/>
          <w:color w:val="auto"/>
        </w:rPr>
        <w:t>Information</w:t>
      </w:r>
      <w:r>
        <w:rPr>
          <w:rFonts w:ascii="Arial" w:cs="Arial" w:eastAsia="Arial" w:hAnsi="Arial"/>
          <w:sz w:val="20"/>
          <w:szCs w:val="20"/>
          <w:color w:val="auto"/>
        </w:rPr>
        <w:t>”):</w:t>
      </w:r>
    </w:p>
    <w:p>
      <w:pPr>
        <w:spacing w:after="0" w:line="182"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20"/>
          <w:szCs w:val="20"/>
          <w:color w:val="auto"/>
        </w:rPr>
        <w:t>(cf)</w:t>
        <w:tab/>
        <w:t>the business or asset of the Company, the other Parties or its Affiliates;</w:t>
      </w:r>
    </w:p>
    <w:p>
      <w:pPr>
        <w:spacing w:after="0" w:line="216"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20"/>
          <w:szCs w:val="20"/>
          <w:color w:val="auto"/>
        </w:rPr>
        <w:t>(cg)</w:t>
      </w:r>
      <w:r>
        <w:rPr>
          <w:sz w:val="20"/>
          <w:szCs w:val="20"/>
          <w:color w:val="auto"/>
        </w:rPr>
        <w:tab/>
      </w:r>
      <w:r>
        <w:rPr>
          <w:rFonts w:ascii="Arial" w:cs="Arial" w:eastAsia="Arial" w:hAnsi="Arial"/>
          <w:sz w:val="16"/>
          <w:szCs w:val="16"/>
          <w:color w:val="auto"/>
        </w:rPr>
        <w:t>the existence and content of this Agreement; and</w:t>
      </w:r>
    </w:p>
    <w:p>
      <w:pPr>
        <w:spacing w:after="0" w:line="216"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20"/>
          <w:szCs w:val="20"/>
          <w:color w:val="auto"/>
        </w:rPr>
        <w:t>(ch)</w:t>
      </w:r>
      <w:r>
        <w:rPr>
          <w:sz w:val="20"/>
          <w:szCs w:val="20"/>
          <w:color w:val="auto"/>
        </w:rPr>
        <w:tab/>
      </w:r>
      <w:r>
        <w:rPr>
          <w:rFonts w:ascii="Arial" w:cs="Arial" w:eastAsia="Arial" w:hAnsi="Arial"/>
          <w:sz w:val="18"/>
          <w:szCs w:val="18"/>
          <w:color w:val="auto"/>
        </w:rPr>
        <w:t>all information provided by the other Party pursuant to this Agreement.</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Each of the Parties and the Company receiving Confidential Information shall:</w:t>
      </w:r>
    </w:p>
    <w:p>
      <w:pPr>
        <w:spacing w:after="0" w:line="216" w:lineRule="exact"/>
        <w:rPr>
          <w:sz w:val="20"/>
          <w:szCs w:val="20"/>
          <w:color w:val="auto"/>
        </w:rPr>
      </w:pPr>
    </w:p>
    <w:p>
      <w:pPr>
        <w:ind w:left="1360" w:right="20" w:hanging="509"/>
        <w:spacing w:after="0" w:line="236" w:lineRule="auto"/>
        <w:tabs>
          <w:tab w:leader="none" w:pos="1353" w:val="left"/>
        </w:tabs>
        <w:numPr>
          <w:ilvl w:val="0"/>
          <w:numId w:val="57"/>
        </w:numPr>
        <w:rPr>
          <w:rFonts w:ascii="Arial" w:cs="Arial" w:eastAsia="Arial" w:hAnsi="Arial"/>
          <w:sz w:val="20"/>
          <w:szCs w:val="20"/>
          <w:color w:val="auto"/>
        </w:rPr>
      </w:pPr>
      <w:r>
        <w:rPr>
          <w:rFonts w:ascii="Arial" w:cs="Arial" w:eastAsia="Arial" w:hAnsi="Arial"/>
          <w:sz w:val="20"/>
          <w:szCs w:val="20"/>
          <w:color w:val="auto"/>
        </w:rPr>
        <w:t>limit the access to the Confidential Information to only such directors, senior management personnel and employees as are necessary for the implementation of this Agreement;</w:t>
      </w:r>
    </w:p>
    <w:p>
      <w:pPr>
        <w:spacing w:after="0" w:line="195" w:lineRule="exact"/>
        <w:rPr>
          <w:rFonts w:ascii="Arial" w:cs="Arial" w:eastAsia="Arial" w:hAnsi="Arial"/>
          <w:sz w:val="20"/>
          <w:szCs w:val="20"/>
          <w:color w:val="auto"/>
        </w:rPr>
      </w:pPr>
    </w:p>
    <w:p>
      <w:pPr>
        <w:ind w:left="1360" w:hanging="509"/>
        <w:spacing w:after="0"/>
        <w:tabs>
          <w:tab w:leader="none" w:pos="1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not disclose, directly or indirectly, any Confidential Information to any third Person; and</w:t>
      </w:r>
    </w:p>
    <w:p>
      <w:pPr>
        <w:spacing w:after="0" w:line="215" w:lineRule="exact"/>
        <w:rPr>
          <w:rFonts w:ascii="Arial" w:cs="Arial" w:eastAsia="Arial" w:hAnsi="Arial"/>
          <w:sz w:val="20"/>
          <w:szCs w:val="20"/>
          <w:color w:val="auto"/>
        </w:rPr>
      </w:pPr>
    </w:p>
    <w:p>
      <w:pPr>
        <w:ind w:left="1360" w:right="20" w:hanging="509"/>
        <w:spacing w:after="0" w:line="229" w:lineRule="auto"/>
        <w:tabs>
          <w:tab w:leader="none" w:pos="1353"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not use any Confidential Information for any purpose other than for the implementation of this Agreement or any ancillary contracts or agreements hereto.</w:t>
      </w:r>
    </w:p>
    <w:p>
      <w:pPr>
        <w:spacing w:after="0" w:line="196" w:lineRule="exact"/>
        <w:rPr>
          <w:sz w:val="20"/>
          <w:szCs w:val="20"/>
          <w:color w:val="auto"/>
        </w:rPr>
      </w:pPr>
    </w:p>
    <w:p>
      <w:pPr>
        <w:ind w:left="860"/>
        <w:spacing w:after="0" w:line="257" w:lineRule="auto"/>
        <w:rPr>
          <w:sz w:val="20"/>
          <w:szCs w:val="20"/>
          <w:color w:val="auto"/>
        </w:rPr>
      </w:pPr>
      <w:r>
        <w:rPr>
          <w:rFonts w:ascii="Arial" w:cs="Arial" w:eastAsia="Arial" w:hAnsi="Arial"/>
          <w:sz w:val="19"/>
          <w:szCs w:val="19"/>
          <w:color w:val="auto"/>
        </w:rPr>
        <w:t>Except for situations set forth in Section 8.2, none of the Parties may use or disclose any Confidential Information to any third party for its own business purpose or other purposes without the other Party’s prior written consent.</w:t>
      </w:r>
    </w:p>
    <w:p>
      <w:pPr>
        <w:spacing w:after="0" w:line="175"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6"/>
          <w:szCs w:val="16"/>
          <w:u w:val="single" w:color="auto"/>
          <w:color w:val="auto"/>
        </w:rPr>
        <w:t>Exceptions</w:t>
      </w:r>
    </w:p>
    <w:p>
      <w:pPr>
        <w:spacing w:after="0" w:line="30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confidentiality obligations under Section 8.1 above shall not apply to:</w:t>
      </w:r>
    </w:p>
    <w:p>
      <w:pPr>
        <w:spacing w:after="0" w:line="202"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18"/>
          <w:szCs w:val="18"/>
          <w:color w:val="auto"/>
        </w:rPr>
        <w:t>(ci)</w:t>
        <w:tab/>
        <w:t>confidential communications to the Parties’ respective Affiliates, directors, senior management personnel, employees,</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agents, professional advisors or financing party that are under an equivalent confidentiality obligation necessary for</w:t>
      </w:r>
    </w:p>
    <w:p>
      <w:pPr>
        <w:ind w:left="1360"/>
        <w:spacing w:after="0"/>
        <w:rPr>
          <w:sz w:val="20"/>
          <w:szCs w:val="20"/>
          <w:color w:val="auto"/>
        </w:rPr>
      </w:pPr>
      <w:r>
        <w:rPr>
          <w:rFonts w:ascii="Arial" w:cs="Arial" w:eastAsia="Arial" w:hAnsi="Arial"/>
          <w:sz w:val="20"/>
          <w:szCs w:val="20"/>
          <w:color w:val="auto"/>
        </w:rPr>
        <w:t>the implementation of this Agreement of a Party;</w:t>
      </w:r>
    </w:p>
    <w:p>
      <w:pPr>
        <w:spacing w:after="0" w:line="186"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18"/>
          <w:szCs w:val="18"/>
          <w:color w:val="auto"/>
        </w:rPr>
        <w:t>(cj)</w:t>
        <w:tab/>
        <w:t>disclosure required to be made by applicable law; provided, however, that the Party subject to such requirement shall</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promptly notify the Party who disclosed the Confidential Information of such requirement to the extent of practically</w:t>
      </w:r>
    </w:p>
    <w:p>
      <w:pPr>
        <w:ind w:left="1360"/>
        <w:spacing w:after="0"/>
        <w:rPr>
          <w:sz w:val="20"/>
          <w:szCs w:val="20"/>
          <w:color w:val="auto"/>
        </w:rPr>
      </w:pPr>
      <w:r>
        <w:rPr>
          <w:rFonts w:ascii="Arial" w:cs="Arial" w:eastAsia="Arial" w:hAnsi="Arial"/>
          <w:sz w:val="20"/>
          <w:szCs w:val="20"/>
          <w:color w:val="auto"/>
        </w:rPr>
        <w:t>permissible and gives it reasonable opportunity to oppose such disclosure;</w:t>
      </w:r>
    </w:p>
    <w:p>
      <w:pPr>
        <w:spacing w:after="0" w:line="186"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20"/>
          <w:szCs w:val="20"/>
          <w:color w:val="auto"/>
        </w:rPr>
        <w:t>(ck)</w:t>
      </w:r>
      <w:r>
        <w:rPr>
          <w:sz w:val="20"/>
          <w:szCs w:val="20"/>
          <w:color w:val="auto"/>
        </w:rPr>
        <w:tab/>
      </w:r>
      <w:r>
        <w:rPr>
          <w:rFonts w:ascii="Arial" w:cs="Arial" w:eastAsia="Arial" w:hAnsi="Arial"/>
          <w:sz w:val="18"/>
          <w:szCs w:val="18"/>
          <w:color w:val="auto"/>
        </w:rPr>
        <w:t>information which has become public knowledge through no fault of any Party or the Company; and</w:t>
      </w:r>
    </w:p>
    <w:p>
      <w:pPr>
        <w:spacing w:after="0" w:line="227"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18"/>
          <w:szCs w:val="18"/>
          <w:color w:val="auto"/>
        </w:rPr>
        <w:t>(cl)</w:t>
        <w:tab/>
        <w:t>any information which was disclosed to the receiving party in good faith by a third Person who is not subject to any</w:t>
      </w:r>
    </w:p>
    <w:p>
      <w:pPr>
        <w:ind w:left="1360"/>
        <w:spacing w:after="0"/>
        <w:rPr>
          <w:sz w:val="20"/>
          <w:szCs w:val="20"/>
          <w:color w:val="auto"/>
        </w:rPr>
      </w:pPr>
      <w:r>
        <w:rPr>
          <w:rFonts w:ascii="Arial" w:cs="Arial" w:eastAsia="Arial" w:hAnsi="Arial"/>
          <w:sz w:val="20"/>
          <w:szCs w:val="20"/>
          <w:color w:val="auto"/>
        </w:rPr>
        <w:t>confidentiality obligation.</w:t>
      </w:r>
    </w:p>
    <w:p>
      <w:pPr>
        <w:sectPr>
          <w:pgSz w:w="11900" w:h="16838" w:orient="portrait"/>
          <w:cols w:equalWidth="0" w:num="1">
            <w:col w:w="10740"/>
          </w:cols>
          <w:pgMar w:left="40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740"/>
          </w:cols>
          <w:pgMar w:left="400" w:top="1440" w:right="759" w:bottom="1440" w:gutter="0" w:footer="0" w:header="0"/>
          <w:type w:val="continuous"/>
        </w:sectPr>
      </w:pPr>
    </w:p>
    <w:bookmarkStart w:id="96" w:name="page97"/>
    <w:bookmarkEnd w:id="96"/>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6"/>
          <w:szCs w:val="16"/>
          <w:u w:val="single" w:color="auto"/>
          <w:color w:val="auto"/>
        </w:rPr>
        <w:t>Measures of Protection</w:t>
      </w:r>
    </w:p>
    <w:p>
      <w:pPr>
        <w:spacing w:after="0" w:line="3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(cm)  Each of the Parties and the Company shall advise its directors, senior management personnel, employees, agents,</w:t>
      </w:r>
    </w:p>
    <w:p>
      <w:pPr>
        <w:spacing w:after="0" w:line="12" w:lineRule="exact"/>
        <w:rPr>
          <w:sz w:val="20"/>
          <w:szCs w:val="20"/>
          <w:color w:val="auto"/>
        </w:rPr>
      </w:pPr>
    </w:p>
    <w:p>
      <w:pPr>
        <w:ind w:left="1360"/>
        <w:spacing w:after="0" w:line="215" w:lineRule="auto"/>
        <w:rPr>
          <w:sz w:val="20"/>
          <w:szCs w:val="20"/>
          <w:color w:val="auto"/>
        </w:rPr>
      </w:pPr>
      <w:r>
        <w:rPr>
          <w:rFonts w:ascii="Arial" w:cs="Arial" w:eastAsia="Arial" w:hAnsi="Arial"/>
          <w:sz w:val="19"/>
          <w:szCs w:val="19"/>
          <w:color w:val="auto"/>
        </w:rPr>
        <w:t>professional advisors or financing party having access to any Confidential Information of the existence and the requirements of Section 8.1 and shall formulate rules and regulations to cause its directors, senior management</w:t>
      </w:r>
    </w:p>
    <w:p>
      <w:pPr>
        <w:ind w:left="1360"/>
        <w:spacing w:after="0" w:line="222" w:lineRule="auto"/>
        <w:rPr>
          <w:sz w:val="20"/>
          <w:szCs w:val="20"/>
          <w:color w:val="auto"/>
        </w:rPr>
      </w:pPr>
      <w:r>
        <w:rPr>
          <w:rFonts w:ascii="Arial" w:cs="Arial" w:eastAsia="Arial" w:hAnsi="Arial"/>
          <w:sz w:val="19"/>
          <w:szCs w:val="19"/>
          <w:color w:val="auto"/>
        </w:rPr>
        <w:t>personnel, employees, agents, professional advisors or financing party and the directors, senior management</w:t>
      </w:r>
    </w:p>
    <w:p>
      <w:pPr>
        <w:ind w:left="1360"/>
        <w:spacing w:after="0" w:line="226" w:lineRule="auto"/>
        <w:rPr>
          <w:sz w:val="20"/>
          <w:szCs w:val="20"/>
          <w:color w:val="auto"/>
        </w:rPr>
      </w:pPr>
      <w:r>
        <w:rPr>
          <w:rFonts w:ascii="Arial" w:cs="Arial" w:eastAsia="Arial" w:hAnsi="Arial"/>
          <w:sz w:val="18"/>
          <w:szCs w:val="18"/>
          <w:color w:val="auto"/>
        </w:rPr>
        <w:t>personnel, employees, agents, professional advisors or financing party of its Affiliates to comply with the confidentiality obligations set forth in Section 8.1. Each of the Parties and the Company shall sign a confidentiality</w:t>
      </w:r>
    </w:p>
    <w:p>
      <w:pPr>
        <w:ind w:left="1360"/>
        <w:spacing w:after="0" w:line="236" w:lineRule="auto"/>
        <w:rPr>
          <w:sz w:val="20"/>
          <w:szCs w:val="20"/>
          <w:color w:val="auto"/>
        </w:rPr>
      </w:pPr>
      <w:r>
        <w:rPr>
          <w:rFonts w:ascii="Arial" w:cs="Arial" w:eastAsia="Arial" w:hAnsi="Arial"/>
          <w:sz w:val="18"/>
          <w:szCs w:val="18"/>
          <w:color w:val="auto"/>
        </w:rPr>
        <w:t>agreement with each of its directors, senior management personnel, employees, agents, professional advisors or</w:t>
      </w:r>
    </w:p>
    <w:p>
      <w:pPr>
        <w:spacing w:after="0" w:line="1" w:lineRule="exact"/>
        <w:rPr>
          <w:sz w:val="20"/>
          <w:szCs w:val="20"/>
          <w:color w:val="auto"/>
        </w:rPr>
      </w:pPr>
    </w:p>
    <w:p>
      <w:pPr>
        <w:ind w:left="1360"/>
        <w:spacing w:after="0" w:line="226" w:lineRule="auto"/>
        <w:rPr>
          <w:sz w:val="20"/>
          <w:szCs w:val="20"/>
          <w:color w:val="auto"/>
        </w:rPr>
      </w:pPr>
      <w:r>
        <w:rPr>
          <w:rFonts w:ascii="Arial" w:cs="Arial" w:eastAsia="Arial" w:hAnsi="Arial"/>
          <w:sz w:val="18"/>
          <w:szCs w:val="18"/>
          <w:color w:val="auto"/>
        </w:rPr>
        <w:t>financing party who may have access to any Confidential Information (confidentiality clauses in executed labor contracts, agency contracts, subcontracts or any other contracts or agreements with such personnel, which cover the</w:t>
      </w:r>
    </w:p>
    <w:p>
      <w:pPr>
        <w:spacing w:after="0" w:line="2"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Confidential Information, shall be considered as having executed such confidentiality agreement).</w:t>
      </w:r>
    </w:p>
    <w:p>
      <w:pPr>
        <w:spacing w:after="0" w:line="200" w:lineRule="exact"/>
        <w:rPr>
          <w:sz w:val="20"/>
          <w:szCs w:val="20"/>
          <w:color w:val="auto"/>
        </w:rPr>
      </w:pPr>
    </w:p>
    <w:p>
      <w:pPr>
        <w:jc w:val="both"/>
        <w:ind w:left="1360" w:hanging="509"/>
        <w:spacing w:after="0" w:line="236" w:lineRule="auto"/>
        <w:tabs>
          <w:tab w:leader="none" w:pos="1340" w:val="left"/>
        </w:tabs>
        <w:rPr>
          <w:sz w:val="20"/>
          <w:szCs w:val="20"/>
          <w:color w:val="auto"/>
        </w:rPr>
      </w:pPr>
      <w:r>
        <w:rPr>
          <w:rFonts w:ascii="Arial" w:cs="Arial" w:eastAsia="Arial" w:hAnsi="Arial"/>
          <w:sz w:val="20"/>
          <w:szCs w:val="20"/>
          <w:color w:val="auto"/>
        </w:rPr>
        <w:t>(cn)</w:t>
      </w:r>
      <w:r>
        <w:rPr>
          <w:sz w:val="20"/>
          <w:szCs w:val="20"/>
          <w:color w:val="auto"/>
        </w:rPr>
        <w:tab/>
      </w:r>
      <w:r>
        <w:rPr>
          <w:rFonts w:ascii="Arial" w:cs="Arial" w:eastAsia="Arial" w:hAnsi="Arial"/>
          <w:sz w:val="18"/>
          <w:szCs w:val="18"/>
          <w:color w:val="auto"/>
        </w:rPr>
        <w:t>In addition, without prejudice to the generality of the provisions of Section 8.1 above, each of the appointees or nominees to the Company from each Party (including without limitation the Chairman and Directors) shall not use or</w:t>
      </w:r>
    </w:p>
    <w:p>
      <w:pPr>
        <w:ind w:left="1360"/>
        <w:spacing w:after="0" w:line="222" w:lineRule="auto"/>
        <w:rPr>
          <w:sz w:val="20"/>
          <w:szCs w:val="20"/>
          <w:color w:val="auto"/>
        </w:rPr>
      </w:pPr>
      <w:r>
        <w:rPr>
          <w:rFonts w:ascii="Arial" w:cs="Arial" w:eastAsia="Arial" w:hAnsi="Arial"/>
          <w:sz w:val="19"/>
          <w:szCs w:val="19"/>
          <w:color w:val="auto"/>
        </w:rPr>
        <w:t>disclose any Confidential Information which may become known to him or her in his or her involvement in the</w:t>
      </w:r>
    </w:p>
    <w:p>
      <w:pPr>
        <w:spacing w:after="0" w:line="1" w:lineRule="exact"/>
        <w:rPr>
          <w:sz w:val="20"/>
          <w:szCs w:val="20"/>
          <w:color w:val="auto"/>
        </w:rPr>
      </w:pPr>
    </w:p>
    <w:p>
      <w:pPr>
        <w:ind w:left="1360" w:right="20"/>
        <w:spacing w:after="0" w:line="220" w:lineRule="auto"/>
        <w:rPr>
          <w:sz w:val="20"/>
          <w:szCs w:val="20"/>
          <w:color w:val="auto"/>
        </w:rPr>
      </w:pPr>
      <w:r>
        <w:rPr>
          <w:rFonts w:ascii="Arial" w:cs="Arial" w:eastAsia="Arial" w:hAnsi="Arial"/>
          <w:sz w:val="20"/>
          <w:szCs w:val="20"/>
          <w:color w:val="auto"/>
        </w:rPr>
        <w:t>investments or investment decisions or business activities relating to the Party which appointed or recommended him or her or any of its Affiliates.</w:t>
      </w:r>
    </w:p>
    <w:p>
      <w:pPr>
        <w:spacing w:after="0" w:line="192"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6"/>
          <w:szCs w:val="16"/>
          <w:u w:val="single" w:color="auto"/>
          <w:color w:val="auto"/>
        </w:rPr>
        <w:t>Breach</w:t>
      </w:r>
    </w:p>
    <w:p>
      <w:pPr>
        <w:spacing w:after="0" w:line="292" w:lineRule="exact"/>
        <w:rPr>
          <w:sz w:val="20"/>
          <w:szCs w:val="20"/>
          <w:color w:val="auto"/>
        </w:rPr>
      </w:pPr>
    </w:p>
    <w:p>
      <w:pPr>
        <w:jc w:val="both"/>
        <w:ind w:left="860"/>
        <w:spacing w:after="0" w:line="244" w:lineRule="auto"/>
        <w:rPr>
          <w:sz w:val="20"/>
          <w:szCs w:val="20"/>
          <w:color w:val="auto"/>
        </w:rPr>
      </w:pPr>
      <w:r>
        <w:rPr>
          <w:rFonts w:ascii="Arial" w:cs="Arial" w:eastAsia="Arial" w:hAnsi="Arial"/>
          <w:sz w:val="18"/>
          <w:szCs w:val="18"/>
          <w:color w:val="auto"/>
        </w:rPr>
        <w:t>If, without the prior written consent of the Party providing the Confidential Information or the Company, any Party discloses or permits or allows to be disclosed any Confidential Information to any unauthorized third Person, such Party shall be in</w:t>
      </w:r>
    </w:p>
    <w:p>
      <w:pPr>
        <w:jc w:val="both"/>
        <w:ind w:left="860"/>
        <w:spacing w:after="0" w:line="220" w:lineRule="auto"/>
        <w:rPr>
          <w:sz w:val="20"/>
          <w:szCs w:val="20"/>
          <w:color w:val="auto"/>
        </w:rPr>
      </w:pPr>
      <w:r>
        <w:rPr>
          <w:rFonts w:ascii="Arial" w:cs="Arial" w:eastAsia="Arial" w:hAnsi="Arial"/>
          <w:sz w:val="20"/>
          <w:szCs w:val="20"/>
          <w:color w:val="auto"/>
        </w:rPr>
        <w:t>breach of this Agreement and shall indemnify and hold the other Party and/or the Company thus affected harmless in accordance with applicable law and this Agreement.</w:t>
      </w:r>
    </w:p>
    <w:p>
      <w:pPr>
        <w:spacing w:after="0" w:line="192"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Survival</w:t>
      </w:r>
    </w:p>
    <w:p>
      <w:pPr>
        <w:spacing w:after="0" w:line="305" w:lineRule="exact"/>
        <w:rPr>
          <w:sz w:val="20"/>
          <w:szCs w:val="20"/>
          <w:color w:val="auto"/>
        </w:rPr>
      </w:pPr>
    </w:p>
    <w:p>
      <w:pPr>
        <w:jc w:val="both"/>
        <w:ind w:left="860" w:right="20"/>
        <w:spacing w:after="0" w:line="223" w:lineRule="auto"/>
        <w:rPr>
          <w:sz w:val="20"/>
          <w:szCs w:val="20"/>
          <w:color w:val="auto"/>
        </w:rPr>
      </w:pPr>
      <w:r>
        <w:rPr>
          <w:rFonts w:ascii="Arial" w:cs="Arial" w:eastAsia="Arial" w:hAnsi="Arial"/>
          <w:sz w:val="19"/>
          <w:szCs w:val="19"/>
          <w:color w:val="auto"/>
        </w:rPr>
        <w:t>The provisions and obligations under this Article 8 shall survive within two (2) years of the expiry or termination of this Agreement, and shall continue to be binding on the Parties, the Company and their respective permitted assigns and</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successors.</w:t>
      </w:r>
    </w:p>
    <w:p>
      <w:pPr>
        <w:spacing w:after="0" w:line="200" w:lineRule="exact"/>
        <w:rPr>
          <w:sz w:val="20"/>
          <w:szCs w:val="20"/>
          <w:color w:val="auto"/>
        </w:rPr>
      </w:pPr>
    </w:p>
    <w:p>
      <w:pPr>
        <w:spacing w:after="0" w:line="232"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ARTICLE 9 FINANCE, AUDIT AND DISTRIBUTION OF PROFIT</w:t>
      </w:r>
    </w:p>
    <w:p>
      <w:pPr>
        <w:spacing w:after="0" w:line="212"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8"/>
          <w:szCs w:val="18"/>
          <w:u w:val="single" w:color="auto"/>
          <w:color w:val="auto"/>
        </w:rPr>
        <w:t>Financial and Accounting System</w:t>
      </w:r>
    </w:p>
    <w:p>
      <w:pPr>
        <w:spacing w:after="0" w:line="305" w:lineRule="exact"/>
        <w:rPr>
          <w:sz w:val="20"/>
          <w:szCs w:val="20"/>
          <w:color w:val="auto"/>
        </w:rPr>
      </w:pPr>
    </w:p>
    <w:p>
      <w:pPr>
        <w:jc w:val="both"/>
        <w:ind w:left="1360" w:right="20" w:hanging="509"/>
        <w:spacing w:after="0" w:line="236" w:lineRule="auto"/>
        <w:tabs>
          <w:tab w:leader="none" w:pos="1340" w:val="left"/>
        </w:tabs>
        <w:rPr>
          <w:sz w:val="20"/>
          <w:szCs w:val="20"/>
          <w:color w:val="auto"/>
        </w:rPr>
      </w:pPr>
      <w:r>
        <w:rPr>
          <w:rFonts w:ascii="Arial" w:cs="Arial" w:eastAsia="Arial" w:hAnsi="Arial"/>
          <w:sz w:val="20"/>
          <w:szCs w:val="20"/>
          <w:color w:val="auto"/>
        </w:rPr>
        <w:t>(co)</w:t>
        <w:tab/>
        <w:t>The Company shall establish its financial and accounting systems in accordance with the PRC Accounting System and other applicable PRC Laws, which shall be submitted to the Board for approval.</w:t>
      </w:r>
    </w:p>
    <w:p>
      <w:pPr>
        <w:spacing w:after="0" w:line="182" w:lineRule="exact"/>
        <w:rPr>
          <w:sz w:val="20"/>
          <w:szCs w:val="20"/>
          <w:color w:val="auto"/>
        </w:rPr>
      </w:pPr>
    </w:p>
    <w:p>
      <w:pPr>
        <w:jc w:val="both"/>
        <w:ind w:left="1360" w:right="20" w:hanging="509"/>
        <w:spacing w:after="0" w:line="227" w:lineRule="auto"/>
        <w:tabs>
          <w:tab w:leader="none" w:pos="1340" w:val="left"/>
        </w:tabs>
        <w:rPr>
          <w:sz w:val="20"/>
          <w:szCs w:val="20"/>
          <w:color w:val="auto"/>
        </w:rPr>
      </w:pPr>
      <w:r>
        <w:rPr>
          <w:rFonts w:ascii="Arial" w:cs="Arial" w:eastAsia="Arial" w:hAnsi="Arial"/>
          <w:sz w:val="20"/>
          <w:szCs w:val="20"/>
          <w:color w:val="auto"/>
        </w:rPr>
        <w:t>(cp)</w:t>
        <w:tab/>
        <w:t>The Company shall adopt the accrual basis and debit and credit method for bookkeeping and shall separately prepare complete and accurate monthly, quarterly and annual financial statements in accordance with the PRC Accounting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0740"/>
          </w:cols>
          <w:pgMar w:left="400" w:top="1440" w:right="759" w:bottom="1440" w:gutter="0" w:footer="0" w:header="0"/>
        </w:sectPr>
      </w:pPr>
    </w:p>
    <w:bookmarkStart w:id="97" w:name="page98"/>
    <w:bookmarkEnd w:id="97"/>
    <w:p>
      <w:pPr>
        <w:spacing w:after="0" w:line="200" w:lineRule="exact"/>
        <w:rPr>
          <w:sz w:val="20"/>
          <w:szCs w:val="20"/>
          <w:color w:val="auto"/>
        </w:rPr>
      </w:pPr>
    </w:p>
    <w:p>
      <w:pPr>
        <w:spacing w:after="0" w:line="23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adopt the Gregorian calendar year as its fiscal year, commencing on January 1 and ending on</w:t>
      </w:r>
    </w:p>
    <w:p>
      <w:pPr>
        <w:spacing w:after="0" w:line="43" w:lineRule="exact"/>
        <w:rPr>
          <w:sz w:val="20"/>
          <w:szCs w:val="20"/>
          <w:color w:val="auto"/>
        </w:rPr>
      </w:pPr>
    </w:p>
    <w:p>
      <w:pPr>
        <w:sectPr>
          <w:pgSz w:w="11900" w:h="16838" w:orient="portrait"/>
          <w:cols w:equalWidth="0" w:num="2">
            <w:col w:w="1160" w:space="200"/>
            <w:col w:w="9380"/>
          </w:cols>
          <w:pgMar w:left="400" w:top="1440" w:right="759" w:bottom="1440" w:gutter="0" w:footer="0" w:header="0"/>
        </w:sectPr>
      </w:pPr>
    </w:p>
    <w:p>
      <w:pPr>
        <w:ind w:left="1360" w:right="20"/>
        <w:spacing w:after="0" w:line="211" w:lineRule="auto"/>
        <w:rPr>
          <w:sz w:val="20"/>
          <w:szCs w:val="20"/>
          <w:color w:val="auto"/>
        </w:rPr>
      </w:pPr>
      <w:r>
        <w:rPr>
          <w:rFonts w:ascii="Arial" w:cs="Arial" w:eastAsia="Arial" w:hAnsi="Arial"/>
          <w:sz w:val="20"/>
          <w:szCs w:val="20"/>
          <w:color w:val="auto"/>
        </w:rPr>
        <w:t>December 31 of each year. The first fiscal year of the Company shall begin on the Establishment Date and end on December 31 of the same year.</w:t>
      </w:r>
    </w:p>
    <w:p>
      <w:pPr>
        <w:sectPr>
          <w:pgSz w:w="11900" w:h="16838" w:orient="portrait"/>
          <w:cols w:equalWidth="0" w:num="1">
            <w:col w:w="10740"/>
          </w:cols>
          <w:pgMar w:left="400" w:top="1440" w:right="759" w:bottom="1440" w:gutter="0" w:footer="0" w:header="0"/>
          <w:type w:val="continuous"/>
        </w:sectPr>
      </w:pPr>
    </w:p>
    <w:p>
      <w:pPr>
        <w:spacing w:after="0" w:line="19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Renminbi shall be the Company’s bookkeeping currency. For cash, bank deposits, funds, credits and debts, gains and</w:t>
      </w:r>
    </w:p>
    <w:p>
      <w:pPr>
        <w:spacing w:after="0" w:line="65" w:lineRule="exact"/>
        <w:rPr>
          <w:sz w:val="20"/>
          <w:szCs w:val="20"/>
          <w:color w:val="auto"/>
        </w:rPr>
      </w:pPr>
    </w:p>
    <w:p>
      <w:pPr>
        <w:sectPr>
          <w:pgSz w:w="11900" w:h="16838" w:orient="portrait"/>
          <w:cols w:equalWidth="0" w:num="2">
            <w:col w:w="1140" w:space="220"/>
            <w:col w:w="9380"/>
          </w:cols>
          <w:pgMar w:left="400" w:top="1440" w:right="759" w:bottom="1440" w:gutter="0" w:footer="0" w:header="0"/>
          <w:type w:val="continuous"/>
        </w:sectPr>
      </w:pPr>
    </w:p>
    <w:p>
      <w:pPr>
        <w:ind w:left="1360" w:right="20"/>
        <w:spacing w:after="0" w:line="204" w:lineRule="auto"/>
        <w:rPr>
          <w:sz w:val="20"/>
          <w:szCs w:val="20"/>
          <w:color w:val="auto"/>
        </w:rPr>
      </w:pPr>
      <w:r>
        <w:rPr>
          <w:rFonts w:ascii="Arial" w:cs="Arial" w:eastAsia="Arial" w:hAnsi="Arial"/>
          <w:sz w:val="20"/>
          <w:szCs w:val="20"/>
          <w:color w:val="auto"/>
        </w:rPr>
        <w:t>expenses that are not in Renminbi, the Company shall also enter the currencies actually paid and received in its bookkeeping.</w:t>
      </w:r>
    </w:p>
    <w:p>
      <w:pPr>
        <w:sectPr>
          <w:pgSz w:w="11900" w:h="16838" w:orient="portrait"/>
          <w:cols w:equalWidth="0" w:num="1">
            <w:col w:w="10740"/>
          </w:cols>
          <w:pgMar w:left="400" w:top="1440" w:right="759" w:bottom="1440" w:gutter="0" w:footer="0" w:header="0"/>
          <w:type w:val="continuous"/>
        </w:sectPr>
      </w:pPr>
    </w:p>
    <w:p>
      <w:pPr>
        <w:spacing w:after="0" w:line="20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depreciation period of the fixed assets of the Company shall be decided by the Board in accordance with the then</w:t>
      </w:r>
    </w:p>
    <w:p>
      <w:pPr>
        <w:spacing w:after="0" w:line="66" w:lineRule="exact"/>
        <w:rPr>
          <w:sz w:val="20"/>
          <w:szCs w:val="20"/>
          <w:color w:val="auto"/>
        </w:rPr>
      </w:pPr>
    </w:p>
    <w:p>
      <w:pPr>
        <w:sectPr>
          <w:pgSz w:w="11900" w:h="16838" w:orient="portrait"/>
          <w:cols w:equalWidth="0" w:num="2">
            <w:col w:w="1140" w:space="220"/>
            <w:col w:w="9380"/>
          </w:cols>
          <w:pgMar w:left="400" w:top="1440" w:right="75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applicable PRC Laws.</w:t>
      </w:r>
    </w:p>
    <w:p>
      <w:pPr>
        <w:sectPr>
          <w:pgSz w:w="11900" w:h="16838" w:orient="portrait"/>
          <w:cols w:equalWidth="0" w:num="1">
            <w:col w:w="10740"/>
          </w:cols>
          <w:pgMar w:left="400" w:top="1440" w:right="759" w:bottom="1440" w:gutter="0" w:footer="0" w:header="0"/>
          <w:type w:val="continuous"/>
        </w:sectPr>
      </w:pPr>
    </w:p>
    <w:p>
      <w:pPr>
        <w:spacing w:after="0" w:line="263"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Auditing</w:t>
      </w:r>
    </w:p>
    <w:p>
      <w:pPr>
        <w:spacing w:after="0" w:line="292" w:lineRule="exact"/>
        <w:rPr>
          <w:sz w:val="20"/>
          <w:szCs w:val="20"/>
          <w:color w:val="auto"/>
        </w:rPr>
      </w:pPr>
    </w:p>
    <w:p>
      <w:pPr>
        <w:ind w:left="860"/>
        <w:spacing w:after="0" w:line="244" w:lineRule="auto"/>
        <w:rPr>
          <w:sz w:val="20"/>
          <w:szCs w:val="20"/>
          <w:color w:val="auto"/>
        </w:rPr>
      </w:pPr>
      <w:r>
        <w:rPr>
          <w:rFonts w:ascii="Arial" w:cs="Arial" w:eastAsia="Arial" w:hAnsi="Arial"/>
          <w:sz w:val="18"/>
          <w:szCs w:val="18"/>
          <w:color w:val="auto"/>
        </w:rPr>
        <w:t>The Company shall hire a Big Four accounting firm (Deloitte, Ernst &amp; Young, KPMG or PwC) with securities business qualifications in the PRC as its external auditor for annual auditing. The external auditor shall audit the Company’s accounts</w:t>
      </w:r>
    </w:p>
    <w:p>
      <w:pPr>
        <w:ind w:left="860" w:right="20"/>
        <w:spacing w:after="0" w:line="226" w:lineRule="auto"/>
        <w:rPr>
          <w:sz w:val="20"/>
          <w:szCs w:val="20"/>
          <w:color w:val="auto"/>
        </w:rPr>
      </w:pPr>
      <w:r>
        <w:rPr>
          <w:rFonts w:ascii="Arial" w:cs="Arial" w:eastAsia="Arial" w:hAnsi="Arial"/>
          <w:sz w:val="18"/>
          <w:szCs w:val="18"/>
          <w:color w:val="auto"/>
        </w:rPr>
        <w:t>and issue an audit report in accordance with the PRC Accounting System, which shall be submitted by the Company to the Board for approval. the Company shall provide the external auditor with all documents and books necessary for the external</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auditing.</w:t>
      </w:r>
    </w:p>
    <w:p>
      <w:pPr>
        <w:spacing w:after="0" w:line="195"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8"/>
          <w:szCs w:val="18"/>
          <w:u w:val="single" w:color="auto"/>
          <w:color w:val="auto"/>
        </w:rPr>
        <w:t>Information and Inspection Rights</w:t>
      </w:r>
    </w:p>
    <w:p>
      <w:pPr>
        <w:spacing w:after="0" w:line="292" w:lineRule="exact"/>
        <w:rPr>
          <w:sz w:val="20"/>
          <w:szCs w:val="20"/>
          <w:color w:val="auto"/>
        </w:rPr>
      </w:pPr>
    </w:p>
    <w:p>
      <w:pPr>
        <w:jc w:val="right"/>
        <w:ind w:left="860" w:right="20"/>
        <w:spacing w:after="0" w:line="231" w:lineRule="auto"/>
        <w:rPr>
          <w:sz w:val="20"/>
          <w:szCs w:val="20"/>
          <w:color w:val="auto"/>
        </w:rPr>
      </w:pPr>
      <w:r>
        <w:rPr>
          <w:rFonts w:ascii="Arial" w:cs="Arial" w:eastAsia="Arial" w:hAnsi="Arial"/>
          <w:sz w:val="19"/>
          <w:szCs w:val="19"/>
          <w:color w:val="auto"/>
        </w:rPr>
        <w:t>(ct)   For as long as the Investing Parties continue to hold the shares of the Company, the Company shall deliver to each Investing Party (i) unaudited quarterly consolidated financial statements and business reports, which shall be</w:t>
      </w:r>
    </w:p>
    <w:p>
      <w:pPr>
        <w:ind w:left="1360"/>
        <w:spacing w:after="0" w:line="255" w:lineRule="auto"/>
        <w:rPr>
          <w:sz w:val="20"/>
          <w:szCs w:val="20"/>
          <w:color w:val="auto"/>
        </w:rPr>
      </w:pPr>
      <w:r>
        <w:rPr>
          <w:rFonts w:ascii="Arial" w:cs="Arial" w:eastAsia="Arial" w:hAnsi="Arial"/>
          <w:sz w:val="16"/>
          <w:szCs w:val="16"/>
          <w:color w:val="auto"/>
        </w:rPr>
        <w:t>delivered to the Investors no later than 30 days after the end of each quarter, (ii) key Company metrics (to be determined based on the Investing Parties’ and the auditor’s feedback) by the end of the calendar month preceding the</w:t>
      </w:r>
    </w:p>
    <w:p>
      <w:pPr>
        <w:ind w:left="1360"/>
        <w:spacing w:after="0" w:line="235" w:lineRule="auto"/>
        <w:rPr>
          <w:sz w:val="20"/>
          <w:szCs w:val="20"/>
          <w:color w:val="auto"/>
        </w:rPr>
      </w:pPr>
      <w:r>
        <w:rPr>
          <w:rFonts w:ascii="Arial" w:cs="Arial" w:eastAsia="Arial" w:hAnsi="Arial"/>
          <w:sz w:val="18"/>
          <w:szCs w:val="18"/>
          <w:color w:val="auto"/>
        </w:rPr>
        <w:t>end of each quarter, (iii) unaudited annual financial statements and business reports, which shall be within 30 days</w:t>
      </w:r>
    </w:p>
    <w:p>
      <w:pPr>
        <w:ind w:left="1360" w:right="20"/>
        <w:spacing w:after="0" w:line="226" w:lineRule="auto"/>
        <w:rPr>
          <w:sz w:val="20"/>
          <w:szCs w:val="20"/>
          <w:color w:val="auto"/>
        </w:rPr>
      </w:pPr>
      <w:r>
        <w:rPr>
          <w:rFonts w:ascii="Arial" w:cs="Arial" w:eastAsia="Arial" w:hAnsi="Arial"/>
          <w:sz w:val="18"/>
          <w:szCs w:val="18"/>
          <w:color w:val="auto"/>
        </w:rPr>
        <w:t>after the end of each financial year, (iv) audited annual consolidated financial statements prepared by a recognized accounting firm within 60 days after each financial year ends, (v) an annual operating plan and budget which shall be</w:t>
      </w:r>
    </w:p>
    <w:p>
      <w:pPr>
        <w:ind w:left="1360"/>
        <w:spacing w:after="0" w:line="236" w:lineRule="auto"/>
        <w:rPr>
          <w:sz w:val="20"/>
          <w:szCs w:val="20"/>
          <w:color w:val="auto"/>
        </w:rPr>
      </w:pPr>
      <w:r>
        <w:rPr>
          <w:rFonts w:ascii="Arial" w:cs="Arial" w:eastAsia="Arial" w:hAnsi="Arial"/>
          <w:sz w:val="18"/>
          <w:szCs w:val="18"/>
          <w:color w:val="auto"/>
        </w:rPr>
        <w:t>approved by the Board/Shareholder Meeting (within their respective authority limits) and delivered to the Investors</w:t>
      </w:r>
    </w:p>
    <w:p>
      <w:pPr>
        <w:spacing w:after="0" w:line="1" w:lineRule="exact"/>
        <w:rPr>
          <w:sz w:val="20"/>
          <w:szCs w:val="20"/>
          <w:color w:val="auto"/>
        </w:rPr>
      </w:pPr>
    </w:p>
    <w:p>
      <w:pPr>
        <w:ind w:left="1360" w:right="20"/>
        <w:spacing w:after="0" w:line="220" w:lineRule="auto"/>
        <w:rPr>
          <w:sz w:val="20"/>
          <w:szCs w:val="20"/>
          <w:color w:val="auto"/>
        </w:rPr>
      </w:pPr>
      <w:r>
        <w:rPr>
          <w:rFonts w:ascii="Arial" w:cs="Arial" w:eastAsia="Arial" w:hAnsi="Arial"/>
          <w:sz w:val="20"/>
          <w:szCs w:val="20"/>
          <w:color w:val="auto"/>
        </w:rPr>
        <w:t>no later than 45 days prior to the beginning of each fiscal year, and (vi) other information relating to the Company as reasonably requested by the Investing Parties.</w:t>
      </w:r>
    </w:p>
    <w:p>
      <w:pPr>
        <w:spacing w:after="0" w:line="185"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20"/>
          <w:szCs w:val="20"/>
          <w:color w:val="auto"/>
        </w:rPr>
        <w:t>(cu)</w:t>
      </w:r>
      <w:r>
        <w:rPr>
          <w:sz w:val="20"/>
          <w:szCs w:val="20"/>
          <w:color w:val="auto"/>
        </w:rPr>
        <w:tab/>
      </w:r>
      <w:r>
        <w:rPr>
          <w:rFonts w:ascii="Arial" w:cs="Arial" w:eastAsia="Arial" w:hAnsi="Arial"/>
          <w:sz w:val="18"/>
          <w:szCs w:val="18"/>
          <w:color w:val="auto"/>
        </w:rPr>
        <w:t>Without affecting the Company’s normal operations, the Investing Parties shall be entitled to standard inspection</w:t>
      </w:r>
    </w:p>
    <w:p>
      <w:pPr>
        <w:jc w:val="both"/>
        <w:ind w:left="1360"/>
        <w:spacing w:after="0" w:line="255" w:lineRule="auto"/>
        <w:rPr>
          <w:sz w:val="20"/>
          <w:szCs w:val="20"/>
          <w:color w:val="auto"/>
        </w:rPr>
      </w:pPr>
      <w:r>
        <w:rPr>
          <w:rFonts w:ascii="Arial" w:cs="Arial" w:eastAsia="Arial" w:hAnsi="Arial"/>
          <w:sz w:val="16"/>
          <w:szCs w:val="16"/>
          <w:color w:val="auto"/>
        </w:rPr>
        <w:t>rights to the facilities, assets, book and record of the Company and its subsidiaries. The Investing Parties shall be allowed to discuss the business, operations and other aspects of the Company and its subsidiaries with the managers,</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employees, accountants, legal counsel and the investment bankers.</w:t>
      </w:r>
    </w:p>
    <w:p>
      <w:pPr>
        <w:spacing w:after="0" w:line="195"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8"/>
          <w:szCs w:val="18"/>
          <w:u w:val="single" w:color="auto"/>
          <w:color w:val="auto"/>
        </w:rPr>
        <w:t>Distribution of Profits</w:t>
      </w:r>
    </w:p>
    <w:p>
      <w:pPr>
        <w:spacing w:after="0" w:line="30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(cv)The distribution of the Company’s profits shall depend upon the available surplus of the Company’s profits and</w:t>
      </w:r>
    </w:p>
    <w:p>
      <w:pPr>
        <w:ind w:left="1180" w:right="20"/>
        <w:spacing w:after="0" w:line="226" w:lineRule="auto"/>
        <w:rPr>
          <w:sz w:val="20"/>
          <w:szCs w:val="20"/>
          <w:color w:val="auto"/>
        </w:rPr>
      </w:pPr>
      <w:r>
        <w:rPr>
          <w:rFonts w:ascii="Arial" w:cs="Arial" w:eastAsia="Arial" w:hAnsi="Arial"/>
          <w:sz w:val="18"/>
          <w:szCs w:val="18"/>
          <w:color w:val="auto"/>
        </w:rPr>
        <w:t>liquidity, as resulting from the Company’s financial statements approved by the Shareholders’ Meeting for each fiscal year. Any distribution of the Company’s profits shall be in accordance with the profit distribution plan approved by the</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Shareholders’ Meeting and in proportion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0740"/>
          </w:cols>
          <w:pgMar w:left="400" w:top="1440" w:right="759" w:bottom="1440" w:gutter="0" w:footer="0" w:header="0"/>
          <w:type w:val="continuous"/>
        </w:sectPr>
      </w:pPr>
    </w:p>
    <w:bookmarkStart w:id="98" w:name="page99"/>
    <w:bookmarkEnd w:id="98"/>
    <w:p>
      <w:pPr>
        <w:spacing w:after="0" w:line="195" w:lineRule="exact"/>
        <w:rPr>
          <w:sz w:val="20"/>
          <w:szCs w:val="20"/>
          <w:color w:val="auto"/>
        </w:rPr>
      </w:pPr>
    </w:p>
    <w:p>
      <w:pPr>
        <w:ind w:left="1180"/>
        <w:spacing w:after="0" w:line="229" w:lineRule="auto"/>
        <w:rPr>
          <w:sz w:val="20"/>
          <w:szCs w:val="20"/>
          <w:color w:val="auto"/>
        </w:rPr>
      </w:pPr>
      <w:r>
        <w:rPr>
          <w:rFonts w:ascii="Arial" w:cs="Arial" w:eastAsia="Arial" w:hAnsi="Arial"/>
          <w:sz w:val="20"/>
          <w:szCs w:val="20"/>
          <w:color w:val="auto"/>
        </w:rPr>
        <w:t>shareholding of each Party. For the sake of clarity, Investors are not obligated to pay dividends that they had received to other Shareholders.</w:t>
      </w:r>
    </w:p>
    <w:p>
      <w:pPr>
        <w:spacing w:after="0" w:line="191"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6"/>
          <w:szCs w:val="16"/>
          <w:u w:val="single" w:color="auto"/>
          <w:color w:val="auto"/>
        </w:rPr>
        <w:t>Budgets and Business Plans</w:t>
      </w:r>
    </w:p>
    <w:p>
      <w:pPr>
        <w:spacing w:after="0" w:line="3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Company shall operate in accordance with the annual budgets and business plans approved by the Shareholders’ Meeting.</w:t>
      </w:r>
    </w:p>
    <w:p>
      <w:pPr>
        <w:spacing w:after="0" w:line="228"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ARTICLE 10 REPRESENTATIONS AND WARRANTIES OF THE PARTIES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10.1 Each Party hereby represents and warrants to the other Parties as follows:</w:t>
      </w:r>
    </w:p>
    <w:p>
      <w:pPr>
        <w:spacing w:after="0" w:line="202" w:lineRule="exact"/>
        <w:rPr>
          <w:sz w:val="20"/>
          <w:szCs w:val="20"/>
          <w:color w:val="auto"/>
        </w:rPr>
      </w:pPr>
    </w:p>
    <w:p>
      <w:pPr>
        <w:ind w:left="860" w:right="400" w:hanging="23"/>
        <w:spacing w:after="0" w:line="236" w:lineRule="auto"/>
        <w:rPr>
          <w:sz w:val="20"/>
          <w:szCs w:val="20"/>
          <w:color w:val="auto"/>
        </w:rPr>
      </w:pPr>
      <w:r>
        <w:rPr>
          <w:rFonts w:ascii="Arial" w:cs="Arial" w:eastAsia="Arial" w:hAnsi="Arial"/>
          <w:sz w:val="20"/>
          <w:szCs w:val="20"/>
          <w:color w:val="auto"/>
        </w:rPr>
        <w:t>(cw) It is a legal entity duly organized, validly existing and in good standing under the laws of the jurisdiction of its formation;</w:t>
      </w:r>
    </w:p>
    <w:p>
      <w:pPr>
        <w:spacing w:after="0" w:line="196" w:lineRule="exact"/>
        <w:rPr>
          <w:sz w:val="20"/>
          <w:szCs w:val="20"/>
          <w:color w:val="auto"/>
        </w:rPr>
      </w:pPr>
    </w:p>
    <w:p>
      <w:pPr>
        <w:ind w:left="860" w:right="400" w:hanging="23"/>
        <w:spacing w:after="0" w:line="236" w:lineRule="auto"/>
        <w:rPr>
          <w:sz w:val="20"/>
          <w:szCs w:val="20"/>
          <w:color w:val="auto"/>
        </w:rPr>
      </w:pPr>
      <w:r>
        <w:rPr>
          <w:rFonts w:ascii="Arial" w:cs="Arial" w:eastAsia="Arial" w:hAnsi="Arial"/>
          <w:sz w:val="20"/>
          <w:szCs w:val="20"/>
          <w:color w:val="auto"/>
        </w:rPr>
        <w:t>(cx) It has full legal right, power and authority to execute, deliver and perform this Agreement and all of the contracts and documents referred to in this Agreement to which it is a party;</w:t>
      </w:r>
    </w:p>
    <w:p>
      <w:pPr>
        <w:spacing w:after="0" w:line="196" w:lineRule="exact"/>
        <w:rPr>
          <w:sz w:val="20"/>
          <w:szCs w:val="20"/>
          <w:color w:val="auto"/>
        </w:rPr>
      </w:pPr>
    </w:p>
    <w:p>
      <w:pPr>
        <w:ind w:left="860" w:right="400" w:hanging="23"/>
        <w:spacing w:after="0" w:line="265" w:lineRule="auto"/>
        <w:rPr>
          <w:sz w:val="20"/>
          <w:szCs w:val="20"/>
          <w:color w:val="auto"/>
        </w:rPr>
      </w:pPr>
      <w:r>
        <w:rPr>
          <w:rFonts w:ascii="Arial" w:cs="Arial" w:eastAsia="Arial" w:hAnsi="Arial"/>
          <w:sz w:val="16"/>
          <w:szCs w:val="16"/>
          <w:color w:val="auto"/>
        </w:rPr>
        <w:t>(cy) It has obtained or will obtain within 90 days from the Closing Date, all legally required, governmental or third Person consents, approvals ( and CFIUS Clearance shall have been obtained prior to the Closing Date) and authorizations necessary</w:t>
      </w:r>
    </w:p>
    <w:p>
      <w:pPr>
        <w:ind w:left="860"/>
        <w:spacing w:after="0" w:line="223" w:lineRule="auto"/>
        <w:rPr>
          <w:sz w:val="20"/>
          <w:szCs w:val="20"/>
          <w:color w:val="auto"/>
        </w:rPr>
      </w:pPr>
      <w:r>
        <w:rPr>
          <w:rFonts w:ascii="Arial" w:cs="Arial" w:eastAsia="Arial" w:hAnsi="Arial"/>
          <w:sz w:val="19"/>
          <w:szCs w:val="19"/>
          <w:color w:val="auto"/>
        </w:rPr>
        <w:t>for the valid signing, delivery and performance of this Agreement and all of the contracts and documents referred to in this</w:t>
      </w:r>
    </w:p>
    <w:p>
      <w:pPr>
        <w:spacing w:after="0" w:line="1" w:lineRule="exact"/>
        <w:rPr>
          <w:sz w:val="20"/>
          <w:szCs w:val="20"/>
          <w:color w:val="auto"/>
        </w:rPr>
      </w:pPr>
    </w:p>
    <w:p>
      <w:pPr>
        <w:ind w:left="860" w:right="400"/>
        <w:spacing w:after="0" w:line="220" w:lineRule="auto"/>
        <w:rPr>
          <w:sz w:val="20"/>
          <w:szCs w:val="20"/>
          <w:color w:val="auto"/>
        </w:rPr>
      </w:pPr>
      <w:r>
        <w:rPr>
          <w:rFonts w:ascii="Arial" w:cs="Arial" w:eastAsia="Arial" w:hAnsi="Arial"/>
          <w:sz w:val="20"/>
          <w:szCs w:val="20"/>
          <w:color w:val="auto"/>
        </w:rPr>
        <w:t>Agreement to which it is a party, and this Agreement shall constitute legal, valid and binding obligations of it, enforceable against it in accordance with its terms;</w:t>
      </w:r>
    </w:p>
    <w:p>
      <w:pPr>
        <w:spacing w:after="0" w:line="210" w:lineRule="exact"/>
        <w:rPr>
          <w:sz w:val="20"/>
          <w:szCs w:val="20"/>
          <w:color w:val="auto"/>
        </w:rPr>
      </w:pPr>
    </w:p>
    <w:p>
      <w:pPr>
        <w:ind w:left="860" w:right="400" w:hanging="23"/>
        <w:spacing w:after="0" w:line="236" w:lineRule="auto"/>
        <w:rPr>
          <w:sz w:val="20"/>
          <w:szCs w:val="20"/>
          <w:color w:val="auto"/>
        </w:rPr>
      </w:pPr>
      <w:r>
        <w:rPr>
          <w:rFonts w:ascii="Arial" w:cs="Arial" w:eastAsia="Arial" w:hAnsi="Arial"/>
          <w:sz w:val="18"/>
          <w:szCs w:val="18"/>
          <w:color w:val="auto"/>
        </w:rPr>
        <w:t>(cz) Neither the signing and performance of this Agreement nor the consummation of the transactions contemplated hereby shall violate, result in a breach of any material term or provision of, or constitute a default under, any articles of association</w:t>
      </w:r>
    </w:p>
    <w:p>
      <w:pPr>
        <w:ind w:left="860"/>
        <w:spacing w:after="0"/>
        <w:rPr>
          <w:sz w:val="20"/>
          <w:szCs w:val="20"/>
          <w:color w:val="auto"/>
        </w:rPr>
      </w:pPr>
      <w:r>
        <w:rPr>
          <w:rFonts w:ascii="Arial" w:cs="Arial" w:eastAsia="Arial" w:hAnsi="Arial"/>
          <w:sz w:val="20"/>
          <w:szCs w:val="20"/>
          <w:color w:val="auto"/>
        </w:rPr>
        <w:t>or any contract, agreement, law or regulation to which it is a party or by which it is bound; and</w:t>
      </w:r>
    </w:p>
    <w:p>
      <w:pPr>
        <w:spacing w:after="0" w:line="200" w:lineRule="exact"/>
        <w:rPr>
          <w:sz w:val="20"/>
          <w:szCs w:val="20"/>
          <w:color w:val="auto"/>
        </w:rPr>
      </w:pPr>
    </w:p>
    <w:p>
      <w:pPr>
        <w:ind w:left="860" w:right="400" w:hanging="23"/>
        <w:spacing w:after="0" w:line="229" w:lineRule="auto"/>
        <w:rPr>
          <w:sz w:val="20"/>
          <w:szCs w:val="20"/>
          <w:color w:val="auto"/>
        </w:rPr>
      </w:pPr>
      <w:r>
        <w:rPr>
          <w:rFonts w:ascii="Arial" w:cs="Arial" w:eastAsia="Arial" w:hAnsi="Arial"/>
          <w:sz w:val="20"/>
          <w:szCs w:val="20"/>
          <w:color w:val="auto"/>
        </w:rPr>
        <w:t>(da) There is no lawsuit, arbitration or other legal proceeding pending or threatened against it with respect to the subject of this Agreement or that would affect in any way its ability to enter into or perform this Agreement.</w:t>
      </w:r>
    </w:p>
    <w:p>
      <w:pPr>
        <w:spacing w:after="0" w:line="184"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AHK hereby represents and warrants to the Investors that AHK and/or its Affiliates shall have the power and right to</w:t>
      </w:r>
    </w:p>
    <w:p>
      <w:pPr>
        <w:ind w:left="740" w:right="380"/>
        <w:spacing w:after="0" w:line="199" w:lineRule="auto"/>
        <w:rPr>
          <w:sz w:val="20"/>
          <w:szCs w:val="20"/>
          <w:color w:val="auto"/>
        </w:rPr>
      </w:pPr>
      <w:r>
        <w:rPr>
          <w:rFonts w:ascii="Arial" w:cs="Arial" w:eastAsia="Arial" w:hAnsi="Arial"/>
          <w:sz w:val="18"/>
          <w:szCs w:val="18"/>
          <w:color w:val="auto"/>
        </w:rPr>
        <w:t>license to the Company all the Licensed Items (collectively “</w:t>
      </w:r>
      <w:r>
        <w:rPr>
          <w:rFonts w:ascii="Arial" w:cs="Arial" w:eastAsia="Arial" w:hAnsi="Arial"/>
          <w:sz w:val="18"/>
          <w:szCs w:val="18"/>
          <w:b w:val="1"/>
          <w:bCs w:val="1"/>
          <w:color w:val="auto"/>
        </w:rPr>
        <w:t>Licensed Items</w:t>
      </w:r>
      <w:r>
        <w:rPr>
          <w:rFonts w:ascii="Arial" w:cs="Arial" w:eastAsia="Arial" w:hAnsi="Arial"/>
          <w:sz w:val="18"/>
          <w:szCs w:val="18"/>
          <w:color w:val="auto"/>
        </w:rPr>
        <w:t>”) pursuant to the technology collaboration and license agreement which has been duly executed and delivered by the Company and AHK in January 20</w:t>
      </w:r>
      <w:r>
        <w:rPr>
          <w:rFonts w:ascii="Arial" w:cs="Arial" w:eastAsia="Arial" w:hAnsi="Arial"/>
          <w:sz w:val="23"/>
          <w:szCs w:val="23"/>
          <w:color w:val="auto"/>
          <w:vertAlign w:val="superscript"/>
        </w:rPr>
        <w:t>th</w:t>
      </w:r>
      <w:r>
        <w:rPr>
          <w:rFonts w:ascii="Arial" w:cs="Arial" w:eastAsia="Arial" w:hAnsi="Arial"/>
          <w:sz w:val="18"/>
          <w:szCs w:val="18"/>
          <w:color w:val="auto"/>
        </w:rPr>
        <w:t>, 2022 (the</w:t>
      </w:r>
    </w:p>
    <w:p>
      <w:pPr>
        <w:spacing w:after="0" w:line="1" w:lineRule="exact"/>
        <w:rPr>
          <w:sz w:val="20"/>
          <w:szCs w:val="20"/>
          <w:color w:val="auto"/>
        </w:rPr>
      </w:pPr>
    </w:p>
    <w:p>
      <w:pPr>
        <w:ind w:left="740" w:right="380"/>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Technology License Agreement</w:t>
      </w:r>
      <w:r>
        <w:rPr>
          <w:rFonts w:ascii="Arial" w:cs="Arial" w:eastAsia="Arial" w:hAnsi="Arial"/>
          <w:sz w:val="19"/>
          <w:szCs w:val="19"/>
          <w:color w:val="auto"/>
        </w:rPr>
        <w:t>”). To the knowledge of AHK, entrance into and performance of the Technology License Agreement has not and will not violate or infringe upon any other entity’s right relating to the Licensed Items.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11 ADDITIONAL COVENANTS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11.3 </w:t>
      </w:r>
      <w:r>
        <w:rPr>
          <w:rFonts w:ascii="Arial" w:cs="Arial" w:eastAsia="Arial" w:hAnsi="Arial"/>
          <w:sz w:val="19"/>
          <w:szCs w:val="19"/>
          <w:u w:val="single" w:color="auto"/>
          <w:color w:val="auto"/>
        </w:rPr>
        <w:t>Non-Competition</w:t>
      </w:r>
    </w:p>
    <w:p>
      <w:pPr>
        <w:spacing w:after="0" w:line="305" w:lineRule="exact"/>
        <w:rPr>
          <w:sz w:val="20"/>
          <w:szCs w:val="20"/>
          <w:color w:val="auto"/>
        </w:rPr>
      </w:pPr>
    </w:p>
    <w:p>
      <w:pPr>
        <w:ind w:left="860" w:right="380"/>
        <w:spacing w:after="0" w:line="236" w:lineRule="auto"/>
        <w:rPr>
          <w:sz w:val="20"/>
          <w:szCs w:val="20"/>
          <w:color w:val="auto"/>
        </w:rPr>
      </w:pPr>
      <w:r>
        <w:rPr>
          <w:rFonts w:ascii="Arial" w:cs="Arial" w:eastAsia="Arial" w:hAnsi="Arial"/>
          <w:sz w:val="18"/>
          <w:szCs w:val="18"/>
          <w:color w:val="auto"/>
        </w:rPr>
        <w:t>Following the Closing Date, until the earlier of the expiry of the Term or early termination of this Agreement pursuant to its terms, without the prior written approval of the Investing Parties, AHK, AHK’s worldwide Affiliates, and Management Co</w:t>
      </w:r>
    </w:p>
    <w:p>
      <w:pPr>
        <w:ind w:left="860" w:right="400"/>
        <w:spacing w:after="0" w:line="220" w:lineRule="auto"/>
        <w:rPr>
          <w:sz w:val="20"/>
          <w:szCs w:val="20"/>
          <w:color w:val="auto"/>
        </w:rPr>
      </w:pPr>
      <w:r>
        <w:rPr>
          <w:rFonts w:ascii="Arial" w:cs="Arial" w:eastAsia="Arial" w:hAnsi="Arial"/>
          <w:sz w:val="20"/>
          <w:szCs w:val="20"/>
          <w:color w:val="auto"/>
        </w:rPr>
        <w:t>shall not operate or conduct any business that competes directly with the automotive SoC business (which is namely the design and delivery of entire SoCs or entire SoC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120"/>
          </w:cols>
          <w:pgMar w:left="400" w:top="1440" w:right="379" w:bottom="1440" w:gutter="0" w:footer="0" w:header="0"/>
        </w:sectPr>
      </w:pPr>
    </w:p>
    <w:bookmarkStart w:id="99" w:name="page100"/>
    <w:bookmarkEnd w:id="99"/>
    <w:p>
      <w:pPr>
        <w:spacing w:after="0" w:line="195" w:lineRule="exact"/>
        <w:rPr>
          <w:sz w:val="20"/>
          <w:szCs w:val="20"/>
          <w:color w:val="auto"/>
        </w:rPr>
      </w:pPr>
    </w:p>
    <w:p>
      <w:pPr>
        <w:ind w:left="860" w:right="240"/>
        <w:spacing w:after="0" w:line="229" w:lineRule="auto"/>
        <w:rPr>
          <w:sz w:val="20"/>
          <w:szCs w:val="20"/>
          <w:color w:val="auto"/>
        </w:rPr>
      </w:pPr>
      <w:r>
        <w:rPr>
          <w:rFonts w:ascii="Arial" w:cs="Arial" w:eastAsia="Arial" w:hAnsi="Arial"/>
          <w:sz w:val="20"/>
          <w:szCs w:val="20"/>
          <w:color w:val="auto"/>
        </w:rPr>
        <w:t>of the Company and its subsidiaries, including but not limited to establishing a joint venture with any third party, or entering into a strategic cooperation agreement.</w:t>
      </w:r>
    </w:p>
    <w:p>
      <w:pPr>
        <w:spacing w:after="0" w:line="209" w:lineRule="exact"/>
        <w:rPr>
          <w:sz w:val="20"/>
          <w:szCs w:val="20"/>
          <w:color w:val="auto"/>
        </w:rPr>
      </w:pPr>
    </w:p>
    <w:p>
      <w:pPr>
        <w:ind w:left="860" w:right="220"/>
        <w:spacing w:after="0" w:line="223" w:lineRule="auto"/>
        <w:rPr>
          <w:sz w:val="20"/>
          <w:szCs w:val="20"/>
          <w:color w:val="auto"/>
        </w:rPr>
      </w:pPr>
      <w:r>
        <w:rPr>
          <w:rFonts w:ascii="Arial" w:cs="Arial" w:eastAsia="Arial" w:hAnsi="Arial"/>
          <w:sz w:val="19"/>
          <w:szCs w:val="19"/>
          <w:color w:val="auto"/>
        </w:rPr>
        <w:t>Absent the express prior written permission of AHK and AHK’s applicable Affiliates, the Company shall not directly or indirectly enter or enable or cause third parties to enter, in any way, the interconnect IP and/or interchip link licensing</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business.</w:t>
      </w:r>
    </w:p>
    <w:p>
      <w:pPr>
        <w:spacing w:after="0" w:line="200" w:lineRule="exact"/>
        <w:rPr>
          <w:sz w:val="20"/>
          <w:szCs w:val="20"/>
          <w:color w:val="auto"/>
        </w:rPr>
      </w:pPr>
    </w:p>
    <w:p>
      <w:pPr>
        <w:ind w:left="860" w:right="220"/>
        <w:spacing w:after="0" w:line="236" w:lineRule="auto"/>
        <w:rPr>
          <w:sz w:val="20"/>
          <w:szCs w:val="20"/>
          <w:color w:val="auto"/>
        </w:rPr>
      </w:pPr>
      <w:r>
        <w:rPr>
          <w:rFonts w:ascii="Arial" w:cs="Arial" w:eastAsia="Arial" w:hAnsi="Arial"/>
          <w:sz w:val="18"/>
          <w:szCs w:val="18"/>
          <w:color w:val="auto"/>
        </w:rPr>
        <w:t>The Key Employees shall devote their full working time to the conduct and development of the business of the Company, protecting the interest of the Company. Without the prior written approval of all the Investing Parties, no Key Employee or</w:t>
      </w:r>
    </w:p>
    <w:p>
      <w:pPr>
        <w:ind w:left="860" w:right="240"/>
        <w:spacing w:after="0" w:line="227" w:lineRule="auto"/>
        <w:rPr>
          <w:sz w:val="20"/>
          <w:szCs w:val="20"/>
          <w:color w:val="auto"/>
        </w:rPr>
      </w:pPr>
      <w:r>
        <w:rPr>
          <w:rFonts w:ascii="Arial" w:cs="Arial" w:eastAsia="Arial" w:hAnsi="Arial"/>
          <w:sz w:val="20"/>
          <w:szCs w:val="20"/>
          <w:color w:val="auto"/>
        </w:rPr>
        <w:t>his/her affiliates or family members shall, directly or indirectly, own, manage, operate, conduct, consult, render services for, or participate in any entity whose business may compete with the business of the Company.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11.4 </w:t>
      </w:r>
      <w:r>
        <w:rPr>
          <w:rFonts w:ascii="Arial" w:cs="Arial" w:eastAsia="Arial" w:hAnsi="Arial"/>
          <w:sz w:val="19"/>
          <w:szCs w:val="19"/>
          <w:u w:val="single" w:color="auto"/>
          <w:color w:val="auto"/>
        </w:rPr>
        <w:t>Export Control</w:t>
      </w:r>
    </w:p>
    <w:p>
      <w:pPr>
        <w:spacing w:after="0" w:line="3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Upon the execution of this Agreement, the Parties shall collaborate with each other to conduct an initial analysis on whether</w:t>
      </w:r>
    </w:p>
    <w:p>
      <w:pPr>
        <w:spacing w:after="0" w:line="12" w:lineRule="exact"/>
        <w:rPr>
          <w:sz w:val="20"/>
          <w:szCs w:val="20"/>
          <w:color w:val="auto"/>
        </w:rPr>
      </w:pPr>
    </w:p>
    <w:p>
      <w:pPr>
        <w:ind w:left="860" w:right="240"/>
        <w:spacing w:after="0" w:line="220" w:lineRule="auto"/>
        <w:rPr>
          <w:sz w:val="20"/>
          <w:szCs w:val="20"/>
          <w:color w:val="auto"/>
        </w:rPr>
      </w:pPr>
      <w:r>
        <w:rPr>
          <w:rFonts w:ascii="Arial" w:cs="Arial" w:eastAsia="Arial" w:hAnsi="Arial"/>
          <w:sz w:val="20"/>
          <w:szCs w:val="20"/>
          <w:color w:val="auto"/>
        </w:rPr>
        <w:t>the Company’s technologies and products are subject to any export control requirements. In the event that the initial analysis indicates so, the Parties shall discuss in good faith for a viable solution.</w:t>
      </w:r>
    </w:p>
    <w:p>
      <w:pPr>
        <w:spacing w:after="0" w:line="186"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ARTICLE 12 TERM AND TERMINATION OF THE COMPANY</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12.5 </w:t>
      </w:r>
      <w:r>
        <w:rPr>
          <w:rFonts w:ascii="Arial" w:cs="Arial" w:eastAsia="Arial" w:hAnsi="Arial"/>
          <w:sz w:val="19"/>
          <w:szCs w:val="19"/>
          <w:u w:val="single" w:color="auto"/>
          <w:color w:val="auto"/>
        </w:rPr>
        <w:t>Term of the Company</w:t>
      </w:r>
    </w:p>
    <w:p>
      <w:pPr>
        <w:spacing w:after="0" w:line="28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 xml:space="preserve">The term of the Company shall be </w:t>
      </w:r>
      <w:r>
        <w:rPr>
          <w:rFonts w:ascii="Arial" w:cs="Arial" w:eastAsia="Arial" w:hAnsi="Arial"/>
          <w:sz w:val="20"/>
          <w:szCs w:val="20"/>
          <w:b w:val="1"/>
          <w:bCs w:val="1"/>
          <w:color w:val="auto"/>
        </w:rPr>
        <w:t>twenty (20)</w:t>
      </w:r>
      <w:r>
        <w:rPr>
          <w:rFonts w:ascii="Arial" w:cs="Arial" w:eastAsia="Arial" w:hAnsi="Arial"/>
          <w:sz w:val="20"/>
          <w:szCs w:val="20"/>
          <w:color w:val="auto"/>
        </w:rPr>
        <w:t xml:space="preserve"> years (“</w:t>
      </w:r>
      <w:r>
        <w:rPr>
          <w:rFonts w:ascii="Arial" w:cs="Arial" w:eastAsia="Arial" w:hAnsi="Arial"/>
          <w:sz w:val="20"/>
          <w:szCs w:val="20"/>
          <w:b w:val="1"/>
          <w:bCs w:val="1"/>
          <w:color w:val="auto"/>
        </w:rPr>
        <w:t>Term</w:t>
      </w:r>
      <w:r>
        <w:rPr>
          <w:rFonts w:ascii="Arial" w:cs="Arial" w:eastAsia="Arial" w:hAnsi="Arial"/>
          <w:sz w:val="20"/>
          <w:szCs w:val="20"/>
          <w:color w:val="auto"/>
        </w:rPr>
        <w:t>”) from the Establishment Date.</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12.6 </w:t>
      </w:r>
      <w:r>
        <w:rPr>
          <w:rFonts w:ascii="Arial" w:cs="Arial" w:eastAsia="Arial" w:hAnsi="Arial"/>
          <w:sz w:val="19"/>
          <w:szCs w:val="19"/>
          <w:u w:val="single" w:color="auto"/>
          <w:color w:val="auto"/>
        </w:rPr>
        <w:t>Events of Termination</w:t>
      </w:r>
    </w:p>
    <w:p>
      <w:pPr>
        <w:sectPr>
          <w:pgSz w:w="11900" w:h="16838" w:orient="portrait"/>
          <w:cols w:equalWidth="0" w:num="1">
            <w:col w:w="10960"/>
          </w:cols>
          <w:pgMar w:left="400" w:top="1440" w:right="539" w:bottom="1440" w:gutter="0" w:footer="0" w:header="0"/>
        </w:sectPr>
      </w:pPr>
    </w:p>
    <w:p>
      <w:pPr>
        <w:spacing w:after="0" w:line="30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(db)</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will terminate automatically upon expiration of the Term.</w:t>
      </w:r>
    </w:p>
    <w:p>
      <w:pPr>
        <w:spacing w:after="0" w:line="200" w:lineRule="exact"/>
        <w:rPr>
          <w:sz w:val="20"/>
          <w:szCs w:val="20"/>
          <w:color w:val="auto"/>
        </w:rPr>
      </w:pPr>
    </w:p>
    <w:p>
      <w:pPr>
        <w:sectPr>
          <w:pgSz w:w="11900" w:h="16838" w:orient="portrait"/>
          <w:cols w:equalWidth="0" w:num="2">
            <w:col w:w="1180" w:space="180"/>
            <w:col w:w="9600"/>
          </w:cols>
          <w:pgMar w:left="400" w:top="1440" w:right="539" w:bottom="1440" w:gutter="0" w:footer="0" w:header="0"/>
          <w:type w:val="continuous"/>
        </w:sectPr>
      </w:pPr>
    </w:p>
    <w:p>
      <w:pPr>
        <w:spacing w:after="0" w:line="2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(dc)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may be terminated prior to the expiry of the Term (absent mutual agreement by the Lead Investor and</w:t>
      </w:r>
    </w:p>
    <w:p>
      <w:pPr>
        <w:spacing w:after="0" w:line="62" w:lineRule="exact"/>
        <w:rPr>
          <w:sz w:val="20"/>
          <w:szCs w:val="20"/>
          <w:color w:val="auto"/>
        </w:rPr>
      </w:pPr>
    </w:p>
    <w:p>
      <w:pPr>
        <w:sectPr>
          <w:pgSz w:w="11900" w:h="16838" w:orient="portrait"/>
          <w:cols w:equalWidth="0" w:num="2">
            <w:col w:w="1160" w:space="200"/>
            <w:col w:w="9600"/>
          </w:cols>
          <w:pgMar w:left="400" w:top="1440" w:right="539" w:bottom="1440" w:gutter="0" w:footer="0" w:header="0"/>
          <w:type w:val="continuous"/>
        </w:sectPr>
      </w:pPr>
    </w:p>
    <w:p>
      <w:pPr>
        <w:ind w:left="1360"/>
        <w:spacing w:after="0"/>
        <w:rPr>
          <w:sz w:val="20"/>
          <w:szCs w:val="20"/>
          <w:color w:val="auto"/>
        </w:rPr>
      </w:pPr>
      <w:r>
        <w:rPr>
          <w:rFonts w:ascii="Arial" w:cs="Arial" w:eastAsia="Arial" w:hAnsi="Arial"/>
          <w:sz w:val="18"/>
          <w:szCs w:val="18"/>
          <w:color w:val="auto"/>
        </w:rPr>
        <w:t>AHK under separate written agreement):</w:t>
      </w:r>
    </w:p>
    <w:p>
      <w:pPr>
        <w:sectPr>
          <w:pgSz w:w="11900" w:h="16838" w:orient="portrait"/>
          <w:cols w:equalWidth="0" w:num="1">
            <w:col w:w="10960"/>
          </w:cols>
          <w:pgMar w:left="400" w:top="1440" w:right="539" w:bottom="1440" w:gutter="0" w:footer="0" w:header="0"/>
          <w:type w:val="continuous"/>
        </w:sectPr>
      </w:pPr>
    </w:p>
    <w:p>
      <w:pPr>
        <w:spacing w:after="0" w:line="209" w:lineRule="exact"/>
        <w:rPr>
          <w:sz w:val="20"/>
          <w:szCs w:val="20"/>
          <w:color w:val="auto"/>
        </w:rPr>
      </w:pPr>
    </w:p>
    <w:p>
      <w:pPr>
        <w:ind w:left="1800" w:hanging="405"/>
        <w:spacing w:after="0"/>
        <w:tabs>
          <w:tab w:leader="none" w:pos="18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by the Parties upon their mutual agreement; or</w:t>
      </w:r>
    </w:p>
    <w:p>
      <w:pPr>
        <w:spacing w:after="0" w:line="2" w:lineRule="exact"/>
        <w:rPr>
          <w:rFonts w:ascii="Arial" w:cs="Arial" w:eastAsia="Arial" w:hAnsi="Arial"/>
          <w:sz w:val="20"/>
          <w:szCs w:val="20"/>
          <w:color w:val="auto"/>
        </w:rPr>
      </w:pPr>
    </w:p>
    <w:p>
      <w:pPr>
        <w:jc w:val="both"/>
        <w:ind w:left="1800" w:right="220" w:hanging="404"/>
        <w:spacing w:after="0" w:line="207" w:lineRule="auto"/>
        <w:tabs>
          <w:tab w:leader="none" w:pos="18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by Investor D, Investor E and/or Investor F, if the Closing Conditions set forth under Section 3.1 shall have not been satisfied or waived in writing by such Investor on or before October 31, 2022, provided that if not all the Investor D, Investor E and Investor F elect to terminate this Agreement, this Agreement shall remain effective and binding upon the remaining investors and the other Parties; or</w:t>
      </w:r>
    </w:p>
    <w:p>
      <w:pPr>
        <w:spacing w:after="0" w:line="3" w:lineRule="exact"/>
        <w:rPr>
          <w:rFonts w:ascii="Arial" w:cs="Arial" w:eastAsia="Arial" w:hAnsi="Arial"/>
          <w:sz w:val="20"/>
          <w:szCs w:val="20"/>
          <w:color w:val="auto"/>
        </w:rPr>
      </w:pPr>
    </w:p>
    <w:p>
      <w:pPr>
        <w:jc w:val="both"/>
        <w:ind w:left="1800" w:right="240" w:hanging="404"/>
        <w:spacing w:after="0" w:line="227" w:lineRule="auto"/>
        <w:tabs>
          <w:tab w:leader="none" w:pos="1787"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by AHK, if all Closing Conditions have been satisfied or waived on or before October 31, 2022 but the Investor D, Investor E and/or Investor F fail to fund and transfer their Capital Contribution Amount to the Company’s bank account;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(iii) shall not apply if another Investor(s) acceptable to AHK funds and transfers a Capital Contribution Amount making up for aggregate unfunded Investor obligations.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12.1 </w:t>
      </w:r>
      <w:r>
        <w:rPr>
          <w:rFonts w:ascii="Arial" w:cs="Arial" w:eastAsia="Arial" w:hAnsi="Arial"/>
          <w:sz w:val="19"/>
          <w:szCs w:val="19"/>
          <w:u w:val="single" w:color="auto"/>
          <w:color w:val="auto"/>
        </w:rPr>
        <w:t>Shareholders’ Meeting to Discuss Termination and Dissolution</w:t>
      </w:r>
    </w:p>
    <w:p>
      <w:pPr>
        <w:spacing w:after="0" w:line="319" w:lineRule="exact"/>
        <w:rPr>
          <w:sz w:val="20"/>
          <w:szCs w:val="20"/>
          <w:color w:val="auto"/>
        </w:rPr>
      </w:pPr>
    </w:p>
    <w:p>
      <w:pPr>
        <w:ind w:left="1360" w:hanging="510"/>
        <w:spacing w:after="0"/>
        <w:tabs>
          <w:tab w:leader="none" w:pos="13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Upon the occurrence of any of the events of termination enumerated in Section</w:t>
      </w:r>
    </w:p>
    <w:p>
      <w:pPr>
        <w:spacing w:after="0" w:line="2" w:lineRule="exact"/>
        <w:rPr>
          <w:rFonts w:ascii="Arial" w:cs="Arial" w:eastAsia="Arial" w:hAnsi="Arial"/>
          <w:sz w:val="20"/>
          <w:szCs w:val="20"/>
          <w:color w:val="auto"/>
        </w:rPr>
      </w:pPr>
    </w:p>
    <w:p>
      <w:pPr>
        <w:ind w:left="1360"/>
        <w:spacing w:after="0" w:line="220" w:lineRule="auto"/>
        <w:rPr>
          <w:rFonts w:ascii="Arial" w:cs="Arial" w:eastAsia="Arial" w:hAnsi="Arial"/>
          <w:sz w:val="20"/>
          <w:szCs w:val="20"/>
          <w:color w:val="auto"/>
        </w:rPr>
      </w:pPr>
      <w:r>
        <w:rPr>
          <w:rFonts w:ascii="Arial" w:cs="Arial" w:eastAsia="Arial" w:hAnsi="Arial"/>
          <w:sz w:val="20"/>
          <w:szCs w:val="20"/>
          <w:color w:val="auto"/>
        </w:rPr>
        <w:t>12.2 above, any Party may request that a meeting of the Shareholders’ Meeting be convened to discuss the termination of this Agreement. The Board must convene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0960"/>
          </w:cols>
          <w:pgMar w:left="400" w:top="1440" w:right="539" w:bottom="1440" w:gutter="0" w:footer="0" w:header="0"/>
          <w:type w:val="continuous"/>
        </w:sectPr>
      </w:pPr>
    </w:p>
    <w:bookmarkStart w:id="100" w:name="page101"/>
    <w:bookmarkEnd w:id="100"/>
    <w:p>
      <w:pPr>
        <w:spacing w:after="0" w:line="195" w:lineRule="exact"/>
        <w:rPr>
          <w:sz w:val="20"/>
          <w:szCs w:val="20"/>
          <w:color w:val="auto"/>
        </w:rPr>
      </w:pPr>
    </w:p>
    <w:p>
      <w:pPr>
        <w:ind w:left="1360" w:right="500"/>
        <w:spacing w:after="0" w:line="229" w:lineRule="auto"/>
        <w:rPr>
          <w:sz w:val="20"/>
          <w:szCs w:val="20"/>
          <w:color w:val="auto"/>
        </w:rPr>
      </w:pPr>
      <w:r>
        <w:rPr>
          <w:rFonts w:ascii="Arial" w:cs="Arial" w:eastAsia="Arial" w:hAnsi="Arial"/>
          <w:sz w:val="20"/>
          <w:szCs w:val="20"/>
          <w:color w:val="auto"/>
        </w:rPr>
        <w:t>a meeting of the Shareholders’ Meeting within ten (10) days of the receipt of that request in accordance with the provisions regarding Shareholders’ Meeting.</w:t>
      </w:r>
    </w:p>
    <w:p>
      <w:pPr>
        <w:spacing w:after="0" w:line="209" w:lineRule="exact"/>
        <w:rPr>
          <w:sz w:val="20"/>
          <w:szCs w:val="20"/>
          <w:color w:val="auto"/>
        </w:rPr>
      </w:pPr>
    </w:p>
    <w:p>
      <w:pPr>
        <w:ind w:left="1360" w:right="20" w:hanging="509"/>
        <w:spacing w:after="0" w:line="229" w:lineRule="auto"/>
        <w:tabs>
          <w:tab w:leader="none" w:pos="135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At the meeting of the Shareholders’ Meeting, if the Shareholders are unable to reach any other solution acceptable to the Shareholders, the Shareholders may vote to dissolve and liquidate the Company.</w:t>
      </w: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12.7 </w:t>
      </w:r>
      <w:r>
        <w:rPr>
          <w:rFonts w:ascii="Arial" w:cs="Arial" w:eastAsia="Arial" w:hAnsi="Arial"/>
          <w:sz w:val="19"/>
          <w:szCs w:val="19"/>
          <w:u w:val="single" w:color="auto"/>
          <w:color w:val="auto"/>
        </w:rPr>
        <w:t>Dissolution due to Termination</w:t>
      </w:r>
    </w:p>
    <w:p>
      <w:pPr>
        <w:spacing w:after="0" w:line="305" w:lineRule="exact"/>
        <w:rPr>
          <w:sz w:val="20"/>
          <w:szCs w:val="20"/>
          <w:color w:val="auto"/>
        </w:rPr>
      </w:pPr>
    </w:p>
    <w:p>
      <w:pPr>
        <w:ind w:left="860" w:right="20"/>
        <w:spacing w:after="0" w:line="236" w:lineRule="auto"/>
        <w:rPr>
          <w:sz w:val="20"/>
          <w:szCs w:val="20"/>
          <w:color w:val="auto"/>
        </w:rPr>
      </w:pPr>
      <w:r>
        <w:rPr>
          <w:rFonts w:ascii="Arial" w:cs="Arial" w:eastAsia="Arial" w:hAnsi="Arial"/>
          <w:sz w:val="18"/>
          <w:szCs w:val="18"/>
          <w:color w:val="auto"/>
        </w:rPr>
        <w:t>Upon a termination pursuant to Sections 12.2 and 12.3 above, the Company shall be liquidated and dissolved, and the Shareholders shall liquidate the Company in accordance with ARTICLE 13, the applicable PRC Laws and the provisions of</w:t>
      </w:r>
    </w:p>
    <w:p>
      <w:pPr>
        <w:ind w:left="860"/>
        <w:spacing w:after="0"/>
        <w:rPr>
          <w:sz w:val="20"/>
          <w:szCs w:val="20"/>
          <w:color w:val="auto"/>
        </w:rPr>
      </w:pPr>
      <w:r>
        <w:rPr>
          <w:rFonts w:ascii="Arial" w:cs="Arial" w:eastAsia="Arial" w:hAnsi="Arial"/>
          <w:sz w:val="20"/>
          <w:szCs w:val="20"/>
          <w:color w:val="auto"/>
        </w:rPr>
        <w:t>this Agreement.</w:t>
      </w:r>
    </w:p>
    <w:p>
      <w:pPr>
        <w:spacing w:after="0" w:line="200" w:lineRule="exact"/>
        <w:rPr>
          <w:sz w:val="20"/>
          <w:szCs w:val="20"/>
          <w:color w:val="auto"/>
        </w:rPr>
      </w:pPr>
    </w:p>
    <w:p>
      <w:pPr>
        <w:spacing w:after="0" w:line="232"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ARTICLE 13 DISSOLUTION AND LIQUIDATION</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13.4 </w:t>
      </w:r>
      <w:r>
        <w:rPr>
          <w:rFonts w:ascii="Arial" w:cs="Arial" w:eastAsia="Arial" w:hAnsi="Arial"/>
          <w:sz w:val="19"/>
          <w:szCs w:val="19"/>
          <w:u w:val="single" w:color="auto"/>
          <w:color w:val="auto"/>
        </w:rPr>
        <w:t>Liquidation Committee</w:t>
      </w:r>
    </w:p>
    <w:p>
      <w:pPr>
        <w:spacing w:after="0" w:line="305" w:lineRule="exact"/>
        <w:rPr>
          <w:sz w:val="20"/>
          <w:szCs w:val="20"/>
          <w:color w:val="auto"/>
        </w:rPr>
      </w:pPr>
    </w:p>
    <w:p>
      <w:pPr>
        <w:jc w:val="both"/>
        <w:ind w:left="1360" w:hanging="509"/>
        <w:spacing w:after="0" w:line="223" w:lineRule="auto"/>
        <w:tabs>
          <w:tab w:leader="none" w:pos="1353" w:val="left"/>
        </w:tabs>
        <w:numPr>
          <w:ilvl w:val="0"/>
          <w:numId w:val="61"/>
        </w:numPr>
        <w:rPr>
          <w:rFonts w:ascii="Arial" w:cs="Arial" w:eastAsia="Arial" w:hAnsi="Arial"/>
          <w:sz w:val="20"/>
          <w:szCs w:val="20"/>
          <w:color w:val="auto"/>
        </w:rPr>
      </w:pPr>
      <w:r>
        <w:rPr>
          <w:rFonts w:ascii="Arial" w:cs="Arial" w:eastAsia="Arial" w:hAnsi="Arial"/>
          <w:sz w:val="20"/>
          <w:szCs w:val="20"/>
          <w:color w:val="auto"/>
        </w:rPr>
        <w:t>If the Company is to be liquidated in accordance with Section 12.4, the Parties shall establish a liquidation committee (“</w:t>
      </w:r>
      <w:r>
        <w:rPr>
          <w:rFonts w:ascii="Arial" w:cs="Arial" w:eastAsia="Arial" w:hAnsi="Arial"/>
          <w:sz w:val="20"/>
          <w:szCs w:val="20"/>
          <w:b w:val="1"/>
          <w:bCs w:val="1"/>
          <w:color w:val="auto"/>
        </w:rPr>
        <w:t>Liquidation Committee</w:t>
      </w:r>
      <w:r>
        <w:rPr>
          <w:rFonts w:ascii="Arial" w:cs="Arial" w:eastAsia="Arial" w:hAnsi="Arial"/>
          <w:sz w:val="20"/>
          <w:szCs w:val="20"/>
          <w:color w:val="auto"/>
        </w:rPr>
        <w:t>”) pursuant to PRC Laws. The costs and expenses of the Liquidation Committee shall be paid by the Company.</w:t>
      </w:r>
    </w:p>
    <w:p>
      <w:pPr>
        <w:spacing w:after="0" w:line="195" w:lineRule="exact"/>
        <w:rPr>
          <w:rFonts w:ascii="Arial" w:cs="Arial" w:eastAsia="Arial" w:hAnsi="Arial"/>
          <w:sz w:val="20"/>
          <w:szCs w:val="20"/>
          <w:color w:val="auto"/>
        </w:rPr>
      </w:pPr>
    </w:p>
    <w:p>
      <w:pPr>
        <w:jc w:val="both"/>
        <w:ind w:left="1360" w:right="20" w:hanging="509"/>
        <w:spacing w:after="0" w:line="223" w:lineRule="auto"/>
        <w:tabs>
          <w:tab w:leader="none" w:pos="1350" w:val="left"/>
        </w:tabs>
        <w:numPr>
          <w:ilvl w:val="0"/>
          <w:numId w:val="61"/>
        </w:numPr>
        <w:rPr>
          <w:rFonts w:ascii="Arial" w:cs="Arial" w:eastAsia="Arial" w:hAnsi="Arial"/>
          <w:sz w:val="20"/>
          <w:szCs w:val="20"/>
          <w:color w:val="auto"/>
        </w:rPr>
      </w:pPr>
      <w:r>
        <w:rPr>
          <w:rFonts w:ascii="Arial" w:cs="Arial" w:eastAsia="Arial" w:hAnsi="Arial"/>
          <w:sz w:val="20"/>
          <w:szCs w:val="20"/>
          <w:color w:val="auto"/>
        </w:rPr>
        <w:t>Upon completion of the liquidation of the Company, the Liquidation Committee shall prepare a liquidation report, which shall be submitted to the Shareholders’ Meeting for confirmation, and the Company shall then complete the de-registration procedures with the Registration Authority.</w:t>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13.1 </w:t>
      </w:r>
      <w:r>
        <w:rPr>
          <w:rFonts w:ascii="Arial" w:cs="Arial" w:eastAsia="Arial" w:hAnsi="Arial"/>
          <w:sz w:val="19"/>
          <w:szCs w:val="19"/>
          <w:u w:val="single" w:color="auto"/>
          <w:color w:val="auto"/>
        </w:rPr>
        <w:t>Principles of Liquidation</w:t>
      </w:r>
    </w:p>
    <w:p>
      <w:pPr>
        <w:spacing w:after="0" w:line="292" w:lineRule="exact"/>
        <w:rPr>
          <w:sz w:val="20"/>
          <w:szCs w:val="20"/>
          <w:color w:val="auto"/>
        </w:rPr>
      </w:pPr>
    </w:p>
    <w:p>
      <w:pPr>
        <w:ind w:left="860" w:right="20"/>
        <w:spacing w:after="0" w:line="244" w:lineRule="auto"/>
        <w:rPr>
          <w:sz w:val="20"/>
          <w:szCs w:val="20"/>
          <w:color w:val="auto"/>
        </w:rPr>
      </w:pPr>
      <w:r>
        <w:rPr>
          <w:rFonts w:ascii="Arial" w:cs="Arial" w:eastAsia="Arial" w:hAnsi="Arial"/>
          <w:sz w:val="18"/>
          <w:szCs w:val="18"/>
          <w:color w:val="auto"/>
        </w:rPr>
        <w:t>The Liquidation Committee shall conduct an overall inspection and stock take of the Company’s assets, creditors’ rights and liabilities, prepare a balance sheet and assets inventory, put forward the basis on which the Company’s assets are to be</w:t>
      </w:r>
    </w:p>
    <w:p>
      <w:pPr>
        <w:ind w:left="860"/>
        <w:spacing w:after="0" w:line="255" w:lineRule="auto"/>
        <w:rPr>
          <w:sz w:val="20"/>
          <w:szCs w:val="20"/>
          <w:color w:val="auto"/>
        </w:rPr>
      </w:pPr>
      <w:r>
        <w:rPr>
          <w:rFonts w:ascii="Arial" w:cs="Arial" w:eastAsia="Arial" w:hAnsi="Arial"/>
          <w:sz w:val="16"/>
          <w:szCs w:val="16"/>
          <w:color w:val="auto"/>
        </w:rPr>
        <w:t>valued and computed, and apply the assets of the Company to satisfy the Company’s liabilities. Thereafter, the remaining assets of the Company shall be distributed to the Parties in accordance with Section 1 of Schedule 1; provided, however, that</w:t>
      </w:r>
    </w:p>
    <w:p>
      <w:pPr>
        <w:spacing w:after="0" w:line="1" w:lineRule="exact"/>
        <w:rPr>
          <w:sz w:val="20"/>
          <w:szCs w:val="20"/>
          <w:color w:val="auto"/>
        </w:rPr>
      </w:pPr>
    </w:p>
    <w:p>
      <w:pPr>
        <w:ind w:left="860" w:right="20"/>
        <w:spacing w:after="0" w:line="227" w:lineRule="auto"/>
        <w:rPr>
          <w:sz w:val="20"/>
          <w:szCs w:val="20"/>
          <w:color w:val="auto"/>
        </w:rPr>
      </w:pPr>
      <w:r>
        <w:rPr>
          <w:rFonts w:ascii="Arial" w:cs="Arial" w:eastAsia="Arial" w:hAnsi="Arial"/>
          <w:sz w:val="20"/>
          <w:szCs w:val="20"/>
          <w:color w:val="auto"/>
        </w:rPr>
        <w:t>any cash or assets to be distributed to the Breaching Party shall be used with priority to pay for the damages payable by the Breaching Party to the non-breaching Party.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13.2 </w:t>
      </w:r>
      <w:r>
        <w:rPr>
          <w:rFonts w:ascii="Arial" w:cs="Arial" w:eastAsia="Arial" w:hAnsi="Arial"/>
          <w:sz w:val="19"/>
          <w:szCs w:val="19"/>
          <w:u w:val="single" w:color="auto"/>
          <w:color w:val="auto"/>
        </w:rPr>
        <w:t>Survival</w:t>
      </w:r>
    </w:p>
    <w:p>
      <w:pPr>
        <w:spacing w:after="0" w:line="305" w:lineRule="exact"/>
        <w:rPr>
          <w:sz w:val="20"/>
          <w:szCs w:val="20"/>
          <w:color w:val="auto"/>
        </w:rPr>
      </w:pPr>
    </w:p>
    <w:p>
      <w:pPr>
        <w:ind w:left="860" w:right="20"/>
        <w:spacing w:after="0" w:line="236" w:lineRule="auto"/>
        <w:rPr>
          <w:sz w:val="20"/>
          <w:szCs w:val="20"/>
          <w:color w:val="auto"/>
        </w:rPr>
      </w:pPr>
      <w:r>
        <w:rPr>
          <w:rFonts w:ascii="Arial" w:cs="Arial" w:eastAsia="Arial" w:hAnsi="Arial"/>
          <w:sz w:val="18"/>
          <w:szCs w:val="18"/>
          <w:color w:val="auto"/>
        </w:rPr>
        <w:t>In case of a termination of this Agreement, none of the Parties shall be relieved from any obligation and responsibilities towards the Company or the other Party until the date of the resolution of the Shareholders’ Meeting to liquidate the</w:t>
      </w:r>
    </w:p>
    <w:p>
      <w:pPr>
        <w:ind w:left="860"/>
        <w:spacing w:after="0"/>
        <w:rPr>
          <w:sz w:val="20"/>
          <w:szCs w:val="20"/>
          <w:color w:val="auto"/>
        </w:rPr>
      </w:pPr>
      <w:r>
        <w:rPr>
          <w:rFonts w:ascii="Arial" w:cs="Arial" w:eastAsia="Arial" w:hAnsi="Arial"/>
          <w:sz w:val="20"/>
          <w:szCs w:val="20"/>
          <w:color w:val="auto"/>
        </w:rPr>
        <w:t>Company.</w:t>
      </w:r>
    </w:p>
    <w:p>
      <w:pPr>
        <w:spacing w:after="0" w:line="200" w:lineRule="exact"/>
        <w:rPr>
          <w:sz w:val="20"/>
          <w:szCs w:val="20"/>
          <w:color w:val="auto"/>
        </w:rPr>
      </w:pPr>
    </w:p>
    <w:p>
      <w:pPr>
        <w:spacing w:after="0" w:line="232"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ARTICLE 14 INDEMNIFICATION</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14.3 </w:t>
      </w:r>
      <w:r>
        <w:rPr>
          <w:rFonts w:ascii="Arial" w:cs="Arial" w:eastAsia="Arial" w:hAnsi="Arial"/>
          <w:sz w:val="19"/>
          <w:szCs w:val="19"/>
          <w:u w:val="single" w:color="auto"/>
          <w:color w:val="auto"/>
        </w:rPr>
        <w:t>Indemnification for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0740"/>
          </w:cols>
          <w:pgMar w:left="400" w:top="1440" w:right="759" w:bottom="1440" w:gutter="0" w:footer="0" w:header="0"/>
        </w:sectPr>
      </w:pPr>
    </w:p>
    <w:bookmarkStart w:id="101" w:name="page102"/>
    <w:bookmarkEnd w:id="101"/>
    <w:p>
      <w:pPr>
        <w:spacing w:after="0" w:line="189" w:lineRule="exact"/>
        <w:rPr>
          <w:sz w:val="20"/>
          <w:szCs w:val="20"/>
          <w:color w:val="auto"/>
        </w:rPr>
      </w:pPr>
    </w:p>
    <w:p>
      <w:pPr>
        <w:jc w:val="both"/>
        <w:ind w:left="860" w:right="20"/>
        <w:spacing w:after="0" w:line="239" w:lineRule="auto"/>
        <w:rPr>
          <w:sz w:val="20"/>
          <w:szCs w:val="20"/>
          <w:color w:val="auto"/>
        </w:rPr>
      </w:pPr>
      <w:r>
        <w:rPr>
          <w:rFonts w:ascii="Arial" w:cs="Arial" w:eastAsia="Arial" w:hAnsi="Arial"/>
          <w:sz w:val="18"/>
          <w:szCs w:val="18"/>
          <w:color w:val="auto"/>
        </w:rPr>
        <w:t>If a non-breaching Party (or both) (“</w:t>
      </w:r>
      <w:r>
        <w:rPr>
          <w:rFonts w:ascii="Arial" w:cs="Arial" w:eastAsia="Arial" w:hAnsi="Arial"/>
          <w:sz w:val="18"/>
          <w:szCs w:val="18"/>
          <w:b w:val="1"/>
          <w:bCs w:val="1"/>
          <w:color w:val="auto"/>
        </w:rPr>
        <w:t>Indemnitees</w:t>
      </w:r>
      <w:r>
        <w:rPr>
          <w:rFonts w:ascii="Arial" w:cs="Arial" w:eastAsia="Arial" w:hAnsi="Arial"/>
          <w:sz w:val="18"/>
          <w:szCs w:val="18"/>
          <w:color w:val="auto"/>
        </w:rPr>
        <w:t>”) suffers any expense, liability or loss, (including lost profits of the Company but excluding any other indirect or consequential losses of any nature) as a result of a breach of this Agreement,</w:t>
      </w:r>
    </w:p>
    <w:p>
      <w:pPr>
        <w:spacing w:after="0" w:line="1" w:lineRule="exact"/>
        <w:rPr>
          <w:sz w:val="20"/>
          <w:szCs w:val="20"/>
          <w:color w:val="auto"/>
        </w:rPr>
      </w:pPr>
    </w:p>
    <w:p>
      <w:pPr>
        <w:jc w:val="both"/>
        <w:ind w:left="860" w:right="20"/>
        <w:spacing w:after="0" w:line="227" w:lineRule="auto"/>
        <w:rPr>
          <w:sz w:val="20"/>
          <w:szCs w:val="20"/>
          <w:color w:val="auto"/>
        </w:rPr>
      </w:pPr>
      <w:r>
        <w:rPr>
          <w:rFonts w:ascii="Arial" w:cs="Arial" w:eastAsia="Arial" w:hAnsi="Arial"/>
          <w:sz w:val="20"/>
          <w:szCs w:val="20"/>
          <w:color w:val="auto"/>
        </w:rPr>
        <w:t>the breaching Party (“</w:t>
      </w:r>
      <w:r>
        <w:rPr>
          <w:rFonts w:ascii="Arial" w:cs="Arial" w:eastAsia="Arial" w:hAnsi="Arial"/>
          <w:sz w:val="20"/>
          <w:szCs w:val="20"/>
          <w:b w:val="1"/>
          <w:bCs w:val="1"/>
          <w:color w:val="auto"/>
        </w:rPr>
        <w:t>Indemnifying Party</w:t>
      </w:r>
      <w:r>
        <w:rPr>
          <w:rFonts w:ascii="Arial" w:cs="Arial" w:eastAsia="Arial" w:hAnsi="Arial"/>
          <w:sz w:val="20"/>
          <w:szCs w:val="20"/>
          <w:color w:val="auto"/>
        </w:rPr>
        <w:t>”) shall indemnify and defend the one or more Indemnitees against all demands, claims, Proceedings, and losses, including third-party claims.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14.4 </w:t>
      </w:r>
      <w:r>
        <w:rPr>
          <w:rFonts w:ascii="Arial" w:cs="Arial" w:eastAsia="Arial" w:hAnsi="Arial"/>
          <w:sz w:val="19"/>
          <w:szCs w:val="19"/>
          <w:u w:val="single" w:color="auto"/>
          <w:color w:val="auto"/>
        </w:rPr>
        <w:t>Damages for Breach</w:t>
      </w:r>
    </w:p>
    <w:p>
      <w:pPr>
        <w:spacing w:after="0" w:line="305" w:lineRule="exact"/>
        <w:rPr>
          <w:sz w:val="20"/>
          <w:szCs w:val="20"/>
          <w:color w:val="auto"/>
        </w:rPr>
      </w:pPr>
    </w:p>
    <w:p>
      <w:pPr>
        <w:jc w:val="both"/>
        <w:ind w:left="860" w:right="20"/>
        <w:spacing w:after="0" w:line="236" w:lineRule="auto"/>
        <w:rPr>
          <w:sz w:val="20"/>
          <w:szCs w:val="20"/>
          <w:color w:val="auto"/>
        </w:rPr>
      </w:pPr>
      <w:r>
        <w:rPr>
          <w:rFonts w:ascii="Arial" w:cs="Arial" w:eastAsia="Arial" w:hAnsi="Arial"/>
          <w:sz w:val="18"/>
          <w:szCs w:val="18"/>
          <w:color w:val="auto"/>
        </w:rPr>
        <w:t>Each Party acknowledges that any breach of the covenants contained in this Agreement would cause irreparable injury so that damages and remedies under PRC Law for any breach of any such covenant would be inadequate. The remedies</w:t>
      </w:r>
    </w:p>
    <w:p>
      <w:pPr>
        <w:jc w:val="both"/>
        <w:ind w:left="860" w:right="20"/>
        <w:spacing w:after="0" w:line="227" w:lineRule="auto"/>
        <w:rPr>
          <w:sz w:val="20"/>
          <w:szCs w:val="20"/>
          <w:color w:val="auto"/>
        </w:rPr>
      </w:pPr>
      <w:r>
        <w:rPr>
          <w:rFonts w:ascii="Arial" w:cs="Arial" w:eastAsia="Arial" w:hAnsi="Arial"/>
          <w:sz w:val="20"/>
          <w:szCs w:val="20"/>
          <w:color w:val="auto"/>
        </w:rPr>
        <w:t xml:space="preserve">provided under this </w:t>
      </w:r>
      <w:r>
        <w:rPr>
          <w:rFonts w:ascii="Arial" w:cs="Arial" w:eastAsia="Arial" w:hAnsi="Arial"/>
          <w:sz w:val="20"/>
          <w:szCs w:val="20"/>
          <w:u w:val="single" w:color="auto"/>
          <w:color w:val="auto"/>
        </w:rPr>
        <w:t>Article 14</w:t>
      </w:r>
      <w:r>
        <w:rPr>
          <w:rFonts w:ascii="Arial" w:cs="Arial" w:eastAsia="Arial" w:hAnsi="Arial"/>
          <w:sz w:val="20"/>
          <w:szCs w:val="20"/>
          <w:color w:val="auto"/>
        </w:rPr>
        <w:t xml:space="preserve"> will be non-exclusive and the Indemnitees will be free to pursue all remedies available at Law or otherwise against the Indemnifying Parties, including for injunction and liquidated damages.</w:t>
      </w:r>
    </w:p>
    <w:p>
      <w:pPr>
        <w:spacing w:after="0" w:line="200" w:lineRule="exact"/>
        <w:rPr>
          <w:sz w:val="20"/>
          <w:szCs w:val="20"/>
          <w:color w:val="auto"/>
        </w:rPr>
      </w:pPr>
    </w:p>
    <w:p>
      <w:pPr>
        <w:spacing w:after="0" w:line="216"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auto"/>
        </w:rPr>
        <w:t>ARTICLE 15 GOVERNING LAW AND DISPUTE RESOLUTION</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15.5 </w:t>
      </w:r>
      <w:r>
        <w:rPr>
          <w:rFonts w:ascii="Arial" w:cs="Arial" w:eastAsia="Arial" w:hAnsi="Arial"/>
          <w:sz w:val="19"/>
          <w:szCs w:val="19"/>
          <w:u w:val="single" w:color="auto"/>
          <w:color w:val="auto"/>
        </w:rPr>
        <w:t>Applicable Law</w:t>
      </w:r>
    </w:p>
    <w:p>
      <w:pPr>
        <w:spacing w:after="0" w:line="305" w:lineRule="exact"/>
        <w:rPr>
          <w:sz w:val="20"/>
          <w:szCs w:val="20"/>
          <w:color w:val="auto"/>
        </w:rPr>
      </w:pPr>
    </w:p>
    <w:p>
      <w:pPr>
        <w:jc w:val="both"/>
        <w:ind w:left="860" w:right="20"/>
        <w:spacing w:after="0" w:line="229" w:lineRule="auto"/>
        <w:rPr>
          <w:sz w:val="20"/>
          <w:szCs w:val="20"/>
          <w:color w:val="auto"/>
        </w:rPr>
      </w:pPr>
      <w:r>
        <w:rPr>
          <w:rFonts w:ascii="Arial" w:cs="Arial" w:eastAsia="Arial" w:hAnsi="Arial"/>
          <w:sz w:val="20"/>
          <w:szCs w:val="20"/>
          <w:color w:val="auto"/>
        </w:rPr>
        <w:t>The formation, validity, interpretation, execution of this Agreement and settlement of any Disputes arising hereunder shall be governed by and in accordance with the PRC Laws.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15.6 </w:t>
      </w:r>
      <w:r>
        <w:rPr>
          <w:rFonts w:ascii="Arial" w:cs="Arial" w:eastAsia="Arial" w:hAnsi="Arial"/>
          <w:sz w:val="19"/>
          <w:szCs w:val="19"/>
          <w:u w:val="single" w:color="auto"/>
          <w:color w:val="auto"/>
        </w:rPr>
        <w:t>Dispute Resolution</w:t>
      </w:r>
    </w:p>
    <w:p>
      <w:pPr>
        <w:spacing w:after="0" w:line="292" w:lineRule="exact"/>
        <w:rPr>
          <w:sz w:val="20"/>
          <w:szCs w:val="20"/>
          <w:color w:val="auto"/>
        </w:rPr>
      </w:pPr>
    </w:p>
    <w:p>
      <w:pPr>
        <w:jc w:val="both"/>
        <w:ind w:left="860" w:right="20"/>
        <w:spacing w:after="0" w:line="212" w:lineRule="auto"/>
        <w:rPr>
          <w:sz w:val="20"/>
          <w:szCs w:val="20"/>
          <w:color w:val="auto"/>
        </w:rPr>
      </w:pPr>
      <w:r>
        <w:rPr>
          <w:rFonts w:ascii="Arial" w:cs="Arial" w:eastAsia="Arial" w:hAnsi="Arial"/>
          <w:sz w:val="20"/>
          <w:szCs w:val="20"/>
          <w:color w:val="auto"/>
        </w:rPr>
        <w:t>Any dispute, controversy or claim arising under or relating to this Agreement, or any breach hereof (collectively the “</w:t>
      </w:r>
      <w:r>
        <w:rPr>
          <w:rFonts w:ascii="Arial" w:cs="Arial" w:eastAsia="Arial" w:hAnsi="Arial"/>
          <w:sz w:val="20"/>
          <w:szCs w:val="20"/>
          <w:b w:val="1"/>
          <w:bCs w:val="1"/>
          <w:color w:val="auto"/>
        </w:rPr>
        <w:t>Disputes</w:t>
      </w:r>
      <w:r>
        <w:rPr>
          <w:rFonts w:ascii="Arial" w:cs="Arial" w:eastAsia="Arial" w:hAnsi="Arial"/>
          <w:sz w:val="20"/>
          <w:szCs w:val="20"/>
          <w:color w:val="auto"/>
        </w:rPr>
        <w:t>”) shall be resolved through amicable negotiation by the Parties. If the Dispute is not resolved through negotiation within thirty</w:t>
      </w:r>
    </w:p>
    <w:p>
      <w:pPr>
        <w:ind w:left="1240" w:hanging="389"/>
        <w:spacing w:after="0" w:line="235" w:lineRule="auto"/>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days of its occurrence, any Party may submit the Dispute to arbitration in accordance with the provisions of Section</w:t>
      </w:r>
    </w:p>
    <w:p>
      <w:pPr>
        <w:ind w:left="860"/>
        <w:spacing w:after="0"/>
        <w:rPr>
          <w:rFonts w:ascii="Arial" w:cs="Arial" w:eastAsia="Arial" w:hAnsi="Arial"/>
          <w:sz w:val="18"/>
          <w:szCs w:val="18"/>
          <w:color w:val="auto"/>
        </w:rPr>
      </w:pPr>
      <w:r>
        <w:rPr>
          <w:rFonts w:ascii="Arial" w:cs="Arial" w:eastAsia="Arial" w:hAnsi="Arial"/>
          <w:sz w:val="20"/>
          <w:szCs w:val="20"/>
          <w:color w:val="auto"/>
        </w:rPr>
        <w:t>15.3.</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15.7 </w:t>
      </w:r>
      <w:r>
        <w:rPr>
          <w:rFonts w:ascii="Arial" w:cs="Arial" w:eastAsia="Arial" w:hAnsi="Arial"/>
          <w:sz w:val="19"/>
          <w:szCs w:val="19"/>
          <w:u w:val="single" w:color="auto"/>
          <w:color w:val="auto"/>
        </w:rPr>
        <w:t>Arbitration</w:t>
      </w:r>
    </w:p>
    <w:p>
      <w:pPr>
        <w:spacing w:after="0" w:line="292" w:lineRule="exact"/>
        <w:rPr>
          <w:sz w:val="20"/>
          <w:szCs w:val="20"/>
          <w:color w:val="auto"/>
        </w:rPr>
      </w:pPr>
    </w:p>
    <w:p>
      <w:pPr>
        <w:jc w:val="both"/>
        <w:ind w:left="1360" w:right="20" w:hanging="509"/>
        <w:spacing w:after="0" w:line="220" w:lineRule="auto"/>
        <w:tabs>
          <w:tab w:leader="none" w:pos="1353"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Dispute that is not resolved in accordance with Section 15.2 shall be settled by final arbitration binding upon the Parties in Shanghai at the Shanghai International Economic and Trade Arbitration Commission by an arbitration tribunal in Shanghai, China in accordance with the then effective arbitration rules of the Shanghai International Economic and Trade Arbitration Commission.</w:t>
      </w:r>
    </w:p>
    <w:p>
      <w:pPr>
        <w:spacing w:after="0" w:line="196" w:lineRule="exact"/>
        <w:rPr>
          <w:rFonts w:ascii="Arial" w:cs="Arial" w:eastAsia="Arial" w:hAnsi="Arial"/>
          <w:sz w:val="20"/>
          <w:szCs w:val="20"/>
          <w:color w:val="auto"/>
        </w:rPr>
      </w:pPr>
    </w:p>
    <w:p>
      <w:pPr>
        <w:jc w:val="both"/>
        <w:ind w:left="1360" w:right="20" w:hanging="509"/>
        <w:spacing w:after="0" w:line="252" w:lineRule="auto"/>
        <w:tabs>
          <w:tab w:leader="none" w:pos="13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arbitration proceedings shall be conducted in English and Chinese, using qualified translators. The Parties shall use their best efforts to effect the prompt execution of any such award and shall render whatever assistance as may necessary to this end. The arbitral reward shall be enforced by any court of competent jurisdiction, if necessary.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360" w:hanging="509"/>
        <w:spacing w:after="0" w:line="252"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losing Party shall be responsible for the costs of the Shanghai International Economic and Trade Arbitration Commission, the fees of the arbitrators, fees and expenses of the arbitration proceedings and all costs and expenses in relation to the enforcement of any arbitral award, including reasonable attorneys’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0740"/>
          </w:cols>
          <w:pgMar w:left="400" w:top="1440" w:right="759" w:bottom="1440" w:gutter="0" w:footer="0" w:header="0"/>
        </w:sectPr>
      </w:pPr>
    </w:p>
    <w:bookmarkStart w:id="102" w:name="page103"/>
    <w:bookmarkEnd w:id="102"/>
    <w:p>
      <w:pPr>
        <w:spacing w:after="0" w:line="1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15.1 </w:t>
      </w:r>
      <w:r>
        <w:rPr>
          <w:rFonts w:ascii="Arial" w:cs="Arial" w:eastAsia="Arial" w:hAnsi="Arial"/>
          <w:sz w:val="19"/>
          <w:szCs w:val="19"/>
          <w:u w:val="single" w:color="auto"/>
          <w:color w:val="auto"/>
        </w:rPr>
        <w:t>Continued Performance</w:t>
      </w:r>
    </w:p>
    <w:p>
      <w:pPr>
        <w:spacing w:after="0" w:line="292" w:lineRule="exact"/>
        <w:rPr>
          <w:sz w:val="20"/>
          <w:szCs w:val="20"/>
          <w:color w:val="auto"/>
        </w:rPr>
      </w:pPr>
    </w:p>
    <w:p>
      <w:pPr>
        <w:ind w:left="860" w:right="720"/>
        <w:spacing w:after="0" w:line="236" w:lineRule="auto"/>
        <w:rPr>
          <w:sz w:val="20"/>
          <w:szCs w:val="20"/>
          <w:color w:val="auto"/>
        </w:rPr>
      </w:pPr>
      <w:r>
        <w:rPr>
          <w:rFonts w:ascii="Arial" w:cs="Arial" w:eastAsia="Arial" w:hAnsi="Arial"/>
          <w:sz w:val="20"/>
          <w:szCs w:val="20"/>
          <w:color w:val="auto"/>
        </w:rPr>
        <w:t>During the period when a Dispute is being resolved, the Parties shall continue to perform this Agreement except for the matters in dispute.</w:t>
      </w: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ARTICLE 16 MISCELLANEOUS PROVISIONS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16.12</w:t>
      </w:r>
      <w:r>
        <w:rPr>
          <w:rFonts w:ascii="Arial" w:cs="Arial" w:eastAsia="Arial" w:hAnsi="Arial"/>
          <w:sz w:val="19"/>
          <w:szCs w:val="19"/>
          <w:u w:val="single" w:color="auto"/>
          <w:color w:val="auto"/>
        </w:rPr>
        <w:t>Effectiveness of this Agreement</w:t>
      </w:r>
    </w:p>
    <w:p>
      <w:pPr>
        <w:spacing w:after="0" w:line="305" w:lineRule="exact"/>
        <w:rPr>
          <w:sz w:val="20"/>
          <w:szCs w:val="20"/>
          <w:color w:val="auto"/>
        </w:rPr>
      </w:pPr>
    </w:p>
    <w:p>
      <w:pPr>
        <w:ind w:left="860"/>
        <w:spacing w:after="0" w:line="229" w:lineRule="auto"/>
        <w:rPr>
          <w:sz w:val="20"/>
          <w:szCs w:val="20"/>
          <w:color w:val="auto"/>
        </w:rPr>
      </w:pPr>
      <w:r>
        <w:rPr>
          <w:rFonts w:ascii="Arial" w:cs="Arial" w:eastAsia="Arial" w:hAnsi="Arial"/>
          <w:sz w:val="20"/>
          <w:szCs w:val="20"/>
          <w:color w:val="auto"/>
        </w:rPr>
        <w:t>This Agreement shall become effective and binding upon the Parties on the date of signing by duly authorized representatives of the Parties.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16.13</w:t>
      </w:r>
      <w:r>
        <w:rPr>
          <w:rFonts w:ascii="Arial" w:cs="Arial" w:eastAsia="Arial" w:hAnsi="Arial"/>
          <w:sz w:val="19"/>
          <w:szCs w:val="19"/>
          <w:u w:val="single" w:color="auto"/>
          <w:color w:val="auto"/>
        </w:rPr>
        <w:t>Entire Agreement</w:t>
      </w:r>
    </w:p>
    <w:p>
      <w:pPr>
        <w:spacing w:after="0" w:line="305" w:lineRule="exact"/>
        <w:rPr>
          <w:sz w:val="20"/>
          <w:szCs w:val="20"/>
          <w:color w:val="auto"/>
        </w:rPr>
      </w:pPr>
    </w:p>
    <w:p>
      <w:pPr>
        <w:ind w:left="860" w:right="300"/>
        <w:spacing w:after="0" w:line="265" w:lineRule="auto"/>
        <w:rPr>
          <w:sz w:val="20"/>
          <w:szCs w:val="20"/>
          <w:color w:val="auto"/>
        </w:rPr>
      </w:pPr>
      <w:r>
        <w:rPr>
          <w:rFonts w:ascii="Arial" w:cs="Arial" w:eastAsia="Arial" w:hAnsi="Arial"/>
          <w:sz w:val="16"/>
          <w:szCs w:val="16"/>
          <w:color w:val="auto"/>
        </w:rPr>
        <w:t>This Agreement, together with the schedules and annexes, constitutes the entire agreement of the Parties with respect to the subject matter hereof, and shall supersede all previous oral or written agreements, contracts, letters of intent, undertakings</w:t>
      </w:r>
    </w:p>
    <w:p>
      <w:pPr>
        <w:ind w:left="860"/>
        <w:spacing w:after="0" w:line="236" w:lineRule="auto"/>
        <w:rPr>
          <w:sz w:val="20"/>
          <w:szCs w:val="20"/>
          <w:color w:val="auto"/>
        </w:rPr>
      </w:pPr>
      <w:r>
        <w:rPr>
          <w:rFonts w:ascii="Arial" w:cs="Arial" w:eastAsia="Arial" w:hAnsi="Arial"/>
          <w:sz w:val="18"/>
          <w:szCs w:val="18"/>
          <w:color w:val="auto"/>
        </w:rPr>
        <w:t>and communications between the Parties with respect to the subject matter hereof. For the avoidance of doubt, Schedule 1</w:t>
      </w:r>
    </w:p>
    <w:p>
      <w:pPr>
        <w:ind w:left="860" w:right="280"/>
        <w:spacing w:after="0" w:line="204" w:lineRule="auto"/>
        <w:rPr>
          <w:sz w:val="20"/>
          <w:szCs w:val="20"/>
          <w:color w:val="auto"/>
        </w:rPr>
      </w:pPr>
      <w:r>
        <w:rPr>
          <w:rFonts w:ascii="Arial" w:cs="Arial" w:eastAsia="Arial" w:hAnsi="Arial"/>
          <w:sz w:val="20"/>
          <w:szCs w:val="20"/>
          <w:color w:val="auto"/>
        </w:rPr>
        <w:t>(Rights of the Investing Parties) under SHARE PURCHASE AND SHAREHOLDERS AGREEMENT dated on Feb 21st, 2022 among</w:t>
      </w:r>
    </w:p>
    <w:p>
      <w:pPr>
        <w:spacing w:after="0" w:line="1" w:lineRule="exact"/>
        <w:rPr>
          <w:sz w:val="20"/>
          <w:szCs w:val="20"/>
          <w:color w:val="auto"/>
        </w:rPr>
      </w:pPr>
    </w:p>
    <w:p>
      <w:pPr>
        <w:ind w:left="860" w:right="300"/>
        <w:spacing w:after="0" w:line="227" w:lineRule="auto"/>
        <w:rPr>
          <w:sz w:val="20"/>
          <w:szCs w:val="20"/>
          <w:color w:val="auto"/>
        </w:rPr>
      </w:pPr>
      <w:r>
        <w:rPr>
          <w:rFonts w:ascii="Arial" w:cs="Arial" w:eastAsia="Arial" w:hAnsi="Arial"/>
          <w:sz w:val="20"/>
          <w:szCs w:val="20"/>
          <w:color w:val="auto"/>
        </w:rPr>
        <w:t>Investor A, Investor B and Investor C and other relevant parties, shall be expressly superseded by Schedule 1 under this Agreement on and after the Closing Date.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16.14</w:t>
      </w:r>
      <w:r>
        <w:rPr>
          <w:rFonts w:ascii="Arial" w:cs="Arial" w:eastAsia="Arial" w:hAnsi="Arial"/>
          <w:sz w:val="19"/>
          <w:szCs w:val="19"/>
          <w:u w:val="single" w:color="auto"/>
          <w:color w:val="auto"/>
        </w:rPr>
        <w:t>Language</w:t>
      </w:r>
    </w:p>
    <w:p>
      <w:pPr>
        <w:spacing w:after="0" w:line="305" w:lineRule="exact"/>
        <w:rPr>
          <w:sz w:val="20"/>
          <w:szCs w:val="20"/>
          <w:color w:val="auto"/>
        </w:rPr>
      </w:pPr>
    </w:p>
    <w:p>
      <w:pPr>
        <w:ind w:left="860" w:right="300"/>
        <w:spacing w:after="0" w:line="229" w:lineRule="auto"/>
        <w:rPr>
          <w:sz w:val="20"/>
          <w:szCs w:val="20"/>
          <w:color w:val="auto"/>
        </w:rPr>
      </w:pPr>
      <w:r>
        <w:rPr>
          <w:rFonts w:ascii="Arial" w:cs="Arial" w:eastAsia="Arial" w:hAnsi="Arial"/>
          <w:sz w:val="20"/>
          <w:szCs w:val="20"/>
          <w:color w:val="auto"/>
        </w:rPr>
        <w:t>This Agreement is written in English, with a Chinese translation. The languages will be interpreted consistently. The English language will prevail if strictly necessary to make a final interpretation.</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16.15</w:t>
      </w:r>
      <w:r>
        <w:rPr>
          <w:rFonts w:ascii="Arial" w:cs="Arial" w:eastAsia="Arial" w:hAnsi="Arial"/>
          <w:sz w:val="19"/>
          <w:szCs w:val="19"/>
          <w:u w:val="single" w:color="auto"/>
          <w:color w:val="auto"/>
        </w:rPr>
        <w:t>Amendment</w:t>
      </w:r>
    </w:p>
    <w:p>
      <w:pPr>
        <w:spacing w:after="0" w:line="292" w:lineRule="exact"/>
        <w:rPr>
          <w:sz w:val="20"/>
          <w:szCs w:val="20"/>
          <w:color w:val="auto"/>
        </w:rPr>
      </w:pPr>
    </w:p>
    <w:p>
      <w:pPr>
        <w:ind w:left="860" w:right="660"/>
        <w:spacing w:after="0" w:line="236" w:lineRule="auto"/>
        <w:rPr>
          <w:sz w:val="20"/>
          <w:szCs w:val="20"/>
          <w:color w:val="auto"/>
        </w:rPr>
      </w:pPr>
      <w:r>
        <w:rPr>
          <w:rFonts w:ascii="Arial" w:cs="Arial" w:eastAsia="Arial" w:hAnsi="Arial"/>
          <w:sz w:val="20"/>
          <w:szCs w:val="20"/>
          <w:color w:val="auto"/>
        </w:rPr>
        <w:t>Any amendment to this Agreement shall come into force only after a written agreement is signed by the duly authorized representatives of each of the Parties.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16.16</w:t>
      </w:r>
      <w:r>
        <w:rPr>
          <w:rFonts w:ascii="Arial" w:cs="Arial" w:eastAsia="Arial" w:hAnsi="Arial"/>
          <w:sz w:val="19"/>
          <w:szCs w:val="19"/>
          <w:u w:val="single" w:color="auto"/>
          <w:color w:val="auto"/>
        </w:rPr>
        <w:t>Severability</w:t>
      </w:r>
    </w:p>
    <w:p>
      <w:pPr>
        <w:spacing w:after="0" w:line="29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If any term or provision of this Agreement shall be held to be invalid or unenforceable in whole or in part under any</w:t>
      </w:r>
    </w:p>
    <w:p>
      <w:pPr>
        <w:ind w:left="860" w:right="280"/>
        <w:spacing w:after="0" w:line="226" w:lineRule="auto"/>
        <w:rPr>
          <w:sz w:val="20"/>
          <w:szCs w:val="20"/>
          <w:color w:val="auto"/>
        </w:rPr>
      </w:pPr>
      <w:r>
        <w:rPr>
          <w:rFonts w:ascii="Arial" w:cs="Arial" w:eastAsia="Arial" w:hAnsi="Arial"/>
          <w:sz w:val="18"/>
          <w:szCs w:val="18"/>
          <w:color w:val="auto"/>
        </w:rPr>
        <w:t>applicable law, it shall be excluded from this Agreement (to the extent of such invalidity or unenforceability only), and all other terms and provisions of this Agreement shall continue to be in full force and effect. Under such circumstances, the</w:t>
      </w:r>
    </w:p>
    <w:p>
      <w:pPr>
        <w:ind w:left="860"/>
        <w:spacing w:after="0" w:line="224" w:lineRule="auto"/>
        <w:rPr>
          <w:sz w:val="20"/>
          <w:szCs w:val="20"/>
          <w:color w:val="auto"/>
        </w:rPr>
      </w:pPr>
      <w:r>
        <w:rPr>
          <w:rFonts w:ascii="Arial" w:cs="Arial" w:eastAsia="Arial" w:hAnsi="Arial"/>
          <w:sz w:val="19"/>
          <w:szCs w:val="19"/>
          <w:color w:val="auto"/>
        </w:rPr>
        <w:t>Parties shall use their best efforts to implement both the letter and spirit of this Agreement and replace the invalid or</w:t>
      </w:r>
    </w:p>
    <w:p>
      <w:pPr>
        <w:ind w:left="860" w:right="300"/>
        <w:spacing w:after="0" w:line="220" w:lineRule="auto"/>
        <w:rPr>
          <w:sz w:val="20"/>
          <w:szCs w:val="20"/>
          <w:color w:val="auto"/>
        </w:rPr>
      </w:pPr>
      <w:r>
        <w:rPr>
          <w:rFonts w:ascii="Arial" w:cs="Arial" w:eastAsia="Arial" w:hAnsi="Arial"/>
          <w:sz w:val="20"/>
          <w:szCs w:val="20"/>
          <w:color w:val="auto"/>
        </w:rPr>
        <w:t>unenforceable term or provision with a valid and enforceable term or provision that corresponds as far as possible to the spirit and purpose of the invalid or unenforceable term or provision.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16.17</w:t>
      </w:r>
      <w:r>
        <w:rPr>
          <w:rFonts w:ascii="Arial" w:cs="Arial" w:eastAsia="Arial" w:hAnsi="Arial"/>
          <w:sz w:val="19"/>
          <w:szCs w:val="19"/>
          <w:u w:val="single" w:color="auto"/>
          <w:color w:val="auto"/>
        </w:rPr>
        <w:t>Parties in Interest</w:t>
      </w:r>
    </w:p>
    <w:p>
      <w:pPr>
        <w:spacing w:after="0" w:line="305" w:lineRule="exact"/>
        <w:rPr>
          <w:sz w:val="20"/>
          <w:szCs w:val="20"/>
          <w:color w:val="auto"/>
        </w:rPr>
      </w:pPr>
    </w:p>
    <w:p>
      <w:pPr>
        <w:ind w:left="860" w:right="300"/>
        <w:spacing w:after="0" w:line="265" w:lineRule="auto"/>
        <w:rPr>
          <w:sz w:val="20"/>
          <w:szCs w:val="20"/>
          <w:color w:val="auto"/>
        </w:rPr>
      </w:pPr>
      <w:r>
        <w:rPr>
          <w:rFonts w:ascii="Arial" w:cs="Arial" w:eastAsia="Arial" w:hAnsi="Arial"/>
          <w:sz w:val="16"/>
          <w:szCs w:val="16"/>
          <w:color w:val="auto"/>
        </w:rPr>
        <w:t>This Agreement shall be binding on and inure to the benefit of the Parties and to their respective successors and administrators, as well as to their assigns where a Party’s interests in the Company are assigned in accordance with law and</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terms and conditions hereof.</w:t>
      </w:r>
    </w:p>
    <w:p>
      <w:pPr>
        <w:sectPr>
          <w:pgSz w:w="11900" w:h="16838" w:orient="portrait"/>
          <w:cols w:equalWidth="0" w:num="1">
            <w:col w:w="11020"/>
          </w:cols>
          <w:pgMar w:left="40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20"/>
          </w:cols>
          <w:pgMar w:left="400" w:top="1440" w:right="479" w:bottom="1440" w:gutter="0" w:footer="0" w:header="0"/>
          <w:type w:val="continuous"/>
        </w:sectPr>
      </w:pPr>
    </w:p>
    <w:bookmarkStart w:id="103" w:name="page104"/>
    <w:bookmarkEnd w:id="103"/>
    <w:p>
      <w:pPr>
        <w:spacing w:after="0" w:line="1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16.18</w:t>
      </w:r>
      <w:r>
        <w:rPr>
          <w:rFonts w:ascii="Arial" w:cs="Arial" w:eastAsia="Arial" w:hAnsi="Arial"/>
          <w:sz w:val="19"/>
          <w:szCs w:val="19"/>
          <w:u w:val="single" w:color="auto"/>
          <w:color w:val="auto"/>
        </w:rPr>
        <w:t>Costs and Expenses</w:t>
      </w:r>
    </w:p>
    <w:p>
      <w:pPr>
        <w:spacing w:after="0" w:line="292" w:lineRule="exact"/>
        <w:rPr>
          <w:sz w:val="20"/>
          <w:szCs w:val="20"/>
          <w:color w:val="auto"/>
        </w:rPr>
      </w:pPr>
    </w:p>
    <w:p>
      <w:pPr>
        <w:ind w:left="860" w:right="60"/>
        <w:spacing w:after="0" w:line="244" w:lineRule="auto"/>
        <w:rPr>
          <w:sz w:val="20"/>
          <w:szCs w:val="20"/>
          <w:color w:val="auto"/>
        </w:rPr>
      </w:pPr>
      <w:r>
        <w:rPr>
          <w:rFonts w:ascii="Arial" w:cs="Arial" w:eastAsia="Arial" w:hAnsi="Arial"/>
          <w:sz w:val="18"/>
          <w:szCs w:val="18"/>
          <w:color w:val="auto"/>
        </w:rPr>
        <w:t>Any costs, expenses or fees of any nature incurred by a Party in connection with the preparation and execution of this Agreement and the Articles of Association shall be borne by the incurring Party; provided further that, the Company shall at</w:t>
      </w:r>
    </w:p>
    <w:p>
      <w:pPr>
        <w:jc w:val="both"/>
        <w:ind w:left="860" w:right="40"/>
        <w:spacing w:after="0" w:line="226" w:lineRule="auto"/>
        <w:rPr>
          <w:sz w:val="20"/>
          <w:szCs w:val="20"/>
          <w:color w:val="auto"/>
        </w:rPr>
      </w:pPr>
      <w:r>
        <w:rPr>
          <w:rFonts w:ascii="Arial" w:cs="Arial" w:eastAsia="Arial" w:hAnsi="Arial"/>
          <w:sz w:val="18"/>
          <w:szCs w:val="18"/>
          <w:color w:val="auto"/>
        </w:rPr>
        <w:t>its own cost make any notification to or filing to the Registration Authority for filings and registrations with respect to the Capital Increase and the updated Articles of Association (as required by the PRC Laws) contemplated by this Agreement.</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Amounts approved by the Board may in connection with such approval, be auditable by the Board.</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16.19</w:t>
      </w:r>
      <w:r>
        <w:rPr>
          <w:rFonts w:ascii="Arial" w:cs="Arial" w:eastAsia="Arial" w:hAnsi="Arial"/>
          <w:sz w:val="19"/>
          <w:szCs w:val="19"/>
          <w:u w:val="single" w:color="auto"/>
          <w:color w:val="auto"/>
        </w:rPr>
        <w:t>Waiver</w:t>
      </w:r>
    </w:p>
    <w:p>
      <w:pPr>
        <w:spacing w:after="0" w:line="29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 delay or failure by a Party to this Agreement to exercise any of its powers, rights or remedies under this Agreement shall</w:t>
      </w:r>
    </w:p>
    <w:p>
      <w:pPr>
        <w:spacing w:after="0" w:line="12" w:lineRule="exact"/>
        <w:rPr>
          <w:sz w:val="20"/>
          <w:szCs w:val="20"/>
          <w:color w:val="auto"/>
        </w:rPr>
      </w:pPr>
    </w:p>
    <w:p>
      <w:pPr>
        <w:ind w:left="860" w:right="40"/>
        <w:spacing w:after="0" w:line="226" w:lineRule="auto"/>
        <w:rPr>
          <w:sz w:val="20"/>
          <w:szCs w:val="20"/>
          <w:color w:val="auto"/>
        </w:rPr>
      </w:pPr>
      <w:r>
        <w:rPr>
          <w:rFonts w:ascii="Arial" w:cs="Arial" w:eastAsia="Arial" w:hAnsi="Arial"/>
          <w:sz w:val="18"/>
          <w:szCs w:val="18"/>
          <w:color w:val="auto"/>
        </w:rPr>
        <w:t>be construed as a waiver of any of them, nor shall any single or partial exercise of any such powers, rights or remedies preclude any other. Any waiver by a Party of any provision of this Agreement shall not be construed as a waiver of any</w:t>
      </w:r>
    </w:p>
    <w:p>
      <w:pPr>
        <w:ind w:left="860"/>
        <w:spacing w:after="0" w:line="236" w:lineRule="auto"/>
        <w:rPr>
          <w:sz w:val="20"/>
          <w:szCs w:val="20"/>
          <w:color w:val="auto"/>
        </w:rPr>
      </w:pPr>
      <w:r>
        <w:rPr>
          <w:rFonts w:ascii="Arial" w:cs="Arial" w:eastAsia="Arial" w:hAnsi="Arial"/>
          <w:sz w:val="18"/>
          <w:szCs w:val="18"/>
          <w:color w:val="auto"/>
        </w:rPr>
        <w:t>other provisions of this Agreement, nor shall such waiver be construed as a waiver of such provision with respect to any</w:t>
      </w:r>
    </w:p>
    <w:p>
      <w:pPr>
        <w:spacing w:after="0" w:line="1" w:lineRule="exact"/>
        <w:rPr>
          <w:sz w:val="20"/>
          <w:szCs w:val="20"/>
          <w:color w:val="auto"/>
        </w:rPr>
      </w:pPr>
    </w:p>
    <w:p>
      <w:pPr>
        <w:ind w:left="860" w:right="60"/>
        <w:spacing w:after="0" w:line="220" w:lineRule="auto"/>
        <w:rPr>
          <w:sz w:val="20"/>
          <w:szCs w:val="20"/>
          <w:color w:val="auto"/>
        </w:rPr>
      </w:pPr>
      <w:r>
        <w:rPr>
          <w:rFonts w:ascii="Arial" w:cs="Arial" w:eastAsia="Arial" w:hAnsi="Arial"/>
          <w:sz w:val="20"/>
          <w:szCs w:val="20"/>
          <w:color w:val="auto"/>
        </w:rPr>
        <w:t>other event or circumstances, whether past, present or future. Further, the remedies provided in this Agreement are cumulative and not exclusive of any provided by law.</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16.20</w:t>
      </w:r>
      <w:r>
        <w:rPr>
          <w:rFonts w:ascii="Arial" w:cs="Arial" w:eastAsia="Arial" w:hAnsi="Arial"/>
          <w:sz w:val="19"/>
          <w:szCs w:val="19"/>
          <w:u w:val="single" w:color="auto"/>
          <w:color w:val="auto"/>
        </w:rPr>
        <w:t>No Agency</w:t>
      </w:r>
    </w:p>
    <w:p>
      <w:pPr>
        <w:spacing w:after="0" w:line="305" w:lineRule="exact"/>
        <w:rPr>
          <w:sz w:val="20"/>
          <w:szCs w:val="20"/>
          <w:color w:val="auto"/>
        </w:rPr>
      </w:pPr>
    </w:p>
    <w:p>
      <w:pPr>
        <w:ind w:left="860" w:right="60"/>
        <w:spacing w:after="0" w:line="265" w:lineRule="auto"/>
        <w:rPr>
          <w:sz w:val="20"/>
          <w:szCs w:val="20"/>
          <w:color w:val="auto"/>
        </w:rPr>
      </w:pPr>
      <w:r>
        <w:rPr>
          <w:rFonts w:ascii="Arial" w:cs="Arial" w:eastAsia="Arial" w:hAnsi="Arial"/>
          <w:sz w:val="16"/>
          <w:szCs w:val="16"/>
          <w:color w:val="auto"/>
        </w:rPr>
        <w:t>Nothing in this Agreement shall be construed so as to constitute a Party the agent or partner of another Party. On no account may a Party create (or hold itself out to third Person as being able to create) any binding obligation on behalf of another</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Party without the prior written consent of such other Party.</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16.21</w:t>
      </w:r>
      <w:r>
        <w:rPr>
          <w:rFonts w:ascii="Arial" w:cs="Arial" w:eastAsia="Arial" w:hAnsi="Arial"/>
          <w:sz w:val="19"/>
          <w:szCs w:val="19"/>
          <w:u w:val="single" w:color="auto"/>
          <w:color w:val="auto"/>
        </w:rPr>
        <w:t>Notices</w:t>
      </w:r>
    </w:p>
    <w:p>
      <w:pPr>
        <w:spacing w:after="0" w:line="292" w:lineRule="exact"/>
        <w:rPr>
          <w:sz w:val="20"/>
          <w:szCs w:val="20"/>
          <w:color w:val="auto"/>
        </w:rPr>
      </w:pPr>
    </w:p>
    <w:p>
      <w:pPr>
        <w:ind w:left="860"/>
        <w:spacing w:after="0" w:line="274" w:lineRule="auto"/>
        <w:rPr>
          <w:sz w:val="20"/>
          <w:szCs w:val="20"/>
          <w:color w:val="auto"/>
        </w:rPr>
      </w:pPr>
      <w:r>
        <w:rPr>
          <w:rFonts w:ascii="Arial" w:cs="Arial" w:eastAsia="Arial" w:hAnsi="Arial"/>
          <w:sz w:val="16"/>
          <w:szCs w:val="16"/>
          <w:color w:val="auto"/>
        </w:rPr>
        <w:t>Communications between the Parties, notices and documents of the Board and the Shareholders’ Meeting and such other notices and financial reports of the Company as provided for herein shall be sent to each of the Parties and to the Company at</w:t>
      </w:r>
    </w:p>
    <w:p>
      <w:pPr>
        <w:spacing w:after="0" w:line="1" w:lineRule="exact"/>
        <w:rPr>
          <w:sz w:val="20"/>
          <w:szCs w:val="20"/>
          <w:color w:val="auto"/>
        </w:rPr>
      </w:pPr>
    </w:p>
    <w:p>
      <w:pPr>
        <w:ind w:left="860" w:right="80"/>
        <w:spacing w:after="0" w:line="223" w:lineRule="auto"/>
        <w:rPr>
          <w:sz w:val="20"/>
          <w:szCs w:val="20"/>
          <w:color w:val="auto"/>
        </w:rPr>
      </w:pPr>
      <w:r>
        <w:rPr>
          <w:rFonts w:ascii="Arial" w:cs="Arial" w:eastAsia="Arial" w:hAnsi="Arial"/>
          <w:sz w:val="18"/>
          <w:szCs w:val="18"/>
          <w:color w:val="auto"/>
        </w:rPr>
        <w:t>their respective addresses set forth below, in each case by (i) personal delivery, (ii) prepaid airmail, (iii) prepaid air courier, or (iv) email. All such notices shall be deemed to have been given or received (i) upon receipt if personally delivered, (ii) on</w:t>
      </w:r>
    </w:p>
    <w:p>
      <w:pPr>
        <w:ind w:left="860"/>
        <w:spacing w:after="0" w:line="182" w:lineRule="auto"/>
        <w:rPr>
          <w:sz w:val="20"/>
          <w:szCs w:val="20"/>
          <w:color w:val="auto"/>
        </w:rPr>
      </w:pPr>
      <w:r>
        <w:rPr>
          <w:rFonts w:ascii="Arial" w:cs="Arial" w:eastAsia="Arial" w:hAnsi="Arial"/>
          <w:sz w:val="19"/>
          <w:szCs w:val="19"/>
          <w:color w:val="auto"/>
        </w:rPr>
        <w:t>the tenth (10</w:t>
      </w:r>
      <w:r>
        <w:rPr>
          <w:rFonts w:ascii="Arial" w:cs="Arial" w:eastAsia="Arial" w:hAnsi="Arial"/>
          <w:sz w:val="24"/>
          <w:szCs w:val="24"/>
          <w:color w:val="auto"/>
          <w:vertAlign w:val="superscript"/>
        </w:rPr>
        <w:t>th</w:t>
      </w:r>
      <w:r>
        <w:rPr>
          <w:rFonts w:ascii="Arial" w:cs="Arial" w:eastAsia="Arial" w:hAnsi="Arial"/>
          <w:sz w:val="19"/>
          <w:szCs w:val="19"/>
          <w:color w:val="auto"/>
        </w:rPr>
        <w:t>) day after it is sent if delivered by airmail, (iii) on the fifth (5</w:t>
      </w:r>
      <w:r>
        <w:rPr>
          <w:rFonts w:ascii="Arial" w:cs="Arial" w:eastAsia="Arial" w:hAnsi="Arial"/>
          <w:sz w:val="24"/>
          <w:szCs w:val="24"/>
          <w:color w:val="auto"/>
          <w:vertAlign w:val="superscript"/>
        </w:rPr>
        <w:t>th</w:t>
      </w:r>
      <w:r>
        <w:rPr>
          <w:rFonts w:ascii="Arial" w:cs="Arial" w:eastAsia="Arial" w:hAnsi="Arial"/>
          <w:sz w:val="19"/>
          <w:szCs w:val="19"/>
          <w:color w:val="auto"/>
        </w:rPr>
        <w:t>) day after delivery to an internationally</w:t>
      </w:r>
    </w:p>
    <w:p>
      <w:pPr>
        <w:ind w:left="860" w:right="80"/>
        <w:spacing w:after="0" w:line="255" w:lineRule="auto"/>
        <w:rPr>
          <w:sz w:val="20"/>
          <w:szCs w:val="20"/>
          <w:color w:val="auto"/>
        </w:rPr>
      </w:pPr>
      <w:r>
        <w:rPr>
          <w:rFonts w:ascii="Arial" w:cs="Arial" w:eastAsia="Arial" w:hAnsi="Arial"/>
          <w:sz w:val="16"/>
          <w:szCs w:val="16"/>
          <w:color w:val="auto"/>
        </w:rPr>
        <w:t>recognized courier service if delivered by air courier, (iv) twenty-four (24) hours following transmission by facsimile with confirmed successful answer back, if delivered by facsimile, and (v) upon receipt on the email system of the receiving Party,</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if delivered by email.</w:t>
      </w:r>
    </w:p>
    <w:p>
      <w:pPr>
        <w:spacing w:after="0" w:line="200" w:lineRule="exact"/>
        <w:rPr>
          <w:sz w:val="20"/>
          <w:szCs w:val="20"/>
          <w:color w:val="auto"/>
        </w:rPr>
      </w:pPr>
    </w:p>
    <w:p>
      <w:pPr>
        <w:ind w:left="1360" w:hanging="510"/>
        <w:spacing w:after="0"/>
        <w:tabs>
          <w:tab w:leader="none" w:pos="13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 the case of AHK to:</w:t>
      </w:r>
    </w:p>
    <w:p>
      <w:pPr>
        <w:spacing w:after="0" w:line="196"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b w:val="1"/>
          <w:bCs w:val="1"/>
          <w:color w:val="auto"/>
        </w:rPr>
        <w:t>Arteris HK Limited</w:t>
      </w:r>
    </w:p>
    <w:p>
      <w:pPr>
        <w:spacing w:after="0" w:line="356" w:lineRule="exact"/>
        <w:rPr>
          <w:rFonts w:ascii="Arial" w:cs="Arial" w:eastAsia="Arial" w:hAnsi="Arial"/>
          <w:sz w:val="20"/>
          <w:szCs w:val="20"/>
          <w:color w:val="auto"/>
        </w:rPr>
      </w:pPr>
    </w:p>
    <w:p>
      <w:pPr>
        <w:ind w:left="1360" w:right="980"/>
        <w:spacing w:after="0" w:line="359" w:lineRule="auto"/>
        <w:rPr>
          <w:rFonts w:ascii="Arial" w:cs="Arial" w:eastAsia="Arial" w:hAnsi="Arial"/>
          <w:sz w:val="20"/>
          <w:szCs w:val="20"/>
          <w:color w:val="auto"/>
        </w:rPr>
      </w:pPr>
      <w:r>
        <w:rPr>
          <w:rFonts w:ascii="Arial" w:cs="Arial" w:eastAsia="Arial" w:hAnsi="Arial"/>
          <w:sz w:val="20"/>
          <w:szCs w:val="20"/>
          <w:color w:val="auto"/>
        </w:rPr>
        <w:t>Address: 26/F Three Exchange Square 8 Connaught Place Central Hong Kong Attention: K. Charles Janac Email [***]</w:t>
      </w:r>
    </w:p>
    <w:p>
      <w:pPr>
        <w:spacing w:after="0" w:line="324" w:lineRule="exact"/>
        <w:rPr>
          <w:rFonts w:ascii="Arial" w:cs="Arial" w:eastAsia="Arial" w:hAnsi="Arial"/>
          <w:sz w:val="20"/>
          <w:szCs w:val="20"/>
          <w:color w:val="auto"/>
        </w:rPr>
      </w:pPr>
    </w:p>
    <w:p>
      <w:pPr>
        <w:ind w:left="1360" w:hanging="510"/>
        <w:spacing w:after="0"/>
        <w:tabs>
          <w:tab w:leader="none" w:pos="13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 the case of SME (Investor A)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0780"/>
          </w:cols>
          <w:pgMar w:left="400" w:top="1440" w:right="719" w:bottom="1440" w:gutter="0" w:footer="0" w:header="0"/>
        </w:sectPr>
      </w:pPr>
    </w:p>
    <w:bookmarkStart w:id="104" w:name="page105"/>
    <w:bookmarkEnd w:id="104"/>
    <w:p>
      <w:pPr>
        <w:spacing w:after="0" w:line="200" w:lineRule="exact"/>
        <w:rPr>
          <w:sz w:val="20"/>
          <w:szCs w:val="20"/>
          <w:color w:val="auto"/>
        </w:rPr>
      </w:pPr>
    </w:p>
    <w:p>
      <w:pPr>
        <w:spacing w:after="0" w:line="246" w:lineRule="exact"/>
        <w:rPr>
          <w:sz w:val="20"/>
          <w:szCs w:val="20"/>
          <w:color w:val="auto"/>
        </w:rPr>
      </w:pPr>
    </w:p>
    <w:p>
      <w:pPr>
        <w:ind w:left="1360" w:right="580"/>
        <w:spacing w:after="0" w:line="243" w:lineRule="exact"/>
        <w:rPr>
          <w:sz w:val="20"/>
          <w:szCs w:val="20"/>
          <w:color w:val="auto"/>
        </w:rPr>
      </w:pPr>
      <w:r>
        <w:rPr>
          <w:rFonts w:ascii="Arial" w:cs="Arial" w:eastAsia="Arial" w:hAnsi="Arial"/>
          <w:sz w:val="20"/>
          <w:szCs w:val="20"/>
          <w:b w:val="1"/>
          <w:bCs w:val="1"/>
          <w:color w:val="auto"/>
        </w:rPr>
        <w:t xml:space="preserve">SME Development (Shaoxing) Venture Fund, LLP </w:t>
      </w:r>
      <w:r>
        <w:rPr>
          <w:rFonts w:ascii="SimSun" w:cs="SimSun" w:eastAsia="SimSun" w:hAnsi="SimSun"/>
          <w:sz w:val="20"/>
          <w:szCs w:val="20"/>
          <w:color w:val="auto"/>
        </w:rPr>
        <w:t>中小企业发展基金（绍兴）股权投资合伙企业（有限合伙</w:t>
      </w:r>
      <w:r>
        <w:rPr>
          <w:rFonts w:ascii="Arial" w:cs="Arial" w:eastAsia="Arial" w:hAnsi="Arial"/>
          <w:sz w:val="20"/>
          <w:szCs w:val="20"/>
          <w:color w:val="auto"/>
        </w:rPr>
        <w:t>)</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Address: 11</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Building 1, No. 1158 Zhangdong Road, Pudong New Area, Shanghai, P.R. China</w:t>
      </w:r>
    </w:p>
    <w:p>
      <w:pPr>
        <w:spacing w:after="0" w:line="158"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Attention: Mr. Cangbo Zhao; Mr. Sen Zhao</w:t>
      </w:r>
    </w:p>
    <w:p>
      <w:pPr>
        <w:spacing w:after="0" w:line="216"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259" w:lineRule="exact"/>
        <w:rPr>
          <w:sz w:val="20"/>
          <w:szCs w:val="20"/>
          <w:color w:val="auto"/>
        </w:rPr>
      </w:pPr>
    </w:p>
    <w:p>
      <w:pPr>
        <w:ind w:left="1360" w:hanging="510"/>
        <w:spacing w:after="0"/>
        <w:tabs>
          <w:tab w:leader="none" w:pos="13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 the case of Luojia (Investor B) to:</w:t>
      </w:r>
    </w:p>
    <w:p>
      <w:pPr>
        <w:spacing w:after="0" w:line="209" w:lineRule="exact"/>
        <w:rPr>
          <w:rFonts w:ascii="Arial" w:cs="Arial" w:eastAsia="Arial" w:hAnsi="Arial"/>
          <w:sz w:val="20"/>
          <w:szCs w:val="20"/>
          <w:color w:val="auto"/>
        </w:rPr>
      </w:pPr>
    </w:p>
    <w:p>
      <w:pPr>
        <w:ind w:left="1360" w:right="560"/>
        <w:spacing w:after="0" w:line="243" w:lineRule="exact"/>
        <w:rPr>
          <w:rFonts w:ascii="Arial" w:cs="Arial" w:eastAsia="Arial" w:hAnsi="Arial"/>
          <w:sz w:val="20"/>
          <w:szCs w:val="20"/>
          <w:color w:val="auto"/>
        </w:rPr>
      </w:pPr>
      <w:r>
        <w:rPr>
          <w:rFonts w:ascii="Arial" w:cs="Arial" w:eastAsia="Arial" w:hAnsi="Arial"/>
          <w:sz w:val="20"/>
          <w:szCs w:val="20"/>
          <w:b w:val="1"/>
          <w:bCs w:val="1"/>
          <w:color w:val="auto"/>
        </w:rPr>
        <w:t xml:space="preserve">Jiaxing Luojia Chuangzhi Investment Partnership Enterprise (Limited Partnership) </w:t>
      </w:r>
      <w:r>
        <w:rPr>
          <w:rFonts w:ascii="SimSun" w:cs="SimSun" w:eastAsia="SimSun" w:hAnsi="SimSun"/>
          <w:sz w:val="20"/>
          <w:szCs w:val="20"/>
          <w:color w:val="auto"/>
        </w:rPr>
        <w:t>嘉兴珞珈传智股权投资合伙企业（有限合伙</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18"/>
          <w:szCs w:val="18"/>
          <w:color w:val="auto"/>
        </w:rPr>
        <w:t>Address: 26th Floor, Block A, Poly Plaza, No. 99 Zhongnan Road, Wuchang District, Wuhan, Hubei Province, P.R. China</w:t>
      </w:r>
    </w:p>
    <w:p>
      <w:pPr>
        <w:spacing w:after="0" w:line="238"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Attention: Mr. Geng Lin; Ms. Huan Guo</w:t>
      </w:r>
    </w:p>
    <w:p>
      <w:pPr>
        <w:spacing w:after="0" w:line="215"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Email: [***]</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1360" w:hanging="510"/>
        <w:spacing w:after="0"/>
        <w:tabs>
          <w:tab w:leader="none" w:pos="13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 the case of Guinie (Investor C), to:</w:t>
      </w:r>
    </w:p>
    <w:p>
      <w:pPr>
        <w:spacing w:after="0" w:line="223" w:lineRule="exact"/>
        <w:rPr>
          <w:rFonts w:ascii="Arial" w:cs="Arial" w:eastAsia="Arial" w:hAnsi="Arial"/>
          <w:sz w:val="20"/>
          <w:szCs w:val="20"/>
          <w:color w:val="auto"/>
        </w:rPr>
      </w:pPr>
    </w:p>
    <w:p>
      <w:pPr>
        <w:ind w:left="1360"/>
        <w:spacing w:after="0" w:line="250" w:lineRule="exact"/>
        <w:rPr>
          <w:rFonts w:ascii="Arial" w:cs="Arial" w:eastAsia="Arial" w:hAnsi="Arial"/>
          <w:sz w:val="20"/>
          <w:szCs w:val="20"/>
          <w:color w:val="auto"/>
        </w:rPr>
      </w:pPr>
      <w:r>
        <w:rPr>
          <w:rFonts w:ascii="Arial" w:cs="Arial" w:eastAsia="Arial" w:hAnsi="Arial"/>
          <w:sz w:val="20"/>
          <w:szCs w:val="20"/>
          <w:b w:val="1"/>
          <w:bCs w:val="1"/>
          <w:color w:val="auto"/>
        </w:rPr>
        <w:t xml:space="preserve">Gongqing City Guinie Zhuyu No. 3 Investment Partnerhip (Limited Partnership) </w:t>
      </w:r>
      <w:r>
        <w:rPr>
          <w:rFonts w:ascii="SimSun" w:cs="SimSun" w:eastAsia="SimSun" w:hAnsi="SimSun"/>
          <w:sz w:val="20"/>
          <w:szCs w:val="20"/>
          <w:color w:val="auto"/>
        </w:rPr>
        <w:t>共青城圭臬珠玉三号投资合伙企业（有限合伙</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18"/>
          <w:szCs w:val="18"/>
          <w:color w:val="auto"/>
        </w:rPr>
        <w:t>Address: Room 1703, Block B, Jinhui Global Center, Gong-jian Road, Yanta District, Xi 'an, Shaanxi Province, P.R. China</w:t>
      </w:r>
    </w:p>
    <w:p>
      <w:pPr>
        <w:spacing w:after="0" w:line="252"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Attention: Zixi Yao</w:t>
      </w:r>
    </w:p>
    <w:p>
      <w:pPr>
        <w:spacing w:after="0" w:line="202"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Email: [***]</w:t>
      </w:r>
    </w:p>
    <w:p>
      <w:pPr>
        <w:spacing w:after="0" w:line="215" w:lineRule="exact"/>
        <w:rPr>
          <w:rFonts w:ascii="Arial" w:cs="Arial" w:eastAsia="Arial" w:hAnsi="Arial"/>
          <w:sz w:val="20"/>
          <w:szCs w:val="20"/>
          <w:color w:val="auto"/>
        </w:rPr>
      </w:pPr>
    </w:p>
    <w:p>
      <w:pPr>
        <w:ind w:left="1360" w:hanging="510"/>
        <w:spacing w:after="0"/>
        <w:tabs>
          <w:tab w:leader="none" w:pos="13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 the case of Management Co to:</w:t>
      </w:r>
    </w:p>
    <w:p>
      <w:pPr>
        <w:spacing w:after="0" w:line="196" w:lineRule="exact"/>
        <w:rPr>
          <w:sz w:val="20"/>
          <w:szCs w:val="20"/>
          <w:color w:val="auto"/>
        </w:rPr>
      </w:pPr>
    </w:p>
    <w:p>
      <w:pPr>
        <w:ind w:left="1400" w:right="560"/>
        <w:spacing w:after="0" w:line="223" w:lineRule="exact"/>
        <w:rPr>
          <w:sz w:val="20"/>
          <w:szCs w:val="20"/>
          <w:color w:val="auto"/>
        </w:rPr>
      </w:pPr>
      <w:r>
        <w:rPr>
          <w:rFonts w:ascii="Arial" w:cs="Arial" w:eastAsia="Arial" w:hAnsi="Arial"/>
          <w:sz w:val="20"/>
          <w:szCs w:val="20"/>
          <w:b w:val="1"/>
          <w:bCs w:val="1"/>
          <w:color w:val="auto"/>
        </w:rPr>
        <w:t xml:space="preserve">Ningbo Transchip Information Consulting Partnership (Limited Partnership) </w:t>
      </w:r>
      <w:r>
        <w:rPr>
          <w:rFonts w:ascii="SimSun" w:cs="SimSun" w:eastAsia="SimSun" w:hAnsi="SimSun"/>
          <w:sz w:val="20"/>
          <w:szCs w:val="20"/>
          <w:color w:val="auto"/>
        </w:rPr>
        <w:t>宁波传智驿芯信息咨</w:t>
      </w:r>
      <w:r>
        <w:rPr>
          <w:rFonts w:ascii="SimSun" w:cs="SimSun" w:eastAsia="SimSun" w:hAnsi="SimSun"/>
          <w:sz w:val="20"/>
          <w:szCs w:val="20"/>
          <w:color w:val="auto"/>
          <w:highlight w:val="black"/>
        </w:rPr>
        <w:t>询合伙企业（有限合伙</w:t>
      </w:r>
      <w:r>
        <w:rPr>
          <w:rFonts w:ascii="Arial" w:cs="Arial" w:eastAsia="Arial" w:hAnsi="Arial"/>
          <w:sz w:val="20"/>
          <w:szCs w:val="20"/>
          <w:b w:val="1"/>
          <w:bCs w:val="1"/>
          <w:color w:val="auto"/>
        </w:rPr>
        <w:t>)</w:t>
      </w:r>
    </w:p>
    <w:p>
      <w:pPr>
        <w:spacing w:after="0" w:line="196" w:lineRule="exact"/>
        <w:rPr>
          <w:sz w:val="20"/>
          <w:szCs w:val="20"/>
          <w:color w:val="auto"/>
        </w:rPr>
      </w:pPr>
    </w:p>
    <w:p>
      <w:pPr>
        <w:ind w:left="1360" w:right="440"/>
        <w:spacing w:after="0" w:line="229" w:lineRule="auto"/>
        <w:rPr>
          <w:sz w:val="20"/>
          <w:szCs w:val="20"/>
          <w:color w:val="auto"/>
        </w:rPr>
      </w:pPr>
      <w:r>
        <w:rPr>
          <w:rFonts w:ascii="Arial" w:cs="Arial" w:eastAsia="Arial" w:hAnsi="Arial"/>
          <w:sz w:val="20"/>
          <w:szCs w:val="20"/>
          <w:color w:val="auto"/>
        </w:rPr>
        <w:t>Address: 107-6, 1F, No. 69, Dagang Second Road, Xinqi street, Beilun District, Ningbo City, Zhejiang Province, P.R. China</w:t>
      </w:r>
    </w:p>
    <w:p>
      <w:pPr>
        <w:spacing w:after="0" w:line="209"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Attention: Zheng Wu</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272" w:lineRule="exact"/>
        <w:rPr>
          <w:sz w:val="20"/>
          <w:szCs w:val="20"/>
          <w:color w:val="auto"/>
        </w:rPr>
      </w:pPr>
    </w:p>
    <w:p>
      <w:pPr>
        <w:ind w:left="1360" w:hanging="510"/>
        <w:spacing w:after="0"/>
        <w:tabs>
          <w:tab w:leader="none" w:pos="13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 the case of Arteris Nanjing to:</w:t>
      </w:r>
    </w:p>
    <w:p>
      <w:pPr>
        <w:sectPr>
          <w:pgSz w:w="11900" w:h="16838" w:orient="portrait"/>
          <w:cols w:equalWidth="0" w:num="1">
            <w:col w:w="11100"/>
          </w:cols>
          <w:pgMar w:left="40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00"/>
          </w:cols>
          <w:pgMar w:left="400" w:top="1440" w:right="399" w:bottom="1440" w:gutter="0" w:footer="0" w:header="0"/>
          <w:type w:val="continuous"/>
        </w:sectPr>
      </w:pPr>
    </w:p>
    <w:bookmarkStart w:id="105" w:name="page106"/>
    <w:bookmarkEnd w:id="105"/>
    <w:p>
      <w:pPr>
        <w:spacing w:after="0" w:line="203" w:lineRule="exact"/>
        <w:rPr>
          <w:sz w:val="20"/>
          <w:szCs w:val="20"/>
          <w:color w:val="auto"/>
        </w:rPr>
      </w:pPr>
    </w:p>
    <w:p>
      <w:pPr>
        <w:ind w:left="1360"/>
        <w:spacing w:after="0" w:line="243" w:lineRule="exact"/>
        <w:rPr>
          <w:sz w:val="20"/>
          <w:szCs w:val="20"/>
          <w:color w:val="auto"/>
        </w:rPr>
      </w:pPr>
      <w:r>
        <w:rPr>
          <w:rFonts w:ascii="Arial" w:cs="Arial" w:eastAsia="Arial" w:hAnsi="Arial"/>
          <w:sz w:val="20"/>
          <w:szCs w:val="20"/>
          <w:b w:val="1"/>
          <w:bCs w:val="1"/>
          <w:color w:val="auto"/>
        </w:rPr>
        <w:t xml:space="preserve">Arteris Semiconductor Technology (Nanjing) Co., Ltd. </w:t>
      </w:r>
      <w:r>
        <w:rPr>
          <w:rFonts w:ascii="SimSun" w:cs="SimSun" w:eastAsia="SimSun" w:hAnsi="SimSun"/>
          <w:sz w:val="20"/>
          <w:szCs w:val="20"/>
          <w:color w:val="auto"/>
        </w:rPr>
        <w:t>安通思半导体技术</w:t>
      </w:r>
      <w:r>
        <w:rPr>
          <w:rFonts w:ascii="Arial" w:cs="Arial" w:eastAsia="Arial" w:hAnsi="Arial"/>
          <w:sz w:val="20"/>
          <w:szCs w:val="20"/>
          <w:color w:val="auto"/>
        </w:rPr>
        <w:t>(</w:t>
      </w:r>
      <w:r>
        <w:rPr>
          <w:rFonts w:ascii="SimSun" w:cs="SimSun" w:eastAsia="SimSun" w:hAnsi="SimSun"/>
          <w:sz w:val="20"/>
          <w:szCs w:val="20"/>
          <w:color w:val="auto"/>
        </w:rPr>
        <w:t>南京</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SimSun" w:cs="SimSun" w:eastAsia="SimSun" w:hAnsi="SimSun"/>
          <w:sz w:val="20"/>
          <w:szCs w:val="20"/>
          <w:color w:val="auto"/>
        </w:rPr>
        <w:t>有限公司</w:t>
      </w:r>
    </w:p>
    <w:p>
      <w:pPr>
        <w:spacing w:after="0" w:line="223" w:lineRule="exact"/>
        <w:rPr>
          <w:sz w:val="20"/>
          <w:szCs w:val="20"/>
          <w:color w:val="auto"/>
        </w:rPr>
      </w:pPr>
    </w:p>
    <w:p>
      <w:pPr>
        <w:ind w:left="1360" w:right="440"/>
        <w:spacing w:after="0" w:line="236" w:lineRule="auto"/>
        <w:rPr>
          <w:sz w:val="20"/>
          <w:szCs w:val="20"/>
          <w:color w:val="auto"/>
        </w:rPr>
      </w:pPr>
      <w:r>
        <w:rPr>
          <w:rFonts w:ascii="Arial" w:cs="Arial" w:eastAsia="Arial" w:hAnsi="Arial"/>
          <w:sz w:val="20"/>
          <w:szCs w:val="20"/>
          <w:color w:val="auto"/>
        </w:rPr>
        <w:t>Address: Room 1821, Fuying Building, No. 99, Tuanjie Road, Yanchuang Park, Jiangbei New Area, Nanjing, Jiangsu Province, P.R. China</w:t>
      </w:r>
    </w:p>
    <w:p>
      <w:pPr>
        <w:spacing w:after="0" w:line="331"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Attention: K. Charles Janac Email: [***]</w:t>
      </w:r>
    </w:p>
    <w:p>
      <w:pPr>
        <w:spacing w:after="0" w:line="337" w:lineRule="exact"/>
        <w:rPr>
          <w:sz w:val="20"/>
          <w:szCs w:val="20"/>
          <w:color w:val="auto"/>
        </w:rPr>
      </w:pPr>
    </w:p>
    <w:p>
      <w:pPr>
        <w:ind w:left="1360" w:hanging="510"/>
        <w:spacing w:after="0"/>
        <w:tabs>
          <w:tab w:leader="none" w:pos="13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the case of the Company to:</w:t>
      </w:r>
    </w:p>
    <w:p>
      <w:pPr>
        <w:spacing w:after="0" w:line="128" w:lineRule="exact"/>
        <w:rPr>
          <w:rFonts w:ascii="Arial" w:cs="Arial" w:eastAsia="Arial" w:hAnsi="Arial"/>
          <w:sz w:val="20"/>
          <w:szCs w:val="20"/>
          <w:color w:val="auto"/>
        </w:rPr>
      </w:pPr>
    </w:p>
    <w:p>
      <w:pPr>
        <w:ind w:left="1360"/>
        <w:spacing w:after="0" w:line="243" w:lineRule="exact"/>
        <w:rPr>
          <w:rFonts w:ascii="Arial" w:cs="Arial" w:eastAsia="Arial" w:hAnsi="Arial"/>
          <w:sz w:val="20"/>
          <w:szCs w:val="20"/>
          <w:color w:val="auto"/>
        </w:rPr>
      </w:pPr>
      <w:r>
        <w:rPr>
          <w:rFonts w:ascii="Arial" w:cs="Arial" w:eastAsia="Arial" w:hAnsi="Arial"/>
          <w:sz w:val="20"/>
          <w:szCs w:val="20"/>
          <w:b w:val="1"/>
          <w:bCs w:val="1"/>
          <w:color w:val="auto"/>
        </w:rPr>
        <w:t xml:space="preserve">TransChip Technology (Nanjing) Co., Ltd. </w:t>
      </w:r>
      <w:r>
        <w:rPr>
          <w:rFonts w:ascii="SimSun" w:cs="SimSun" w:eastAsia="SimSun" w:hAnsi="SimSun"/>
          <w:sz w:val="20"/>
          <w:szCs w:val="20"/>
          <w:color w:val="auto"/>
        </w:rPr>
        <w:t>传智驿芯科技（南京）有限公司</w:t>
      </w:r>
    </w:p>
    <w:p>
      <w:pPr>
        <w:spacing w:after="0" w:line="141" w:lineRule="exact"/>
        <w:rPr>
          <w:rFonts w:ascii="Arial" w:cs="Arial" w:eastAsia="Arial" w:hAnsi="Arial"/>
          <w:sz w:val="20"/>
          <w:szCs w:val="20"/>
          <w:color w:val="auto"/>
        </w:rPr>
      </w:pPr>
    </w:p>
    <w:p>
      <w:pPr>
        <w:ind w:left="1360" w:right="600"/>
        <w:spacing w:after="0" w:line="236" w:lineRule="auto"/>
        <w:rPr>
          <w:rFonts w:ascii="Arial" w:cs="Arial" w:eastAsia="Arial" w:hAnsi="Arial"/>
          <w:sz w:val="20"/>
          <w:szCs w:val="20"/>
          <w:color w:val="auto"/>
        </w:rPr>
      </w:pPr>
      <w:r>
        <w:rPr>
          <w:rFonts w:ascii="Arial" w:cs="Arial" w:eastAsia="Arial" w:hAnsi="Arial"/>
          <w:sz w:val="20"/>
          <w:szCs w:val="20"/>
          <w:color w:val="auto"/>
        </w:rPr>
        <w:t>Address: Room 2307, Fuying Building, No. 99, Tuanjie Road, Yanchuang Park, Nanjing area, China (Jiangsu) pilot Free Trade Zone, P.R. China</w:t>
      </w:r>
    </w:p>
    <w:p>
      <w:pPr>
        <w:spacing w:after="0" w:line="182"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Attention: Zheng Wu</w:t>
      </w:r>
    </w:p>
    <w:p>
      <w:pPr>
        <w:spacing w:after="0" w:line="215"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Email: [***]</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1360" w:hanging="510"/>
        <w:spacing w:after="0"/>
        <w:tabs>
          <w:tab w:leader="none" w:pos="13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the case of the Investor D to:</w:t>
      </w:r>
    </w:p>
    <w:p>
      <w:pPr>
        <w:spacing w:after="0" w:line="209" w:lineRule="exact"/>
        <w:rPr>
          <w:rFonts w:ascii="Arial" w:cs="Arial" w:eastAsia="Arial" w:hAnsi="Arial"/>
          <w:sz w:val="20"/>
          <w:szCs w:val="20"/>
          <w:color w:val="auto"/>
        </w:rPr>
      </w:pPr>
    </w:p>
    <w:p>
      <w:pPr>
        <w:ind w:left="1360"/>
        <w:spacing w:after="0" w:line="216" w:lineRule="exact"/>
        <w:rPr>
          <w:rFonts w:ascii="Arial" w:cs="Arial" w:eastAsia="Arial" w:hAnsi="Arial"/>
          <w:sz w:val="20"/>
          <w:szCs w:val="20"/>
          <w:color w:val="auto"/>
        </w:rPr>
      </w:pPr>
      <w:r>
        <w:rPr>
          <w:rFonts w:ascii="Arial" w:cs="Arial" w:eastAsia="Arial" w:hAnsi="Arial"/>
          <w:sz w:val="20"/>
          <w:szCs w:val="20"/>
          <w:b w:val="1"/>
          <w:bCs w:val="1"/>
          <w:color w:val="auto"/>
        </w:rPr>
        <w:t xml:space="preserve">Jiaxing Catalpa Huixin Investment Partnership Enterprise (Limited Partnership) </w:t>
      </w:r>
      <w:r>
        <w:rPr>
          <w:rFonts w:ascii="SimSun" w:cs="SimSun" w:eastAsia="SimSun" w:hAnsi="SimSun"/>
          <w:sz w:val="20"/>
          <w:szCs w:val="20"/>
          <w:color w:val="auto"/>
        </w:rPr>
        <w:t>嘉兴梓禾惠芯股权投资合伙企业（有限合伙）</w:t>
      </w:r>
    </w:p>
    <w:p>
      <w:pPr>
        <w:spacing w:after="0" w:line="196"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Address: Room 2201, Block B, 288 Jiahui Street, Yinzhou District, Ningbo, Zhejiang Province, P.R. China</w:t>
      </w:r>
    </w:p>
    <w:p>
      <w:pPr>
        <w:spacing w:after="0" w:line="215"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Attention: Xin Zheng</w:t>
      </w:r>
    </w:p>
    <w:p>
      <w:pPr>
        <w:spacing w:after="0" w:line="215"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Email: [***]</w:t>
      </w:r>
    </w:p>
    <w:p>
      <w:pPr>
        <w:spacing w:after="0" w:line="215" w:lineRule="exact"/>
        <w:rPr>
          <w:rFonts w:ascii="Arial" w:cs="Arial" w:eastAsia="Arial" w:hAnsi="Arial"/>
          <w:sz w:val="20"/>
          <w:szCs w:val="20"/>
          <w:color w:val="auto"/>
        </w:rPr>
      </w:pPr>
    </w:p>
    <w:p>
      <w:pPr>
        <w:ind w:left="1360" w:hanging="510"/>
        <w:spacing w:after="0"/>
        <w:tabs>
          <w:tab w:leader="none" w:pos="13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the case of the Investor E to:</w:t>
      </w:r>
    </w:p>
    <w:p>
      <w:pPr>
        <w:spacing w:after="0" w:line="196" w:lineRule="exact"/>
        <w:rPr>
          <w:rFonts w:ascii="Arial" w:cs="Arial" w:eastAsia="Arial" w:hAnsi="Arial"/>
          <w:sz w:val="20"/>
          <w:szCs w:val="20"/>
          <w:color w:val="auto"/>
        </w:rPr>
      </w:pPr>
    </w:p>
    <w:p>
      <w:pPr>
        <w:ind w:left="1360" w:right="120"/>
        <w:spacing w:after="0" w:line="216" w:lineRule="exact"/>
        <w:rPr>
          <w:rFonts w:ascii="Arial" w:cs="Arial" w:eastAsia="Arial" w:hAnsi="Arial"/>
          <w:sz w:val="20"/>
          <w:szCs w:val="20"/>
          <w:color w:val="auto"/>
        </w:rPr>
      </w:pPr>
      <w:r>
        <w:rPr>
          <w:rFonts w:ascii="Arial" w:cs="Arial" w:eastAsia="Arial" w:hAnsi="Arial"/>
          <w:sz w:val="20"/>
          <w:szCs w:val="20"/>
          <w:b w:val="1"/>
          <w:bCs w:val="1"/>
          <w:color w:val="auto"/>
        </w:rPr>
        <w:t xml:space="preserve">Gongqing City Guinie Zhuyu No. 5 venture capital partnership (limited partnership) </w:t>
      </w:r>
      <w:r>
        <w:rPr>
          <w:rFonts w:ascii="SimSun" w:cs="SimSun" w:eastAsia="SimSun" w:hAnsi="SimSun"/>
          <w:sz w:val="20"/>
          <w:szCs w:val="20"/>
          <w:color w:val="auto"/>
        </w:rPr>
        <w:t>共青城圭臬珠玉五号创业投</w:t>
      </w:r>
      <w:r>
        <w:rPr>
          <w:rFonts w:ascii="SimSun" w:cs="SimSun" w:eastAsia="SimSun" w:hAnsi="SimSun"/>
          <w:sz w:val="20"/>
          <w:szCs w:val="20"/>
          <w:color w:val="auto"/>
          <w:highlight w:val="black"/>
        </w:rPr>
        <w:t>资合伙企业（有限合伙）</w:t>
      </w:r>
    </w:p>
    <w:p>
      <w:pPr>
        <w:spacing w:after="0" w:line="196"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18"/>
          <w:szCs w:val="18"/>
          <w:color w:val="auto"/>
        </w:rPr>
        <w:t>Address: Room 1703, Block B, Jinhui Global Center, Gong-jian Road, Yanta District, Xi 'an, Shaanxi Province, P.R. China</w:t>
      </w:r>
    </w:p>
    <w:p>
      <w:pPr>
        <w:spacing w:after="0" w:line="252"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Attention: Zixi Yao</w:t>
      </w:r>
    </w:p>
    <w:p>
      <w:pPr>
        <w:spacing w:after="0" w:line="202" w:lineRule="exact"/>
        <w:rPr>
          <w:rFonts w:ascii="Arial" w:cs="Arial" w:eastAsia="Arial" w:hAnsi="Arial"/>
          <w:sz w:val="20"/>
          <w:szCs w:val="20"/>
          <w:color w:val="auto"/>
        </w:rPr>
      </w:pPr>
    </w:p>
    <w:p>
      <w:pPr>
        <w:ind w:left="1360"/>
        <w:spacing w:after="0"/>
        <w:rPr>
          <w:rFonts w:ascii="Arial" w:cs="Arial" w:eastAsia="Arial" w:hAnsi="Arial"/>
          <w:sz w:val="20"/>
          <w:szCs w:val="20"/>
          <w:color w:val="auto"/>
        </w:rPr>
      </w:pPr>
      <w:r>
        <w:rPr>
          <w:rFonts w:ascii="Arial" w:cs="Arial" w:eastAsia="Arial" w:hAnsi="Arial"/>
          <w:sz w:val="20"/>
          <w:szCs w:val="20"/>
          <w:color w:val="auto"/>
        </w:rPr>
        <w:t>Email: [***]</w:t>
      </w:r>
    </w:p>
    <w:p>
      <w:pPr>
        <w:spacing w:after="0" w:line="215" w:lineRule="exact"/>
        <w:rPr>
          <w:rFonts w:ascii="Arial" w:cs="Arial" w:eastAsia="Arial" w:hAnsi="Arial"/>
          <w:sz w:val="20"/>
          <w:szCs w:val="20"/>
          <w:color w:val="auto"/>
        </w:rPr>
      </w:pPr>
    </w:p>
    <w:p>
      <w:pPr>
        <w:ind w:left="1360" w:hanging="510"/>
        <w:spacing w:after="0"/>
        <w:tabs>
          <w:tab w:leader="none" w:pos="13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the case of the Investor F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-2794000</wp:posOffset>
            </wp:positionV>
            <wp:extent cx="636270" cy="155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36270" cy="155575"/>
                    </a:xfrm>
                    <a:prstGeom prst="rect">
                      <a:avLst/>
                    </a:prstGeom>
                    <a:noFill/>
                  </pic:spPr>
                </pic:pic>
              </a:graphicData>
            </a:graphic>
          </wp:anchor>
        </w:drawing>
      </w:r>
    </w:p>
    <w:p>
      <w:pPr>
        <w:spacing w:after="0" w:line="176" w:lineRule="exact"/>
        <w:rPr>
          <w:sz w:val="20"/>
          <w:szCs w:val="20"/>
          <w:color w:val="auto"/>
        </w:rPr>
      </w:pPr>
    </w:p>
    <w:p>
      <w:pPr>
        <w:ind w:left="1360" w:right="440"/>
        <w:spacing w:after="0" w:line="223" w:lineRule="exact"/>
        <w:rPr>
          <w:sz w:val="20"/>
          <w:szCs w:val="20"/>
          <w:color w:val="auto"/>
        </w:rPr>
      </w:pPr>
      <w:r>
        <w:rPr>
          <w:rFonts w:ascii="Arial" w:cs="Arial" w:eastAsia="Arial" w:hAnsi="Arial"/>
          <w:sz w:val="20"/>
          <w:szCs w:val="20"/>
          <w:b w:val="1"/>
          <w:bCs w:val="1"/>
          <w:color w:val="auto"/>
        </w:rPr>
        <w:t xml:space="preserve">Huzhou Hangxin Rongxie Equity Investment Partnership (Limited partnership) </w:t>
      </w:r>
      <w:r>
        <w:rPr>
          <w:rFonts w:ascii="SimSun" w:cs="SimSun" w:eastAsia="SimSun" w:hAnsi="SimSun"/>
          <w:sz w:val="20"/>
          <w:szCs w:val="20"/>
          <w:color w:val="auto"/>
        </w:rPr>
        <w:t>湖州航信荣协股权</w:t>
      </w:r>
      <w:r>
        <w:rPr>
          <w:rFonts w:ascii="SimSun" w:cs="SimSun" w:eastAsia="SimSun" w:hAnsi="SimSun"/>
          <w:sz w:val="20"/>
          <w:szCs w:val="20"/>
          <w:color w:val="auto"/>
          <w:highlight w:val="black"/>
        </w:rPr>
        <w:t>投资合伙企业</w:t>
      </w:r>
      <w:r>
        <w:rPr>
          <w:rFonts w:ascii="Arial" w:cs="Arial" w:eastAsia="Arial" w:hAnsi="Arial"/>
          <w:sz w:val="20"/>
          <w:szCs w:val="20"/>
          <w:b w:val="1"/>
          <w:bCs w:val="1"/>
          <w:color w:val="auto"/>
        </w:rPr>
        <w:t>(</w:t>
      </w:r>
      <w:r>
        <w:rPr>
          <w:rFonts w:ascii="SimSun" w:cs="SimSun" w:eastAsia="SimSun" w:hAnsi="SimSun"/>
          <w:sz w:val="20"/>
          <w:szCs w:val="20"/>
          <w:color w:val="auto"/>
          <w:highlight w:val="black"/>
        </w:rPr>
        <w:t>有限合伙</w:t>
      </w:r>
      <w:r>
        <w:rPr>
          <w:rFonts w:ascii="Arial" w:cs="Arial" w:eastAsia="Arial" w:hAnsi="Arial"/>
          <w:sz w:val="20"/>
          <w:szCs w:val="20"/>
          <w:b w:val="1"/>
          <w:bCs w:val="1"/>
          <w:color w:val="auto"/>
        </w:rPr>
        <w:t>)</w:t>
      </w:r>
    </w:p>
    <w:p>
      <w:pPr>
        <w:spacing w:after="0" w:line="196"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Address: Room 2010, Beichen Times Building, No. 8 Beichen East Road, Chaoyang District, Beijing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120"/>
          </w:cols>
          <w:pgMar w:left="400" w:top="1440" w:right="379" w:bottom="1440" w:gutter="0" w:footer="0" w:header="0"/>
        </w:sectPr>
      </w:pPr>
    </w:p>
    <w:bookmarkStart w:id="106" w:name="page107"/>
    <w:bookmarkEnd w:id="106"/>
    <w:p>
      <w:pPr>
        <w:spacing w:after="0" w:line="200" w:lineRule="exact"/>
        <w:rPr>
          <w:sz w:val="20"/>
          <w:szCs w:val="20"/>
          <w:color w:val="auto"/>
        </w:rPr>
      </w:pPr>
    </w:p>
    <w:p>
      <w:pPr>
        <w:spacing w:after="0" w:line="238"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Attention: Yang Hu</w:t>
      </w:r>
    </w:p>
    <w:p>
      <w:pPr>
        <w:spacing w:after="0" w:line="216"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259" w:lineRule="exact"/>
        <w:rPr>
          <w:sz w:val="20"/>
          <w:szCs w:val="20"/>
          <w:color w:val="auto"/>
        </w:rPr>
      </w:pPr>
    </w:p>
    <w:p>
      <w:pPr>
        <w:ind w:left="860"/>
        <w:spacing w:after="0" w:line="236" w:lineRule="auto"/>
        <w:rPr>
          <w:sz w:val="20"/>
          <w:szCs w:val="20"/>
          <w:color w:val="auto"/>
        </w:rPr>
      </w:pPr>
      <w:r>
        <w:rPr>
          <w:rFonts w:ascii="Arial" w:cs="Arial" w:eastAsia="Arial" w:hAnsi="Arial"/>
          <w:sz w:val="20"/>
          <w:szCs w:val="20"/>
          <w:color w:val="auto"/>
        </w:rPr>
        <w:t>During the term of this Agreement, any Party may change its address from time to time, provided that the other Parties will be notified in writing of that change promptly.</w:t>
      </w:r>
    </w:p>
    <w:p>
      <w:pPr>
        <w:spacing w:after="0" w:line="200" w:lineRule="exact"/>
        <w:rPr>
          <w:sz w:val="20"/>
          <w:szCs w:val="20"/>
          <w:color w:val="auto"/>
        </w:rPr>
      </w:pPr>
    </w:p>
    <w:p>
      <w:pPr>
        <w:spacing w:after="0" w:line="234" w:lineRule="exact"/>
        <w:rPr>
          <w:sz w:val="20"/>
          <w:szCs w:val="20"/>
          <w:color w:val="auto"/>
        </w:rPr>
      </w:pPr>
    </w:p>
    <w:p>
      <w:pPr>
        <w:ind w:left="820"/>
        <w:spacing w:after="0"/>
        <w:tabs>
          <w:tab w:leader="none" w:pos="162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u w:val="single" w:color="auto"/>
          <w:color w:val="auto"/>
        </w:rPr>
        <w:t>Publicity</w:t>
      </w:r>
    </w:p>
    <w:p>
      <w:pPr>
        <w:spacing w:after="0" w:line="305" w:lineRule="exact"/>
        <w:rPr>
          <w:sz w:val="20"/>
          <w:szCs w:val="20"/>
          <w:color w:val="auto"/>
        </w:rPr>
      </w:pPr>
    </w:p>
    <w:p>
      <w:pPr>
        <w:ind w:left="860" w:right="60"/>
        <w:spacing w:after="0" w:line="229" w:lineRule="auto"/>
        <w:rPr>
          <w:sz w:val="20"/>
          <w:szCs w:val="20"/>
          <w:color w:val="auto"/>
        </w:rPr>
      </w:pPr>
      <w:r>
        <w:rPr>
          <w:rFonts w:ascii="Arial" w:cs="Arial" w:eastAsia="Arial" w:hAnsi="Arial"/>
          <w:sz w:val="20"/>
          <w:szCs w:val="20"/>
          <w:color w:val="auto"/>
        </w:rPr>
        <w:t>No Party shall make any declarations, announcements, or disclosures to the public with respect to this Agreement without the prior written consent of the other Parties.</w:t>
      </w:r>
    </w:p>
    <w:p>
      <w:pPr>
        <w:spacing w:after="0" w:line="200" w:lineRule="exact"/>
        <w:rPr>
          <w:sz w:val="20"/>
          <w:szCs w:val="20"/>
          <w:color w:val="auto"/>
        </w:rPr>
      </w:pPr>
    </w:p>
    <w:p>
      <w:pPr>
        <w:spacing w:after="0" w:line="239" w:lineRule="exact"/>
        <w:rPr>
          <w:sz w:val="20"/>
          <w:szCs w:val="20"/>
          <w:color w:val="auto"/>
        </w:rPr>
      </w:pPr>
    </w:p>
    <w:p>
      <w:pPr>
        <w:ind w:left="820"/>
        <w:spacing w:after="0"/>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Logo Usage</w:t>
      </w:r>
    </w:p>
    <w:p>
      <w:pPr>
        <w:spacing w:after="0" w:line="297" w:lineRule="exact"/>
        <w:rPr>
          <w:sz w:val="20"/>
          <w:szCs w:val="20"/>
          <w:color w:val="auto"/>
        </w:rPr>
      </w:pPr>
    </w:p>
    <w:p>
      <w:pPr>
        <w:ind w:left="820" w:right="220"/>
        <w:spacing w:after="0" w:line="236" w:lineRule="auto"/>
        <w:rPr>
          <w:sz w:val="20"/>
          <w:szCs w:val="20"/>
          <w:color w:val="auto"/>
        </w:rPr>
      </w:pPr>
      <w:r>
        <w:rPr>
          <w:rFonts w:ascii="Arial" w:cs="Arial" w:eastAsia="Arial" w:hAnsi="Arial"/>
          <w:sz w:val="20"/>
          <w:szCs w:val="20"/>
          <w:color w:val="auto"/>
        </w:rPr>
        <w:t>Names and logos of Investors shall not be used by other Parties to this Agreement absent the prior consent of the applicable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0840"/>
          </w:cols>
          <w:pgMar w:left="400" w:top="1440" w:right="659" w:bottom="1440" w:gutter="0" w:footer="0" w:header="0"/>
        </w:sectPr>
      </w:pPr>
    </w:p>
    <w:bookmarkStart w:id="107" w:name="page108"/>
    <w:bookmarkEnd w:id="107"/>
    <w:p>
      <w:pPr>
        <w:ind w:left="380"/>
        <w:spacing w:after="0" w:line="229" w:lineRule="auto"/>
        <w:rPr>
          <w:sz w:val="20"/>
          <w:szCs w:val="20"/>
          <w:color w:val="auto"/>
        </w:rPr>
      </w:pPr>
      <w:r>
        <w:rPr>
          <w:rFonts w:ascii="Arial" w:cs="Arial" w:eastAsia="Arial" w:hAnsi="Arial"/>
          <w:sz w:val="20"/>
          <w:szCs w:val="20"/>
          <w:color w:val="auto"/>
        </w:rPr>
        <w:t>IN WITNESS WHEREOF, the Parties have caused this Agreement to be executed by their representatives, duly authorized hereunto, on the date first above written.</w:t>
      </w:r>
    </w:p>
    <w:p>
      <w:pPr>
        <w:spacing w:after="0" w:line="200" w:lineRule="exact"/>
        <w:rPr>
          <w:sz w:val="20"/>
          <w:szCs w:val="20"/>
          <w:color w:val="auto"/>
        </w:rPr>
      </w:pPr>
    </w:p>
    <w:p>
      <w:pPr>
        <w:spacing w:after="0" w:line="233"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Arteris HK Limited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 Charles Janac</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Name: K. Charles Janac</w:t>
      </w:r>
    </w:p>
    <w:p>
      <w:pPr>
        <w:ind w:left="3820"/>
        <w:spacing w:after="0"/>
        <w:rPr>
          <w:sz w:val="20"/>
          <w:szCs w:val="20"/>
          <w:color w:val="auto"/>
        </w:rPr>
      </w:pPr>
      <w:r>
        <w:rPr>
          <w:rFonts w:ascii="Arial" w:cs="Arial" w:eastAsia="Arial" w:hAnsi="Arial"/>
          <w:sz w:val="20"/>
          <w:szCs w:val="20"/>
          <w:color w:val="auto"/>
        </w:rPr>
        <w:t>Title: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Signature page to the Share Purchase and Shareholders Agreement</w:t>
      </w:r>
    </w:p>
    <w:p>
      <w:pPr>
        <w:sectPr>
          <w:pgSz w:w="11900" w:h="16838" w:orient="portrait"/>
          <w:cols w:equalWidth="0" w:num="1">
            <w:col w:w="11160"/>
          </w:cols>
          <w:pgMar w:left="360" w:top="1392" w:right="379" w:bottom="1440" w:gutter="0" w:footer="0" w:header="0"/>
        </w:sectPr>
      </w:pPr>
    </w:p>
    <w:bookmarkStart w:id="108" w:name="page109"/>
    <w:bookmarkEnd w:id="108"/>
    <w:p>
      <w:pPr>
        <w:spacing w:after="0" w:line="195" w:lineRule="exact"/>
        <w:rPr>
          <w:sz w:val="20"/>
          <w:szCs w:val="20"/>
          <w:color w:val="auto"/>
        </w:rPr>
      </w:pPr>
    </w:p>
    <w:p>
      <w:pPr>
        <w:ind w:left="380"/>
        <w:spacing w:after="0" w:line="229" w:lineRule="auto"/>
        <w:rPr>
          <w:sz w:val="20"/>
          <w:szCs w:val="20"/>
          <w:color w:val="auto"/>
        </w:rPr>
      </w:pPr>
      <w:r>
        <w:rPr>
          <w:rFonts w:ascii="Arial" w:cs="Arial" w:eastAsia="Arial" w:hAnsi="Arial"/>
          <w:sz w:val="20"/>
          <w:szCs w:val="20"/>
          <w:color w:val="auto"/>
        </w:rPr>
        <w:t>IN WITNESS WHEREOF, the Parties have caused this Agreement to be executed by their representatives, duly authorized hereunto, on the date first above written.</w:t>
      </w:r>
    </w:p>
    <w:p>
      <w:pPr>
        <w:spacing w:after="0" w:line="183"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SME Development (Shaoxing) Venture Fund, LLP</w:t>
      </w:r>
    </w:p>
    <w:p>
      <w:pPr>
        <w:ind w:left="3820"/>
        <w:spacing w:after="0" w:line="203" w:lineRule="exact"/>
        <w:rPr>
          <w:sz w:val="20"/>
          <w:szCs w:val="20"/>
          <w:color w:val="auto"/>
        </w:rPr>
      </w:pPr>
      <w:r>
        <w:rPr>
          <w:rFonts w:ascii="SimSun" w:cs="SimSun" w:eastAsia="SimSun" w:hAnsi="SimSun"/>
          <w:sz w:val="20"/>
          <w:szCs w:val="20"/>
          <w:color w:val="auto"/>
        </w:rPr>
        <w:t>中小企业发展基金（绍兴）股权投资合伙企业</w:t>
      </w:r>
    </w:p>
    <w:p>
      <w:pPr>
        <w:ind w:left="3820"/>
        <w:spacing w:after="0" w:line="229" w:lineRule="exact"/>
        <w:rPr>
          <w:sz w:val="20"/>
          <w:szCs w:val="20"/>
          <w:color w:val="auto"/>
        </w:rPr>
      </w:pPr>
      <w:r>
        <w:rPr>
          <w:rFonts w:ascii="SimSun" w:cs="SimSun" w:eastAsia="SimSun" w:hAnsi="SimSun"/>
          <w:sz w:val="20"/>
          <w:szCs w:val="20"/>
          <w:color w:val="auto"/>
        </w:rPr>
        <w:t>（有限合伙）</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Mr. Sen Zhao</w:t>
      </w:r>
    </w:p>
    <w:p>
      <w:pPr>
        <w:ind w:left="3820"/>
        <w:spacing w:after="0" w:line="227" w:lineRule="auto"/>
        <w:rPr>
          <w:sz w:val="20"/>
          <w:szCs w:val="20"/>
          <w:color w:val="auto"/>
        </w:rPr>
      </w:pPr>
      <w:r>
        <w:rPr>
          <w:rFonts w:ascii="Arial" w:cs="Arial" w:eastAsia="Arial" w:hAnsi="Arial"/>
          <w:sz w:val="20"/>
          <w:szCs w:val="20"/>
          <w:color w:val="auto"/>
        </w:rPr>
        <w:t>Name: Mr. Sen Zhao</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Title: Representative Delegated by its General Partner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Signature page to the Share Purchase and Shareholders Agreement</w:t>
      </w:r>
    </w:p>
    <w:p>
      <w:pPr>
        <w:sectPr>
          <w:pgSz w:w="11900" w:h="16838" w:orient="portrait"/>
          <w:cols w:equalWidth="0" w:num="1">
            <w:col w:w="11160"/>
          </w:cols>
          <w:pgMar w:left="360" w:top="1440" w:right="379" w:bottom="1440" w:gutter="0" w:footer="0" w:header="0"/>
        </w:sectPr>
      </w:pPr>
    </w:p>
    <w:bookmarkStart w:id="109" w:name="page110"/>
    <w:bookmarkEnd w:id="109"/>
    <w:p>
      <w:pPr>
        <w:ind w:left="380"/>
        <w:spacing w:after="0" w:line="229" w:lineRule="auto"/>
        <w:rPr>
          <w:sz w:val="20"/>
          <w:szCs w:val="20"/>
          <w:color w:val="auto"/>
        </w:rPr>
      </w:pPr>
      <w:r>
        <w:rPr>
          <w:rFonts w:ascii="Arial" w:cs="Arial" w:eastAsia="Arial" w:hAnsi="Arial"/>
          <w:sz w:val="20"/>
          <w:szCs w:val="20"/>
          <w:color w:val="auto"/>
        </w:rPr>
        <w:t>IN WITNESS WHEREOF, the Parties have caused this Agreement to be executed by their representatives, duly authorized hereunto, on the date first above written.</w:t>
      </w:r>
    </w:p>
    <w:p>
      <w:pPr>
        <w:spacing w:after="0" w:line="217" w:lineRule="exact"/>
        <w:rPr>
          <w:sz w:val="20"/>
          <w:szCs w:val="20"/>
          <w:color w:val="auto"/>
        </w:rPr>
      </w:pPr>
    </w:p>
    <w:p>
      <w:pPr>
        <w:ind w:left="3820" w:right="400"/>
        <w:spacing w:after="0" w:line="243" w:lineRule="exact"/>
        <w:rPr>
          <w:sz w:val="20"/>
          <w:szCs w:val="20"/>
          <w:color w:val="auto"/>
        </w:rPr>
      </w:pPr>
      <w:r>
        <w:rPr>
          <w:rFonts w:ascii="Arial" w:cs="Arial" w:eastAsia="Arial" w:hAnsi="Arial"/>
          <w:sz w:val="20"/>
          <w:szCs w:val="20"/>
          <w:b w:val="1"/>
          <w:bCs w:val="1"/>
          <w:color w:val="auto"/>
        </w:rPr>
        <w:t>Jiaxing Luojia Chuangzhi Investment Partnership Enterprise (Limited Partnership)</w:t>
      </w:r>
      <w:r>
        <w:rPr>
          <w:rFonts w:ascii="SimSun" w:cs="SimSun" w:eastAsia="SimSun" w:hAnsi="SimSun"/>
          <w:sz w:val="20"/>
          <w:szCs w:val="20"/>
          <w:color w:val="auto"/>
        </w:rPr>
        <w:t>嘉兴珞珈传智股权投资合伙企业（有限合伙）</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Mr. Geng Lin</w:t>
      </w:r>
    </w:p>
    <w:p>
      <w:pPr>
        <w:ind w:left="3820"/>
        <w:spacing w:after="0" w:line="225" w:lineRule="auto"/>
        <w:rPr>
          <w:sz w:val="20"/>
          <w:szCs w:val="20"/>
          <w:color w:val="auto"/>
        </w:rPr>
      </w:pPr>
      <w:r>
        <w:rPr>
          <w:rFonts w:ascii="Arial" w:cs="Arial" w:eastAsia="Arial" w:hAnsi="Arial"/>
          <w:sz w:val="20"/>
          <w:szCs w:val="20"/>
          <w:color w:val="auto"/>
        </w:rPr>
        <w:t>Name: Mr. Geng Lin</w:t>
      </w:r>
    </w:p>
    <w:p>
      <w:pPr>
        <w:ind w:left="3820"/>
        <w:spacing w:after="0"/>
        <w:rPr>
          <w:sz w:val="20"/>
          <w:szCs w:val="20"/>
          <w:color w:val="auto"/>
        </w:rPr>
      </w:pPr>
      <w:r>
        <w:rPr>
          <w:rFonts w:ascii="Arial" w:cs="Arial" w:eastAsia="Arial" w:hAnsi="Arial"/>
          <w:sz w:val="20"/>
          <w:szCs w:val="20"/>
          <w:color w:val="auto"/>
        </w:rPr>
        <w:t>Title: Representative Delegated by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Signature page to the Share Purchase and Shareholders Agreement</w:t>
      </w:r>
    </w:p>
    <w:p>
      <w:pPr>
        <w:sectPr>
          <w:pgSz w:w="11900" w:h="16838" w:orient="portrait"/>
          <w:cols w:equalWidth="0" w:num="1">
            <w:col w:w="11160"/>
          </w:cols>
          <w:pgMar w:left="360" w:top="1392" w:right="379" w:bottom="1440" w:gutter="0" w:footer="0" w:header="0"/>
        </w:sectPr>
      </w:pPr>
    </w:p>
    <w:bookmarkStart w:id="110" w:name="page111"/>
    <w:bookmarkEnd w:id="110"/>
    <w:p>
      <w:pPr>
        <w:spacing w:after="0" w:line="195" w:lineRule="exact"/>
        <w:rPr>
          <w:sz w:val="20"/>
          <w:szCs w:val="20"/>
          <w:color w:val="auto"/>
        </w:rPr>
      </w:pPr>
    </w:p>
    <w:p>
      <w:pPr>
        <w:ind w:left="380"/>
        <w:spacing w:after="0" w:line="229" w:lineRule="auto"/>
        <w:rPr>
          <w:sz w:val="20"/>
          <w:szCs w:val="20"/>
          <w:color w:val="auto"/>
        </w:rPr>
      </w:pPr>
      <w:r>
        <w:rPr>
          <w:rFonts w:ascii="Arial" w:cs="Arial" w:eastAsia="Arial" w:hAnsi="Arial"/>
          <w:sz w:val="20"/>
          <w:szCs w:val="20"/>
          <w:color w:val="auto"/>
        </w:rPr>
        <w:t>IN WITNESS WHEREOF, the Parties have caused this Agreement to be executed by their representatives, duly authorized hereunto, on the date first above written.</w:t>
      </w:r>
    </w:p>
    <w:p>
      <w:pPr>
        <w:spacing w:after="0" w:line="195"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Gongqing City Guinie Zhuyu No. 3 Investment Partnership (Limited Partnership)</w:t>
      </w:r>
    </w:p>
    <w:p>
      <w:pPr>
        <w:ind w:left="3820"/>
        <w:spacing w:after="0" w:line="229" w:lineRule="exact"/>
        <w:rPr>
          <w:sz w:val="20"/>
          <w:szCs w:val="20"/>
          <w:color w:val="auto"/>
        </w:rPr>
      </w:pPr>
      <w:r>
        <w:rPr>
          <w:rFonts w:ascii="SimSun" w:cs="SimSun" w:eastAsia="SimSun" w:hAnsi="SimSun"/>
          <w:sz w:val="20"/>
          <w:szCs w:val="20"/>
          <w:color w:val="auto"/>
        </w:rPr>
        <w:t>共青城圭臬珠玉三号投资合伙企业（有限合伙）</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Mr. Zixi Yao</w:t>
      </w:r>
    </w:p>
    <w:p>
      <w:pPr>
        <w:ind w:left="3820"/>
        <w:spacing w:after="0" w:line="227" w:lineRule="auto"/>
        <w:rPr>
          <w:sz w:val="20"/>
          <w:szCs w:val="20"/>
          <w:color w:val="auto"/>
        </w:rPr>
      </w:pPr>
      <w:r>
        <w:rPr>
          <w:rFonts w:ascii="Arial" w:cs="Arial" w:eastAsia="Arial" w:hAnsi="Arial"/>
          <w:sz w:val="20"/>
          <w:szCs w:val="20"/>
          <w:color w:val="auto"/>
        </w:rPr>
        <w:t>Name: Mr. Zixi Yao</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Title: Representative Delegated by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Signature page to the Share Purchase and Shareholders Agreement</w:t>
      </w:r>
    </w:p>
    <w:p>
      <w:pPr>
        <w:sectPr>
          <w:pgSz w:w="11900" w:h="16838" w:orient="portrait"/>
          <w:cols w:equalWidth="0" w:num="1">
            <w:col w:w="11160"/>
          </w:cols>
          <w:pgMar w:left="360" w:top="1440" w:right="379" w:bottom="1440" w:gutter="0" w:footer="0" w:header="0"/>
        </w:sectPr>
      </w:pPr>
    </w:p>
    <w:bookmarkStart w:id="111" w:name="page112"/>
    <w:bookmarkEnd w:id="111"/>
    <w:p>
      <w:pPr>
        <w:spacing w:after="0" w:line="195" w:lineRule="exact"/>
        <w:rPr>
          <w:sz w:val="20"/>
          <w:szCs w:val="20"/>
          <w:color w:val="auto"/>
        </w:rPr>
      </w:pPr>
    </w:p>
    <w:p>
      <w:pPr>
        <w:ind w:left="380"/>
        <w:spacing w:after="0" w:line="229" w:lineRule="auto"/>
        <w:rPr>
          <w:sz w:val="20"/>
          <w:szCs w:val="20"/>
          <w:color w:val="auto"/>
        </w:rPr>
      </w:pPr>
      <w:r>
        <w:rPr>
          <w:rFonts w:ascii="Arial" w:cs="Arial" w:eastAsia="Arial" w:hAnsi="Arial"/>
          <w:sz w:val="20"/>
          <w:szCs w:val="20"/>
          <w:color w:val="auto"/>
        </w:rPr>
        <w:t>IN WITNESS WHEREOF, the Parties have caused this Agreement to be executed by their representatives, duly authorized hereunto, on the date first above written.</w:t>
      </w:r>
    </w:p>
    <w:p>
      <w:pPr>
        <w:spacing w:after="0" w:line="217" w:lineRule="exact"/>
        <w:rPr>
          <w:sz w:val="20"/>
          <w:szCs w:val="20"/>
          <w:color w:val="auto"/>
        </w:rPr>
      </w:pPr>
    </w:p>
    <w:p>
      <w:pPr>
        <w:ind w:left="3820" w:right="660"/>
        <w:spacing w:after="0" w:line="243" w:lineRule="exact"/>
        <w:rPr>
          <w:sz w:val="20"/>
          <w:szCs w:val="20"/>
          <w:color w:val="auto"/>
        </w:rPr>
      </w:pPr>
      <w:r>
        <w:rPr>
          <w:rFonts w:ascii="Arial" w:cs="Arial" w:eastAsia="Arial" w:hAnsi="Arial"/>
          <w:sz w:val="20"/>
          <w:szCs w:val="20"/>
          <w:b w:val="1"/>
          <w:bCs w:val="1"/>
          <w:color w:val="auto"/>
        </w:rPr>
        <w:t xml:space="preserve">Arteris Semiconductor Technology (Nanjing) Co., Ltd. </w:t>
      </w:r>
      <w:r>
        <w:rPr>
          <w:rFonts w:ascii="SimSun" w:cs="SimSun" w:eastAsia="SimSun" w:hAnsi="SimSun"/>
          <w:sz w:val="20"/>
          <w:szCs w:val="20"/>
          <w:color w:val="auto"/>
        </w:rPr>
        <w:t>安通思半导体技术（南京）有限公司</w:t>
      </w: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 Charles Janac</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Name: K. Charles Janac 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Signature page to the Share Purchase and Shareholders Agreement</w:t>
      </w:r>
    </w:p>
    <w:p>
      <w:pPr>
        <w:sectPr>
          <w:pgSz w:w="11900" w:h="16838" w:orient="portrait"/>
          <w:cols w:equalWidth="0" w:num="1">
            <w:col w:w="11160"/>
          </w:cols>
          <w:pgMar w:left="360" w:top="1440" w:right="379" w:bottom="1440" w:gutter="0" w:footer="0" w:header="0"/>
        </w:sectPr>
      </w:pPr>
    </w:p>
    <w:bookmarkStart w:id="112" w:name="page113"/>
    <w:bookmarkEnd w:id="112"/>
    <w:p>
      <w:pPr>
        <w:spacing w:after="0" w:line="195" w:lineRule="exact"/>
        <w:rPr>
          <w:sz w:val="20"/>
          <w:szCs w:val="20"/>
          <w:color w:val="auto"/>
        </w:rPr>
      </w:pPr>
    </w:p>
    <w:p>
      <w:pPr>
        <w:ind w:left="380"/>
        <w:spacing w:after="0" w:line="229" w:lineRule="auto"/>
        <w:rPr>
          <w:sz w:val="20"/>
          <w:szCs w:val="20"/>
          <w:color w:val="auto"/>
        </w:rPr>
      </w:pPr>
      <w:r>
        <w:rPr>
          <w:rFonts w:ascii="Arial" w:cs="Arial" w:eastAsia="Arial" w:hAnsi="Arial"/>
          <w:sz w:val="20"/>
          <w:szCs w:val="20"/>
          <w:color w:val="auto"/>
        </w:rPr>
        <w:t>IN WITNESS WHEREOF, the Parties have caused this Agreement to be executed by their representatives, duly authorized hereunto, on the date first above written.</w:t>
      </w:r>
    </w:p>
    <w:p>
      <w:pPr>
        <w:spacing w:after="0" w:line="203" w:lineRule="exact"/>
        <w:rPr>
          <w:sz w:val="20"/>
          <w:szCs w:val="20"/>
          <w:color w:val="auto"/>
        </w:rPr>
      </w:pPr>
    </w:p>
    <w:p>
      <w:pPr>
        <w:ind w:left="3820" w:right="1460"/>
        <w:spacing w:after="0" w:line="208" w:lineRule="auto"/>
        <w:rPr>
          <w:sz w:val="20"/>
          <w:szCs w:val="20"/>
          <w:color w:val="auto"/>
        </w:rPr>
      </w:pPr>
      <w:r>
        <w:rPr>
          <w:rFonts w:ascii="Arial" w:cs="Arial" w:eastAsia="Arial" w:hAnsi="Arial"/>
          <w:sz w:val="20"/>
          <w:szCs w:val="20"/>
          <w:b w:val="1"/>
          <w:bCs w:val="1"/>
          <w:color w:val="auto"/>
        </w:rPr>
        <w:t>Ningbo Transchip Information Consulting Partnership (Limited Partnership)</w:t>
      </w:r>
    </w:p>
    <w:p>
      <w:pPr>
        <w:spacing w:after="0" w:line="1" w:lineRule="exact"/>
        <w:rPr>
          <w:sz w:val="20"/>
          <w:szCs w:val="20"/>
          <w:color w:val="auto"/>
        </w:rPr>
      </w:pPr>
    </w:p>
    <w:p>
      <w:pPr>
        <w:ind w:left="3820"/>
        <w:spacing w:after="0" w:line="229" w:lineRule="exact"/>
        <w:rPr>
          <w:sz w:val="20"/>
          <w:szCs w:val="20"/>
          <w:color w:val="auto"/>
        </w:rPr>
      </w:pPr>
      <w:r>
        <w:rPr>
          <w:rFonts w:ascii="SimSun" w:cs="SimSun" w:eastAsia="SimSun" w:hAnsi="SimSun"/>
          <w:sz w:val="20"/>
          <w:szCs w:val="20"/>
          <w:color w:val="auto"/>
        </w:rPr>
        <w:t>宁波传智驿芯信息咨询合伙企业（有限合伙）</w:t>
      </w:r>
    </w:p>
    <w:p>
      <w:pPr>
        <w:spacing w:after="0" w:line="200" w:lineRule="exact"/>
        <w:rPr>
          <w:sz w:val="20"/>
          <w:szCs w:val="20"/>
          <w:color w:val="auto"/>
        </w:rPr>
      </w:pPr>
    </w:p>
    <w:p>
      <w:pPr>
        <w:spacing w:after="0" w:line="272"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Mr. Zheng Wu</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Name: Mr. Zheng Wu</w:t>
      </w:r>
    </w:p>
    <w:p>
      <w:pPr>
        <w:ind w:left="3820"/>
        <w:spacing w:after="0"/>
        <w:rPr>
          <w:sz w:val="20"/>
          <w:szCs w:val="20"/>
          <w:color w:val="auto"/>
        </w:rPr>
      </w:pPr>
      <w:r>
        <w:rPr>
          <w:rFonts w:ascii="Arial" w:cs="Arial" w:eastAsia="Arial" w:hAnsi="Arial"/>
          <w:sz w:val="20"/>
          <w:szCs w:val="20"/>
          <w:color w:val="auto"/>
        </w:rPr>
        <w:t>Title: Representative Delegated by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Signature page to the Share Purchase and Shareholders Agreement</w:t>
      </w:r>
    </w:p>
    <w:p>
      <w:pPr>
        <w:sectPr>
          <w:pgSz w:w="11900" w:h="16838" w:orient="portrait"/>
          <w:cols w:equalWidth="0" w:num="1">
            <w:col w:w="11160"/>
          </w:cols>
          <w:pgMar w:left="360" w:top="1440" w:right="379" w:bottom="1440" w:gutter="0" w:footer="0" w:header="0"/>
        </w:sectPr>
      </w:pPr>
    </w:p>
    <w:bookmarkStart w:id="113" w:name="page114"/>
    <w:bookmarkEnd w:id="113"/>
    <w:p>
      <w:pPr>
        <w:spacing w:after="0" w:line="195" w:lineRule="exact"/>
        <w:rPr>
          <w:sz w:val="20"/>
          <w:szCs w:val="20"/>
          <w:color w:val="auto"/>
        </w:rPr>
      </w:pPr>
    </w:p>
    <w:p>
      <w:pPr>
        <w:ind w:left="380"/>
        <w:spacing w:after="0" w:line="236" w:lineRule="auto"/>
        <w:rPr>
          <w:sz w:val="20"/>
          <w:szCs w:val="20"/>
          <w:color w:val="auto"/>
        </w:rPr>
      </w:pPr>
      <w:r>
        <w:rPr>
          <w:rFonts w:ascii="Arial" w:cs="Arial" w:eastAsia="Arial" w:hAnsi="Arial"/>
          <w:sz w:val="20"/>
          <w:szCs w:val="20"/>
          <w:color w:val="auto"/>
        </w:rPr>
        <w:t>IN WITNESS WHEREOF, the Parties have caused this Agreement to be executed by their representatives, duly authorized hereunto, on the date first above written.</w:t>
      </w:r>
    </w:p>
    <w:p>
      <w:pPr>
        <w:spacing w:after="0" w:line="170"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Transchip Technology (Nanjing) Co., Ltd.</w:t>
      </w:r>
    </w:p>
    <w:p>
      <w:pPr>
        <w:ind w:left="3820"/>
        <w:spacing w:after="0" w:line="229" w:lineRule="exact"/>
        <w:rPr>
          <w:sz w:val="20"/>
          <w:szCs w:val="20"/>
          <w:color w:val="auto"/>
        </w:rPr>
      </w:pPr>
      <w:r>
        <w:rPr>
          <w:rFonts w:ascii="SimSun" w:cs="SimSun" w:eastAsia="SimSun" w:hAnsi="SimSun"/>
          <w:sz w:val="20"/>
          <w:szCs w:val="20"/>
          <w:color w:val="auto"/>
        </w:rPr>
        <w:t>传智驿芯科技（南京）有限公司</w:t>
      </w:r>
    </w:p>
    <w:p>
      <w:pPr>
        <w:spacing w:after="0" w:line="200" w:lineRule="exact"/>
        <w:rPr>
          <w:sz w:val="20"/>
          <w:szCs w:val="20"/>
          <w:color w:val="auto"/>
        </w:rPr>
      </w:pPr>
    </w:p>
    <w:p>
      <w:pPr>
        <w:spacing w:after="0" w:line="272"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Zheng Wu</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Name: Zheng Wu</w:t>
      </w:r>
    </w:p>
    <w:p>
      <w:pPr>
        <w:ind w:left="3820"/>
        <w:spacing w:after="0"/>
        <w:rPr>
          <w:sz w:val="20"/>
          <w:szCs w:val="20"/>
          <w:color w:val="auto"/>
        </w:rPr>
      </w:pPr>
      <w:r>
        <w:rPr>
          <w:rFonts w:ascii="Arial" w:cs="Arial" w:eastAsia="Arial" w:hAnsi="Arial"/>
          <w:sz w:val="20"/>
          <w:szCs w:val="20"/>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Signature page to the Share Purchase and Shareholders Agreement</w:t>
      </w:r>
    </w:p>
    <w:p>
      <w:pPr>
        <w:sectPr>
          <w:pgSz w:w="11900" w:h="16838" w:orient="portrait"/>
          <w:cols w:equalWidth="0" w:num="1">
            <w:col w:w="11160"/>
          </w:cols>
          <w:pgMar w:left="360" w:top="1440" w:right="379" w:bottom="1440" w:gutter="0" w:footer="0" w:header="0"/>
        </w:sectPr>
      </w:pPr>
    </w:p>
    <w:bookmarkStart w:id="114" w:name="page115"/>
    <w:bookmarkEnd w:id="114"/>
    <w:p>
      <w:pPr>
        <w:spacing w:after="0" w:line="229" w:lineRule="auto"/>
        <w:rPr>
          <w:sz w:val="20"/>
          <w:szCs w:val="20"/>
          <w:color w:val="auto"/>
        </w:rPr>
      </w:pPr>
      <w:r>
        <w:rPr>
          <w:rFonts w:ascii="Arial" w:cs="Arial" w:eastAsia="Arial" w:hAnsi="Arial"/>
          <w:sz w:val="20"/>
          <w:szCs w:val="20"/>
          <w:color w:val="auto"/>
        </w:rPr>
        <w:t>IN WITNESS WHEREOF, the Parties have caused this Agreement to be executed by their representatives, duly authorized hereunto, on the date first above written.</w:t>
      </w:r>
    </w:p>
    <w:p>
      <w:pPr>
        <w:spacing w:after="0" w:line="183"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Jiaxing Catalpa Huixin Investment Partnership Enterprise (Limited Partnership)</w:t>
      </w:r>
    </w:p>
    <w:p>
      <w:pPr>
        <w:ind w:left="3440"/>
        <w:spacing w:after="0" w:line="229" w:lineRule="exact"/>
        <w:rPr>
          <w:sz w:val="20"/>
          <w:szCs w:val="20"/>
          <w:color w:val="auto"/>
        </w:rPr>
      </w:pPr>
      <w:r>
        <w:rPr>
          <w:rFonts w:ascii="SimSun" w:cs="SimSun" w:eastAsia="SimSun" w:hAnsi="SimSun"/>
          <w:sz w:val="20"/>
          <w:szCs w:val="20"/>
          <w:color w:val="auto"/>
        </w:rPr>
        <w:t>嘉兴梓禾惠芯股权投资合伙企业（有限合伙）</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Mr. Xin Zheng</w:t>
      </w:r>
    </w:p>
    <w:p>
      <w:pPr>
        <w:spacing w:after="0" w:line="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Name: Mr. Xin Zheng</w:t>
      </w:r>
    </w:p>
    <w:p>
      <w:pPr>
        <w:ind w:left="3440"/>
        <w:spacing w:after="0"/>
        <w:rPr>
          <w:sz w:val="20"/>
          <w:szCs w:val="20"/>
          <w:color w:val="auto"/>
        </w:rPr>
      </w:pPr>
      <w:r>
        <w:rPr>
          <w:rFonts w:ascii="Arial" w:cs="Arial" w:eastAsia="Arial" w:hAnsi="Arial"/>
          <w:sz w:val="20"/>
          <w:szCs w:val="20"/>
          <w:color w:val="auto"/>
        </w:rPr>
        <w:t>Title: Representative Delegated by its General Partner</w:t>
      </w:r>
    </w:p>
    <w:p>
      <w:pPr>
        <w:sectPr>
          <w:pgSz w:w="11900" w:h="16838" w:orient="portrait"/>
          <w:cols w:equalWidth="0" w:num="1">
            <w:col w:w="10780"/>
          </w:cols>
          <w:pgMar w:left="740" w:top="1392" w:right="379" w:bottom="1440" w:gutter="0" w:footer="0" w:header="0"/>
        </w:sectPr>
      </w:pPr>
    </w:p>
    <w:bookmarkStart w:id="115" w:name="page116"/>
    <w:bookmarkEnd w:id="115"/>
    <w:p>
      <w:pPr>
        <w:spacing w:after="0" w:line="229" w:lineRule="auto"/>
        <w:rPr>
          <w:sz w:val="20"/>
          <w:szCs w:val="20"/>
          <w:color w:val="auto"/>
        </w:rPr>
      </w:pPr>
      <w:r>
        <w:rPr>
          <w:rFonts w:ascii="Arial" w:cs="Arial" w:eastAsia="Arial" w:hAnsi="Arial"/>
          <w:sz w:val="20"/>
          <w:szCs w:val="20"/>
          <w:color w:val="auto"/>
        </w:rPr>
        <w:t>IN WITNESS WHEREOF, the Parties have caused this Agreement to be executed by their representatives, duly authorized hereunto, on the date first above written.</w:t>
      </w:r>
    </w:p>
    <w:p>
      <w:pPr>
        <w:spacing w:after="0" w:line="19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Gongqing City Guinie Zhuyu No. 5 venture capital partnership (limited partnership)</w:t>
      </w:r>
    </w:p>
    <w:p>
      <w:pPr>
        <w:ind w:left="3440"/>
        <w:spacing w:after="0" w:line="229" w:lineRule="exact"/>
        <w:rPr>
          <w:sz w:val="20"/>
          <w:szCs w:val="20"/>
          <w:color w:val="auto"/>
        </w:rPr>
      </w:pPr>
      <w:r>
        <w:rPr>
          <w:rFonts w:ascii="SimSun" w:cs="SimSun" w:eastAsia="SimSun" w:hAnsi="SimSun"/>
          <w:sz w:val="20"/>
          <w:szCs w:val="20"/>
          <w:color w:val="auto"/>
        </w:rPr>
        <w:t>共青城圭臬珠玉五号创业投资合伙企业（有限合伙）</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Mr. Zixi Yao</w:t>
      </w:r>
    </w:p>
    <w:p>
      <w:pPr>
        <w:spacing w:after="0" w:line="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Name: Mr. Zixi Yao</w:t>
      </w:r>
    </w:p>
    <w:p>
      <w:pPr>
        <w:ind w:left="3440"/>
        <w:spacing w:after="0"/>
        <w:rPr>
          <w:sz w:val="20"/>
          <w:szCs w:val="20"/>
          <w:color w:val="auto"/>
        </w:rPr>
      </w:pPr>
      <w:r>
        <w:rPr>
          <w:rFonts w:ascii="Arial" w:cs="Arial" w:eastAsia="Arial" w:hAnsi="Arial"/>
          <w:sz w:val="20"/>
          <w:szCs w:val="20"/>
          <w:color w:val="auto"/>
        </w:rPr>
        <w:t>Title: Representative Delegated by its General Partner</w:t>
      </w:r>
    </w:p>
    <w:p>
      <w:pPr>
        <w:sectPr>
          <w:pgSz w:w="11900" w:h="16838" w:orient="portrait"/>
          <w:cols w:equalWidth="0" w:num="1">
            <w:col w:w="10780"/>
          </w:cols>
          <w:pgMar w:left="740" w:top="1392" w:right="379" w:bottom="1440" w:gutter="0" w:footer="0" w:header="0"/>
        </w:sectPr>
      </w:pPr>
    </w:p>
    <w:bookmarkStart w:id="116" w:name="page117"/>
    <w:bookmarkEnd w:id="116"/>
    <w:p>
      <w:pPr>
        <w:spacing w:after="0" w:line="229" w:lineRule="auto"/>
        <w:rPr>
          <w:sz w:val="20"/>
          <w:szCs w:val="20"/>
          <w:color w:val="auto"/>
        </w:rPr>
      </w:pPr>
      <w:r>
        <w:rPr>
          <w:rFonts w:ascii="Arial" w:cs="Arial" w:eastAsia="Arial" w:hAnsi="Arial"/>
          <w:sz w:val="20"/>
          <w:szCs w:val="20"/>
          <w:color w:val="auto"/>
        </w:rPr>
        <w:t>IN WITNESS WHEREOF, the Parties have caused this Agreement to be executed by their representatives, duly authorized hereunto, on the date first above written.</w:t>
      </w:r>
    </w:p>
    <w:p>
      <w:pPr>
        <w:spacing w:after="0" w:line="183"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Huzhou Hangxin Rongxie Equity Investment Partnership (Limited partnership)</w:t>
      </w:r>
    </w:p>
    <w:p>
      <w:pPr>
        <w:ind w:left="3440"/>
        <w:spacing w:after="0" w:line="243" w:lineRule="exact"/>
        <w:rPr>
          <w:sz w:val="20"/>
          <w:szCs w:val="20"/>
          <w:color w:val="auto"/>
        </w:rPr>
      </w:pPr>
      <w:r>
        <w:rPr>
          <w:rFonts w:ascii="SimSun" w:cs="SimSun" w:eastAsia="SimSun" w:hAnsi="SimSun"/>
          <w:sz w:val="20"/>
          <w:szCs w:val="20"/>
          <w:color w:val="auto"/>
        </w:rPr>
        <w:t>湖州航信荣协股权投资合伙企业</w:t>
      </w:r>
      <w:r>
        <w:rPr>
          <w:rFonts w:ascii="Arial" w:cs="Arial" w:eastAsia="Arial" w:hAnsi="Arial"/>
          <w:sz w:val="20"/>
          <w:szCs w:val="20"/>
          <w:color w:val="auto"/>
        </w:rPr>
        <w:t>(</w:t>
      </w:r>
      <w:r>
        <w:rPr>
          <w:rFonts w:ascii="SimSun" w:cs="SimSun" w:eastAsia="SimSun" w:hAnsi="SimSun"/>
          <w:sz w:val="20"/>
          <w:szCs w:val="20"/>
          <w:color w:val="auto"/>
        </w:rPr>
        <w:t>有限合伙</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Mr. Yang Hu</w:t>
      </w:r>
    </w:p>
    <w:p>
      <w:pPr>
        <w:spacing w:after="0" w:line="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Name: Mr. Yang Hu</w:t>
      </w:r>
    </w:p>
    <w:p>
      <w:pPr>
        <w:ind w:left="3440"/>
        <w:spacing w:after="0"/>
        <w:rPr>
          <w:sz w:val="20"/>
          <w:szCs w:val="20"/>
          <w:color w:val="auto"/>
        </w:rPr>
      </w:pPr>
      <w:r>
        <w:rPr>
          <w:rFonts w:ascii="Arial" w:cs="Arial" w:eastAsia="Arial" w:hAnsi="Arial"/>
          <w:sz w:val="20"/>
          <w:szCs w:val="20"/>
          <w:color w:val="auto"/>
        </w:rPr>
        <w:t>Title: Representative Delegated by its General Partner</w:t>
      </w:r>
    </w:p>
    <w:p>
      <w:pPr>
        <w:sectPr>
          <w:pgSz w:w="11900" w:h="16838" w:orient="portrait"/>
          <w:cols w:equalWidth="0" w:num="1">
            <w:col w:w="10780"/>
          </w:cols>
          <w:pgMar w:left="740" w:top="1392" w:right="379" w:bottom="1440" w:gutter="0" w:footer="0" w:header="0"/>
        </w:sectPr>
      </w:pPr>
    </w:p>
    <w:bookmarkStart w:id="117" w:name="page118"/>
    <w:bookmarkEnd w:id="117"/>
    <w:p>
      <w:pPr>
        <w:spacing w:after="0" w:line="189"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20"/>
          <w:szCs w:val="20"/>
          <w:b w:val="1"/>
          <w:bCs w:val="1"/>
          <w:color w:val="auto"/>
        </w:rPr>
        <w:t>Schedule 1</w:t>
      </w:r>
      <w:r>
        <w:rPr>
          <w:sz w:val="20"/>
          <w:szCs w:val="20"/>
          <w:color w:val="auto"/>
        </w:rPr>
        <w:tab/>
      </w:r>
      <w:r>
        <w:rPr>
          <w:rFonts w:ascii="Arial" w:cs="Arial" w:eastAsia="Arial" w:hAnsi="Arial"/>
          <w:sz w:val="16"/>
          <w:szCs w:val="16"/>
          <w:b w:val="1"/>
          <w:bCs w:val="1"/>
          <w:color w:val="auto"/>
        </w:rPr>
        <w:t>Rights of the Investing Parties</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1. Liquidation Preference</w:t>
      </w:r>
    </w:p>
    <w:p>
      <w:pPr>
        <w:spacing w:after="0" w:line="197"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In the event of any Liquidation Event (as defined below), all assets and funds legally available for distribution to the</w:t>
      </w:r>
    </w:p>
    <w:p>
      <w:pPr>
        <w:ind w:left="320"/>
        <w:spacing w:after="0"/>
        <w:rPr>
          <w:sz w:val="20"/>
          <w:szCs w:val="20"/>
          <w:color w:val="auto"/>
        </w:rPr>
      </w:pPr>
      <w:r>
        <w:rPr>
          <w:rFonts w:ascii="Arial" w:cs="Arial" w:eastAsia="Arial" w:hAnsi="Arial"/>
          <w:sz w:val="20"/>
          <w:szCs w:val="20"/>
          <w:color w:val="auto"/>
        </w:rPr>
        <w:t>Shareholders shall be distributed as follows:</w:t>
      </w:r>
    </w:p>
    <w:p>
      <w:pPr>
        <w:spacing w:after="0" w:line="213" w:lineRule="exact"/>
        <w:rPr>
          <w:sz w:val="20"/>
          <w:szCs w:val="20"/>
          <w:color w:val="auto"/>
        </w:rPr>
      </w:pPr>
    </w:p>
    <w:p>
      <w:pPr>
        <w:jc w:val="both"/>
        <w:ind w:left="640" w:hanging="314"/>
        <w:spacing w:after="0" w:line="213" w:lineRule="auto"/>
        <w:tabs>
          <w:tab w:leader="none" w:pos="637" w:val="left"/>
        </w:tabs>
        <w:numPr>
          <w:ilvl w:val="0"/>
          <w:numId w:val="68"/>
        </w:numPr>
        <w:rPr>
          <w:rFonts w:ascii="Arial" w:cs="Arial" w:eastAsia="Arial" w:hAnsi="Arial"/>
          <w:sz w:val="22"/>
          <w:szCs w:val="22"/>
          <w:color w:val="auto"/>
        </w:rPr>
      </w:pPr>
      <w:r>
        <w:rPr>
          <w:rFonts w:ascii="Arial" w:cs="Arial" w:eastAsia="Arial" w:hAnsi="Arial"/>
          <w:sz w:val="20"/>
          <w:szCs w:val="20"/>
          <w:color w:val="auto"/>
        </w:rPr>
        <w:t>FIRST, prior to and in preference to any distribution of any of the assets and funds to any Shareholders other than the Investing Parties that made Capital Contributions, each Investing Party that made Capital Contributions shall be entitled to receive an amount, the price per unit of equity of which is equal to the Investing Party Purchase Price, plus a simple interest rate of 8% per annum from the date of the Closing until the full payment of the total liquidation preference amount, plus declared but unpaid dividends on the equity interests held by such Investing Party (the “</w:t>
      </w:r>
      <w:r>
        <w:rPr>
          <w:rFonts w:ascii="Arial" w:cs="Arial" w:eastAsia="Arial" w:hAnsi="Arial"/>
          <w:sz w:val="20"/>
          <w:szCs w:val="20"/>
          <w:b w:val="1"/>
          <w:bCs w:val="1"/>
          <w:color w:val="auto"/>
        </w:rPr>
        <w:t>Liquidation</w:t>
      </w:r>
      <w:r>
        <w:rPr>
          <w:rFonts w:ascii="Arial" w:cs="Arial" w:eastAsia="Arial" w:hAnsi="Arial"/>
          <w:sz w:val="20"/>
          <w:szCs w:val="20"/>
          <w:color w:val="auto"/>
        </w:rPr>
        <w:t xml:space="preserve"> </w:t>
      </w:r>
      <w:r>
        <w:rPr>
          <w:rFonts w:ascii="Arial" w:cs="Arial" w:eastAsia="Arial" w:hAnsi="Arial"/>
          <w:sz w:val="20"/>
          <w:szCs w:val="20"/>
          <w:b w:val="1"/>
          <w:bCs w:val="1"/>
          <w:color w:val="auto"/>
        </w:rPr>
        <w:t>Preference</w:t>
      </w:r>
      <w:r>
        <w:rPr>
          <w:rFonts w:ascii="Arial" w:cs="Arial" w:eastAsia="Arial" w:hAnsi="Arial"/>
          <w:sz w:val="20"/>
          <w:szCs w:val="20"/>
          <w:color w:val="auto"/>
        </w:rPr>
        <w:t>”);</w:t>
      </w:r>
    </w:p>
    <w:p>
      <w:pPr>
        <w:spacing w:after="0" w:line="226" w:lineRule="exact"/>
        <w:rPr>
          <w:rFonts w:ascii="Arial" w:cs="Arial" w:eastAsia="Arial" w:hAnsi="Arial"/>
          <w:sz w:val="22"/>
          <w:szCs w:val="22"/>
          <w:color w:val="auto"/>
        </w:rPr>
      </w:pPr>
    </w:p>
    <w:p>
      <w:pPr>
        <w:ind w:left="640" w:right="20" w:hanging="314"/>
        <w:spacing w:after="0" w:line="303" w:lineRule="auto"/>
        <w:tabs>
          <w:tab w:leader="none" w:pos="635" w:val="left"/>
        </w:tabs>
        <w:numPr>
          <w:ilvl w:val="0"/>
          <w:numId w:val="68"/>
        </w:numPr>
        <w:rPr>
          <w:rFonts w:ascii="Arial" w:cs="Arial" w:eastAsia="Arial" w:hAnsi="Arial"/>
          <w:sz w:val="19"/>
          <w:szCs w:val="19"/>
          <w:color w:val="auto"/>
        </w:rPr>
      </w:pPr>
      <w:r>
        <w:rPr>
          <w:rFonts w:ascii="Arial" w:cs="Arial" w:eastAsia="Arial" w:hAnsi="Arial"/>
          <w:sz w:val="18"/>
          <w:szCs w:val="18"/>
          <w:color w:val="auto"/>
        </w:rPr>
        <w:t>SECOND, the remaining assets and funds legally available for distribution to the Shareholders shall be distributed ratably among all the Shareholders (including the Investing Parties) in proportion to the equity interests held by them.</w:t>
      </w:r>
    </w:p>
    <w:p>
      <w:pPr>
        <w:spacing w:after="0" w:line="14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Liquidation Event</w:t>
      </w:r>
      <w:r>
        <w:rPr>
          <w:rFonts w:ascii="Arial" w:cs="Arial" w:eastAsia="Arial" w:hAnsi="Arial"/>
          <w:sz w:val="18"/>
          <w:szCs w:val="18"/>
          <w:color w:val="auto"/>
        </w:rPr>
        <w:t>” shall be deemed to have occurred upon: (a) liquidation, dissolution or winding up of the Company, (b) any consummated merger, amalgamation, acquisition, or other business combination in which the Shareholders owning a majority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voting power or voting stock of the Company immediately prior to such transaction do not own a majority of the voting power or voting stock of the Company, or (c) any sale, lease, transfer, exclusive license or other disposition of all or substantially all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assets of the Company and its subsidiaries (taken as a whole).</w:t>
      </w:r>
    </w:p>
    <w:p>
      <w:pPr>
        <w:spacing w:after="0" w:line="20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1.2 In the event of any new equity financing by the Company after the Closing Date in which any new investor is entitled to receive a liquidation preference equal to the investment amount paid by such new investor, plus declared but unpaid dividend on</w:t>
      </w:r>
    </w:p>
    <w:p>
      <w:pPr>
        <w:ind w:right="20"/>
        <w:spacing w:after="0" w:line="226" w:lineRule="auto"/>
        <w:rPr>
          <w:sz w:val="20"/>
          <w:szCs w:val="20"/>
          <w:color w:val="auto"/>
        </w:rPr>
      </w:pPr>
      <w:r>
        <w:rPr>
          <w:rFonts w:ascii="Arial" w:cs="Arial" w:eastAsia="Arial" w:hAnsi="Arial"/>
          <w:sz w:val="18"/>
          <w:szCs w:val="18"/>
          <w:color w:val="auto"/>
        </w:rPr>
        <w:t>the equity interests held by such new investor and further plus annual interest at a certain interest rate ("</w:t>
      </w:r>
      <w:r>
        <w:rPr>
          <w:rFonts w:ascii="Arial" w:cs="Arial" w:eastAsia="Arial" w:hAnsi="Arial"/>
          <w:sz w:val="18"/>
          <w:szCs w:val="18"/>
          <w:b w:val="1"/>
          <w:bCs w:val="1"/>
          <w:color w:val="auto"/>
        </w:rPr>
        <w:t>New Investor’s Interest</w:t>
      </w:r>
      <w:r>
        <w:rPr>
          <w:rFonts w:ascii="Arial" w:cs="Arial" w:eastAsia="Arial" w:hAnsi="Arial"/>
          <w:sz w:val="18"/>
          <w:szCs w:val="18"/>
          <w:color w:val="auto"/>
        </w:rPr>
        <w:t xml:space="preserve"> </w:t>
      </w:r>
      <w:r>
        <w:rPr>
          <w:rFonts w:ascii="Arial" w:cs="Arial" w:eastAsia="Arial" w:hAnsi="Arial"/>
          <w:sz w:val="18"/>
          <w:szCs w:val="18"/>
          <w:b w:val="1"/>
          <w:bCs w:val="1"/>
          <w:color w:val="auto"/>
        </w:rPr>
        <w:t>Rate</w:t>
      </w:r>
      <w:r>
        <w:rPr>
          <w:rFonts w:ascii="Arial" w:cs="Arial" w:eastAsia="Arial" w:hAnsi="Arial"/>
          <w:sz w:val="18"/>
          <w:szCs w:val="18"/>
          <w:color w:val="auto"/>
        </w:rPr>
        <w:t>”), then the Investing Party’s Liquidation Preference hereof shall be automatically amended and equal to an amount, the price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per unit of equity of which is equal to the Investing Party Purchase Price, plus declared but unpaid dividends on the equity interests held by such Investing Party, and further plus an annual interest at the New Investor’s Interest Rate.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Dilutive Issuance</w:t>
      </w:r>
    </w:p>
    <w:p>
      <w:pPr>
        <w:spacing w:after="0" w:line="2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Dilutive Adjustment</w:t>
      </w:r>
      <w:r>
        <w:rPr>
          <w:rFonts w:ascii="Arial" w:cs="Arial" w:eastAsia="Arial" w:hAnsi="Arial"/>
          <w:sz w:val="18"/>
          <w:szCs w:val="18"/>
          <w:color w:val="auto"/>
        </w:rPr>
        <w:t>. If at any time, the Company issues or sells any additional Registered Capital to any third party for a per-unit consideration that is less than the Investing Party Purchase Price (“</w:t>
      </w:r>
      <w:r>
        <w:rPr>
          <w:rFonts w:ascii="Arial" w:cs="Arial" w:eastAsia="Arial" w:hAnsi="Arial"/>
          <w:sz w:val="18"/>
          <w:szCs w:val="18"/>
          <w:b w:val="1"/>
          <w:bCs w:val="1"/>
          <w:color w:val="auto"/>
        </w:rPr>
        <w:t>Dilutive Issuance</w:t>
      </w:r>
      <w:r>
        <w:rPr>
          <w:rFonts w:ascii="Arial" w:cs="Arial" w:eastAsia="Arial" w:hAnsi="Arial"/>
          <w:sz w:val="18"/>
          <w:szCs w:val="18"/>
          <w:color w:val="auto"/>
        </w:rPr>
        <w:t>”), then simultaneously with or</w:t>
      </w:r>
    </w:p>
    <w:p>
      <w:pPr>
        <w:spacing w:after="0" w:line="223" w:lineRule="auto"/>
        <w:rPr>
          <w:sz w:val="20"/>
          <w:szCs w:val="20"/>
          <w:color w:val="auto"/>
        </w:rPr>
      </w:pPr>
      <w:r>
        <w:rPr>
          <w:rFonts w:ascii="Arial" w:cs="Arial" w:eastAsia="Arial" w:hAnsi="Arial"/>
          <w:sz w:val="19"/>
          <w:szCs w:val="19"/>
          <w:color w:val="auto"/>
        </w:rPr>
        <w:t>immediately after such issuance or sale of additional Registered Capital, an Investing Party shall be entitled to require the</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Company to issue to such Investing Party an additional number of units of Registered Capital determined by the following formula (as calculated below, “</w:t>
      </w:r>
      <w:r>
        <w:rPr>
          <w:rFonts w:ascii="Arial" w:cs="Arial" w:eastAsia="Arial" w:hAnsi="Arial"/>
          <w:sz w:val="20"/>
          <w:szCs w:val="20"/>
          <w:b w:val="1"/>
          <w:bCs w:val="1"/>
          <w:color w:val="auto"/>
        </w:rPr>
        <w:t>Dilutive Equity</w:t>
      </w:r>
      <w:r>
        <w:rPr>
          <w:rFonts w:ascii="Arial" w:cs="Arial" w:eastAsia="Arial" w:hAnsi="Arial"/>
          <w:sz w:val="20"/>
          <w:szCs w:val="20"/>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Dilutive Equity = (Investing Party Registered Capital × IPP1 ÷ IPP2) – Investing Party Registered Capital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purposes of the foregoing formula, the following definitions will apply:</w:t>
      </w:r>
    </w:p>
    <w:p>
      <w:pPr>
        <w:spacing w:after="0" w:line="216" w:lineRule="exact"/>
        <w:rPr>
          <w:sz w:val="20"/>
          <w:szCs w:val="20"/>
          <w:color w:val="auto"/>
        </w:rPr>
      </w:pPr>
    </w:p>
    <w:p>
      <w:pPr>
        <w:ind w:left="320" w:right="1020" w:firstLine="6"/>
        <w:spacing w:after="0" w:line="212" w:lineRule="auto"/>
        <w:tabs>
          <w:tab w:leader="none" w:pos="877"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“Investing Party Registered Capital” means the total units of Registered Capital held by the Investing Party immediately prior to the Dilutive Issuance;</w:t>
      </w:r>
    </w:p>
    <w:p>
      <w:pPr>
        <w:spacing w:after="0" w:line="1" w:lineRule="exact"/>
        <w:rPr>
          <w:rFonts w:ascii="Arial" w:cs="Arial" w:eastAsia="Arial" w:hAnsi="Arial"/>
          <w:sz w:val="20"/>
          <w:szCs w:val="20"/>
          <w:color w:val="auto"/>
        </w:rPr>
      </w:pPr>
    </w:p>
    <w:p>
      <w:pPr>
        <w:ind w:left="880" w:hanging="554"/>
        <w:spacing w:after="0"/>
        <w:tabs>
          <w:tab w:leader="none" w:pos="880" w:val="left"/>
        </w:tabs>
        <w:numPr>
          <w:ilvl w:val="0"/>
          <w:numId w:val="69"/>
        </w:numPr>
        <w:rPr>
          <w:rFonts w:ascii="Arial" w:cs="Arial" w:eastAsia="Arial" w:hAnsi="Arial"/>
          <w:sz w:val="20"/>
          <w:szCs w:val="20"/>
          <w:color w:val="auto"/>
        </w:rPr>
      </w:pPr>
      <w:r>
        <w:rPr>
          <w:rFonts w:ascii="Arial" w:cs="Arial" w:eastAsia="Arial" w:hAnsi="Arial"/>
          <w:sz w:val="20"/>
          <w:szCs w:val="20"/>
          <w:color w:val="auto"/>
        </w:rPr>
        <w:t>“IPP1” means the Investing Party Purchase Price in effect immediately prior to the Dilutive Issuance;</w:t>
      </w:r>
    </w:p>
    <w:p>
      <w:pPr>
        <w:sectPr>
          <w:pgSz w:w="11900" w:h="16838" w:orient="portrait"/>
          <w:cols w:equalWidth="0" w:num="1">
            <w:col w:w="10400"/>
          </w:cols>
          <w:pgMar w:left="740" w:top="1440" w:right="759" w:bottom="1440" w:gutter="0" w:footer="0" w:header="0"/>
        </w:sectPr>
      </w:pPr>
    </w:p>
    <w:bookmarkStart w:id="118" w:name="page119"/>
    <w:bookmarkEnd w:id="118"/>
    <w:p>
      <w:pPr>
        <w:ind w:left="320" w:right="620" w:firstLine="6"/>
        <w:spacing w:after="0" w:line="229" w:lineRule="auto"/>
        <w:tabs>
          <w:tab w:leader="none" w:pos="877" w:val="left"/>
        </w:tabs>
        <w:numPr>
          <w:ilvl w:val="0"/>
          <w:numId w:val="70"/>
        </w:numPr>
        <w:rPr>
          <w:rFonts w:ascii="Arial" w:cs="Arial" w:eastAsia="Arial" w:hAnsi="Arial"/>
          <w:sz w:val="20"/>
          <w:szCs w:val="20"/>
          <w:color w:val="auto"/>
        </w:rPr>
      </w:pPr>
      <w:r>
        <w:rPr>
          <w:rFonts w:ascii="Arial" w:cs="Arial" w:eastAsia="Arial" w:hAnsi="Arial"/>
          <w:sz w:val="20"/>
          <w:szCs w:val="20"/>
          <w:color w:val="auto"/>
        </w:rPr>
        <w:t>“IPP2” means the Investing Party Purchase Price in effect immediately after the Dilutive Issuance as determined through the following formula:</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20"/>
          <w:szCs w:val="20"/>
          <w:color w:val="auto"/>
        </w:rPr>
        <w:t>IPP2 = IPP1* (A + B) ÷ (A + C)</w:t>
      </w:r>
    </w:p>
    <w:p>
      <w:pPr>
        <w:ind w:left="320"/>
        <w:spacing w:after="0" w:line="225" w:lineRule="auto"/>
        <w:rPr>
          <w:sz w:val="20"/>
          <w:szCs w:val="20"/>
          <w:color w:val="auto"/>
        </w:rPr>
      </w:pPr>
      <w:r>
        <w:rPr>
          <w:rFonts w:ascii="Arial" w:cs="Arial" w:eastAsia="Arial" w:hAnsi="Arial"/>
          <w:sz w:val="20"/>
          <w:szCs w:val="20"/>
          <w:color w:val="auto"/>
        </w:rPr>
        <w:t>In this formula:</w:t>
      </w:r>
    </w:p>
    <w:p>
      <w:pPr>
        <w:ind w:left="320"/>
        <w:spacing w:after="0" w:line="211" w:lineRule="auto"/>
        <w:rPr>
          <w:sz w:val="20"/>
          <w:szCs w:val="20"/>
          <w:color w:val="auto"/>
        </w:rPr>
      </w:pPr>
      <w:r>
        <w:rPr>
          <w:rFonts w:ascii="Arial" w:cs="Arial" w:eastAsia="Arial" w:hAnsi="Arial"/>
          <w:sz w:val="20"/>
          <w:szCs w:val="20"/>
          <w:color w:val="auto"/>
        </w:rPr>
        <w:t>“A” means the total number of units of all Registered Capital immediately prior to the Dilutive Issuance;</w:t>
      </w:r>
    </w:p>
    <w:p>
      <w:pPr>
        <w:ind w:left="320"/>
        <w:spacing w:after="0" w:line="235" w:lineRule="auto"/>
        <w:rPr>
          <w:sz w:val="20"/>
          <w:szCs w:val="20"/>
          <w:color w:val="auto"/>
        </w:rPr>
      </w:pPr>
      <w:r>
        <w:rPr>
          <w:rFonts w:ascii="Arial" w:cs="Arial" w:eastAsia="Arial" w:hAnsi="Arial"/>
          <w:sz w:val="18"/>
          <w:szCs w:val="18"/>
          <w:color w:val="auto"/>
        </w:rPr>
        <w:t>“B” means the number of units of Registered Capital that would have been issued if the New Equity had been issued at the</w:t>
      </w:r>
    </w:p>
    <w:p>
      <w:pPr>
        <w:ind w:left="320"/>
        <w:spacing w:after="0" w:line="197" w:lineRule="auto"/>
        <w:rPr>
          <w:sz w:val="20"/>
          <w:szCs w:val="20"/>
          <w:color w:val="auto"/>
        </w:rPr>
      </w:pPr>
      <w:r>
        <w:rPr>
          <w:rFonts w:ascii="Arial" w:cs="Arial" w:eastAsia="Arial" w:hAnsi="Arial"/>
          <w:sz w:val="20"/>
          <w:szCs w:val="20"/>
          <w:color w:val="auto"/>
        </w:rPr>
        <w:t>Investing Party Purchase Price; and</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“C” means the total number of units of New Equity issued in the Dilutive Issuance.</w:t>
      </w:r>
    </w:p>
    <w:p>
      <w:pPr>
        <w:spacing w:after="0" w:line="221"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b w:val="1"/>
          <w:bCs w:val="1"/>
          <w:color w:val="auto"/>
        </w:rPr>
        <w:t>Deemed Issuances of Registered Capital</w:t>
      </w:r>
      <w:r>
        <w:rPr>
          <w:rFonts w:ascii="Arial" w:cs="Arial" w:eastAsia="Arial" w:hAnsi="Arial"/>
          <w:sz w:val="20"/>
          <w:szCs w:val="20"/>
          <w:color w:val="auto"/>
        </w:rPr>
        <w:t>. In the case of the issuance of any option, the following provisions will apply for all purposes of this Section 2:</w:t>
      </w:r>
    </w:p>
    <w:p>
      <w:pPr>
        <w:spacing w:after="0" w:line="210" w:lineRule="exact"/>
        <w:rPr>
          <w:sz w:val="20"/>
          <w:szCs w:val="20"/>
          <w:color w:val="auto"/>
        </w:rPr>
      </w:pPr>
    </w:p>
    <w:p>
      <w:pPr>
        <w:jc w:val="both"/>
        <w:ind w:left="820" w:right="20" w:hanging="412"/>
        <w:spacing w:after="0" w:line="237" w:lineRule="auto"/>
        <w:tabs>
          <w:tab w:leader="none" w:pos="818" w:val="left"/>
        </w:tabs>
        <w:numPr>
          <w:ilvl w:val="1"/>
          <w:numId w:val="71"/>
        </w:numPr>
        <w:rPr>
          <w:rFonts w:ascii="Arial" w:cs="Arial" w:eastAsia="Arial" w:hAnsi="Arial"/>
          <w:sz w:val="22"/>
          <w:szCs w:val="22"/>
          <w:color w:val="auto"/>
        </w:rPr>
      </w:pPr>
      <w:r>
        <w:rPr>
          <w:rFonts w:ascii="Arial" w:cs="Arial" w:eastAsia="Arial" w:hAnsi="Arial"/>
          <w:sz w:val="20"/>
          <w:szCs w:val="20"/>
          <w:color w:val="auto"/>
        </w:rPr>
        <w:t>The aggregate maximum number of units of Registered Capital deliverable upon exercise of any option will be deemed to have been issued at the time such option was issued, and for consideration equal to the consideration, if any, received by the Company upon the issuance of such option, plus the minimum exercise price provided in such option for number of units of Registered Capital covered thereby.</w:t>
      </w:r>
    </w:p>
    <w:p>
      <w:pPr>
        <w:spacing w:after="0" w:line="2" w:lineRule="exact"/>
        <w:rPr>
          <w:rFonts w:ascii="Arial" w:cs="Arial" w:eastAsia="Arial" w:hAnsi="Arial"/>
          <w:sz w:val="22"/>
          <w:szCs w:val="22"/>
          <w:color w:val="auto"/>
        </w:rPr>
      </w:pPr>
    </w:p>
    <w:p>
      <w:pPr>
        <w:jc w:val="both"/>
        <w:ind w:left="820" w:hanging="412"/>
        <w:spacing w:after="0" w:line="235" w:lineRule="auto"/>
        <w:tabs>
          <w:tab w:leader="none" w:pos="816" w:val="left"/>
        </w:tabs>
        <w:numPr>
          <w:ilvl w:val="1"/>
          <w:numId w:val="71"/>
        </w:numPr>
        <w:rPr>
          <w:rFonts w:ascii="Arial" w:cs="Arial" w:eastAsia="Arial" w:hAnsi="Arial"/>
          <w:sz w:val="19"/>
          <w:szCs w:val="19"/>
          <w:color w:val="auto"/>
        </w:rPr>
      </w:pPr>
      <w:r>
        <w:rPr>
          <w:rFonts w:ascii="Arial" w:cs="Arial" w:eastAsia="Arial" w:hAnsi="Arial"/>
          <w:sz w:val="18"/>
          <w:szCs w:val="18"/>
          <w:color w:val="auto"/>
        </w:rPr>
        <w:t>If there is any change in the number of units of Registered Capital deliverable, or in the consideration payable to the Company, upon exercise of such option, including a change resulting from the Dilutive Issuance provisions thereof, the Investing Party Purchase Price, to the extent that it is in any way affected by or computed using such option, shall be recomputed to reflect such change, but no further adjustment shall be made for the actual issuance of units of Registered Capital or any payment of such consideration upon the exercise of any such option.</w:t>
      </w:r>
    </w:p>
    <w:p>
      <w:pPr>
        <w:spacing w:after="0" w:line="1" w:lineRule="exact"/>
        <w:rPr>
          <w:rFonts w:ascii="Arial" w:cs="Arial" w:eastAsia="Arial" w:hAnsi="Arial"/>
          <w:sz w:val="19"/>
          <w:szCs w:val="19"/>
          <w:color w:val="auto"/>
        </w:rPr>
      </w:pPr>
    </w:p>
    <w:p>
      <w:pPr>
        <w:jc w:val="both"/>
        <w:ind w:left="820" w:right="20" w:hanging="412"/>
        <w:spacing w:after="0" w:line="233" w:lineRule="auto"/>
        <w:tabs>
          <w:tab w:leader="none" w:pos="818" w:val="left"/>
        </w:tabs>
        <w:numPr>
          <w:ilvl w:val="1"/>
          <w:numId w:val="71"/>
        </w:numPr>
        <w:rPr>
          <w:rFonts w:ascii="Arial" w:cs="Arial" w:eastAsia="Arial" w:hAnsi="Arial"/>
          <w:sz w:val="22"/>
          <w:szCs w:val="22"/>
          <w:color w:val="auto"/>
        </w:rPr>
      </w:pPr>
      <w:r>
        <w:rPr>
          <w:rFonts w:ascii="Arial" w:cs="Arial" w:eastAsia="Arial" w:hAnsi="Arial"/>
          <w:sz w:val="20"/>
          <w:szCs w:val="20"/>
          <w:color w:val="auto"/>
        </w:rPr>
        <w:t>Upon the expiration or termination of any such option, the Investing Party Purchase Price shall, to the extent in any way affected by or computed using such option, be recomputed to reflect the issuance of only the number of units of Registered Capital actually issued upon the exercise of such option.</w:t>
      </w:r>
    </w:p>
    <w:p>
      <w:pPr>
        <w:spacing w:after="0" w:line="203" w:lineRule="exact"/>
        <w:rPr>
          <w:rFonts w:ascii="Arial" w:cs="Arial" w:eastAsia="Arial" w:hAnsi="Arial"/>
          <w:sz w:val="22"/>
          <w:szCs w:val="22"/>
          <w:color w:val="auto"/>
        </w:rPr>
      </w:pPr>
    </w:p>
    <w:p>
      <w:pPr>
        <w:ind w:left="180" w:hanging="179"/>
        <w:spacing w:after="0"/>
        <w:tabs>
          <w:tab w:leader="none" w:pos="18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Transfer of Equity Interest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color w:val="auto"/>
        </w:rPr>
        <w:t>Transfer Restrictions</w:t>
      </w:r>
      <w:r>
        <w:rPr>
          <w:rFonts w:ascii="Arial" w:cs="Arial" w:eastAsia="Arial" w:hAnsi="Arial"/>
          <w:sz w:val="20"/>
          <w:szCs w:val="20"/>
          <w:color w:val="auto"/>
        </w:rPr>
        <w:t>. Without the prior written consent of the Lead Investors, within two</w:t>
      </w:r>
    </w:p>
    <w:p>
      <w:pPr>
        <w:spacing w:after="0" w:line="8" w:lineRule="exact"/>
        <w:rPr>
          <w:sz w:val="20"/>
          <w:szCs w:val="20"/>
          <w:color w:val="auto"/>
        </w:rPr>
      </w:pPr>
    </w:p>
    <w:p>
      <w:pPr>
        <w:jc w:val="both"/>
        <w:ind w:firstLine="2"/>
        <w:spacing w:after="0" w:line="232" w:lineRule="auto"/>
        <w:tabs>
          <w:tab w:leader="none" w:pos="2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years of the Closing Date, neither AHK nor Management Co. may, directly nor indirectly, sell or transfer any equity interest in the Company (including but not limited to, transfer of the equity interest or its right of entitlement, issuance of any securities that may result in the transfer of the equity interest or its right of entitlement, entering into any arrangement that may result in change of control of the entity holding the equity interest in the Company, or creation of any trust, pledge or other arrangement over the equity interest or its right of entitlement that may result in change of control of the entity holding the equity interest in the Company), pledge any equity interest in the Company or otherwise create any third party rights on the equity interest of the Company. Notwithstanding the above and Section 3.2 below, a Shareholder may transfer any or all of its equity interest in the Company to any of its Affiliates, and each Shareholder hereby irrevocably consents to and shall cause the Director(s) nominated by it to the Board to vote in favor of, such transfer. If any Shareholder transfers its equity interest in the Company in accordance with provisions of this Agreement and the Articles of Association, the assignee (including Affiliates of any Party) shall accept all terms and conditions of this Agreement in writing, unless otherwise agreed in writing between the assignee and the other Parties.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b w:val="1"/>
          <w:bCs w:val="1"/>
          <w:color w:val="auto"/>
        </w:rPr>
        <w:t>Rights of First Refusal</w:t>
      </w:r>
    </w:p>
    <w:p>
      <w:pPr>
        <w:spacing w:after="0" w:line="243" w:lineRule="exact"/>
        <w:rPr>
          <w:sz w:val="20"/>
          <w:szCs w:val="20"/>
          <w:color w:val="auto"/>
        </w:rPr>
      </w:pPr>
    </w:p>
    <w:p>
      <w:pPr>
        <w:ind w:left="820" w:right="20" w:hanging="412"/>
        <w:spacing w:after="0" w:line="243" w:lineRule="auto"/>
        <w:tabs>
          <w:tab w:leader="none" w:pos="818" w:val="left"/>
        </w:tabs>
        <w:numPr>
          <w:ilvl w:val="0"/>
          <w:numId w:val="74"/>
        </w:numPr>
        <w:rPr>
          <w:rFonts w:ascii="Arial" w:cs="Arial" w:eastAsia="Arial" w:hAnsi="Arial"/>
          <w:sz w:val="22"/>
          <w:szCs w:val="22"/>
          <w:color w:val="auto"/>
        </w:rPr>
      </w:pPr>
      <w:r>
        <w:rPr>
          <w:rFonts w:ascii="Arial" w:cs="Arial" w:eastAsia="Arial" w:hAnsi="Arial"/>
          <w:sz w:val="20"/>
          <w:szCs w:val="20"/>
          <w:color w:val="auto"/>
        </w:rPr>
        <w:t>Subject to Section 3.1 above, if any Shareholder other than the Investing Parties (each, “</w:t>
      </w:r>
      <w:r>
        <w:rPr>
          <w:rFonts w:ascii="Arial" w:cs="Arial" w:eastAsia="Arial" w:hAnsi="Arial"/>
          <w:sz w:val="20"/>
          <w:szCs w:val="20"/>
          <w:b w:val="1"/>
          <w:bCs w:val="1"/>
          <w:color w:val="auto"/>
        </w:rPr>
        <w:t>Transferring Party</w:t>
      </w:r>
      <w:r>
        <w:rPr>
          <w:rFonts w:ascii="Arial" w:cs="Arial" w:eastAsia="Arial" w:hAnsi="Arial"/>
          <w:sz w:val="20"/>
          <w:szCs w:val="20"/>
          <w:color w:val="auto"/>
        </w:rPr>
        <w:t>”) wish to transfer all or portion of its equity interests in</w:t>
      </w:r>
    </w:p>
    <w:p>
      <w:pPr>
        <w:sectPr>
          <w:pgSz w:w="11900" w:h="16838" w:orient="portrait"/>
          <w:cols w:equalWidth="0" w:num="1">
            <w:col w:w="10400"/>
          </w:cols>
          <w:pgMar w:left="740" w:top="1392" w:right="759" w:bottom="1440" w:gutter="0" w:footer="0" w:header="0"/>
        </w:sectPr>
      </w:pPr>
    </w:p>
    <w:bookmarkStart w:id="119" w:name="page120"/>
    <w:bookmarkEnd w:id="119"/>
    <w:p>
      <w:pPr>
        <w:ind w:left="412" w:right="20"/>
        <w:spacing w:after="0" w:line="232" w:lineRule="auto"/>
        <w:rPr>
          <w:sz w:val="20"/>
          <w:szCs w:val="20"/>
          <w:color w:val="auto"/>
        </w:rPr>
      </w:pPr>
      <w:r>
        <w:rPr>
          <w:rFonts w:ascii="Arial" w:cs="Arial" w:eastAsia="Arial" w:hAnsi="Arial"/>
          <w:sz w:val="20"/>
          <w:szCs w:val="20"/>
          <w:color w:val="auto"/>
        </w:rPr>
        <w:t>the Company (“</w:t>
      </w:r>
      <w:r>
        <w:rPr>
          <w:rFonts w:ascii="Arial" w:cs="Arial" w:eastAsia="Arial" w:hAnsi="Arial"/>
          <w:sz w:val="20"/>
          <w:szCs w:val="20"/>
          <w:b w:val="1"/>
          <w:bCs w:val="1"/>
          <w:color w:val="auto"/>
        </w:rPr>
        <w:t>Transfer Equity</w:t>
      </w:r>
      <w:r>
        <w:rPr>
          <w:rFonts w:ascii="Arial" w:cs="Arial" w:eastAsia="Arial" w:hAnsi="Arial"/>
          <w:sz w:val="20"/>
          <w:szCs w:val="20"/>
          <w:color w:val="auto"/>
        </w:rPr>
        <w:t>”) to any third party that is not a Shareholder (“</w:t>
      </w:r>
      <w:r>
        <w:rPr>
          <w:rFonts w:ascii="Arial" w:cs="Arial" w:eastAsia="Arial" w:hAnsi="Arial"/>
          <w:sz w:val="20"/>
          <w:szCs w:val="20"/>
          <w:b w:val="1"/>
          <w:bCs w:val="1"/>
          <w:color w:val="auto"/>
        </w:rPr>
        <w:t>Proposed Transferee</w:t>
      </w:r>
      <w:r>
        <w:rPr>
          <w:rFonts w:ascii="Arial" w:cs="Arial" w:eastAsia="Arial" w:hAnsi="Arial"/>
          <w:sz w:val="20"/>
          <w:szCs w:val="20"/>
          <w:color w:val="auto"/>
        </w:rPr>
        <w:t>”), the Transferring Party shall first offer the Transfer Equity to the Investing Parties.</w:t>
      </w:r>
    </w:p>
    <w:p>
      <w:pPr>
        <w:spacing w:after="0" w:line="223" w:lineRule="exact"/>
        <w:rPr>
          <w:sz w:val="20"/>
          <w:szCs w:val="20"/>
          <w:color w:val="auto"/>
        </w:rPr>
      </w:pPr>
    </w:p>
    <w:p>
      <w:pPr>
        <w:ind w:left="412" w:hanging="412"/>
        <w:spacing w:after="0" w:line="250" w:lineRule="auto"/>
        <w:tabs>
          <w:tab w:leader="none" w:pos="408" w:val="left"/>
        </w:tabs>
        <w:numPr>
          <w:ilvl w:val="0"/>
          <w:numId w:val="75"/>
        </w:numPr>
        <w:rPr>
          <w:rFonts w:ascii="Arial" w:cs="Arial" w:eastAsia="Arial" w:hAnsi="Arial"/>
          <w:sz w:val="22"/>
          <w:szCs w:val="22"/>
          <w:color w:val="auto"/>
        </w:rPr>
      </w:pPr>
      <w:r>
        <w:rPr>
          <w:rFonts w:ascii="Arial" w:cs="Arial" w:eastAsia="Arial" w:hAnsi="Arial"/>
          <w:sz w:val="20"/>
          <w:szCs w:val="20"/>
          <w:color w:val="auto"/>
        </w:rPr>
        <w:t>To offer the Transfer Equity to the Investing Parties, the Transferring Party shall deliver a written notice to each Investing Party containing the following (“</w:t>
      </w:r>
      <w:r>
        <w:rPr>
          <w:rFonts w:ascii="Arial" w:cs="Arial" w:eastAsia="Arial" w:hAnsi="Arial"/>
          <w:sz w:val="20"/>
          <w:szCs w:val="20"/>
          <w:b w:val="1"/>
          <w:bCs w:val="1"/>
          <w:color w:val="auto"/>
        </w:rPr>
        <w:t>Transfer Notice</w:t>
      </w:r>
      <w:r>
        <w:rPr>
          <w:rFonts w:ascii="Arial" w:cs="Arial" w:eastAsia="Arial" w:hAnsi="Arial"/>
          <w:sz w:val="20"/>
          <w:szCs w:val="20"/>
          <w:color w:val="auto"/>
        </w:rPr>
        <w:t>”):</w:t>
      </w:r>
    </w:p>
    <w:p>
      <w:pPr>
        <w:spacing w:after="0" w:line="212" w:lineRule="exact"/>
        <w:rPr>
          <w:sz w:val="20"/>
          <w:szCs w:val="20"/>
          <w:color w:val="auto"/>
        </w:rPr>
      </w:pPr>
    </w:p>
    <w:p>
      <w:pPr>
        <w:ind w:left="412"/>
        <w:spacing w:after="0"/>
        <w:rPr>
          <w:sz w:val="20"/>
          <w:szCs w:val="20"/>
          <w:color w:val="auto"/>
        </w:rPr>
      </w:pPr>
      <w:r>
        <w:rPr>
          <w:rFonts w:ascii="Arial" w:cs="Arial" w:eastAsia="Arial" w:hAnsi="Arial"/>
          <w:sz w:val="20"/>
          <w:szCs w:val="20"/>
          <w:color w:val="auto"/>
        </w:rPr>
        <w:t>(i) the amount of the Transfer Equity;</w:t>
      </w:r>
    </w:p>
    <w:p>
      <w:pPr>
        <w:ind w:left="412"/>
        <w:spacing w:after="0" w:line="213" w:lineRule="auto"/>
        <w:rPr>
          <w:sz w:val="20"/>
          <w:szCs w:val="20"/>
          <w:color w:val="auto"/>
        </w:rPr>
      </w:pPr>
      <w:r>
        <w:rPr>
          <w:rFonts w:ascii="Arial" w:cs="Arial" w:eastAsia="Arial" w:hAnsi="Arial"/>
          <w:sz w:val="20"/>
          <w:szCs w:val="20"/>
          <w:color w:val="auto"/>
        </w:rPr>
        <w:t>(ii)a cash price per unit of Registered Capital at which the Transfer Equity will be transferred;</w:t>
      </w:r>
    </w:p>
    <w:p>
      <w:pPr>
        <w:ind w:left="732" w:hanging="329"/>
        <w:spacing w:after="0" w:line="211" w:lineRule="auto"/>
        <w:tabs>
          <w:tab w:leader="none" w:pos="732"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the identity of the Proposed Transferee;</w:t>
      </w:r>
    </w:p>
    <w:p>
      <w:pPr>
        <w:ind w:left="652" w:right="20" w:hanging="249"/>
        <w:spacing w:after="0" w:line="204" w:lineRule="auto"/>
        <w:tabs>
          <w:tab w:leader="none" w:pos="1125" w:val="left"/>
        </w:tabs>
        <w:numPr>
          <w:ilvl w:val="1"/>
          <w:numId w:val="76"/>
        </w:numPr>
        <w:rPr>
          <w:rFonts w:ascii="Arial" w:cs="Arial" w:eastAsia="Arial" w:hAnsi="Arial"/>
          <w:sz w:val="20"/>
          <w:szCs w:val="20"/>
          <w:color w:val="auto"/>
        </w:rPr>
      </w:pPr>
      <w:r>
        <w:rPr>
          <w:rFonts w:ascii="Arial" w:cs="Arial" w:eastAsia="Arial" w:hAnsi="Arial"/>
          <w:sz w:val="20"/>
          <w:szCs w:val="20"/>
          <w:color w:val="auto"/>
        </w:rPr>
        <w:t>a summary of the terms of purchase put forward by the Proposed Transferee, including details of the nature and amount of the consideration and the date on which it would be payable; and</w:t>
      </w:r>
    </w:p>
    <w:p>
      <w:pPr>
        <w:ind w:left="412" w:right="20" w:hanging="8"/>
        <w:spacing w:after="0" w:line="220" w:lineRule="auto"/>
        <w:tabs>
          <w:tab w:leader="none" w:pos="1129" w:val="left"/>
        </w:tabs>
        <w:numPr>
          <w:ilvl w:val="1"/>
          <w:numId w:val="76"/>
        </w:numPr>
        <w:rPr>
          <w:rFonts w:ascii="Arial" w:cs="Arial" w:eastAsia="Arial" w:hAnsi="Arial"/>
          <w:sz w:val="20"/>
          <w:szCs w:val="20"/>
          <w:color w:val="auto"/>
        </w:rPr>
      </w:pPr>
      <w:r>
        <w:rPr>
          <w:rFonts w:ascii="Arial" w:cs="Arial" w:eastAsia="Arial" w:hAnsi="Arial"/>
          <w:sz w:val="20"/>
          <w:szCs w:val="20"/>
          <w:color w:val="auto"/>
        </w:rPr>
        <w:t>whether the Transferring Party’s offer is conditional on acceptances being received for all (or any other specified percentage) of the Transfer Equity.</w:t>
      </w:r>
    </w:p>
    <w:p>
      <w:pPr>
        <w:spacing w:after="0" w:line="223" w:lineRule="exact"/>
        <w:rPr>
          <w:rFonts w:ascii="Arial" w:cs="Arial" w:eastAsia="Arial" w:hAnsi="Arial"/>
          <w:sz w:val="20"/>
          <w:szCs w:val="20"/>
          <w:color w:val="auto"/>
        </w:rPr>
      </w:pPr>
    </w:p>
    <w:p>
      <w:pPr>
        <w:jc w:val="both"/>
        <w:ind w:left="412" w:hanging="412"/>
        <w:spacing w:after="0" w:line="222" w:lineRule="auto"/>
        <w:tabs>
          <w:tab w:leader="none" w:pos="410" w:val="left"/>
        </w:tabs>
        <w:numPr>
          <w:ilvl w:val="0"/>
          <w:numId w:val="77"/>
        </w:numPr>
        <w:rPr>
          <w:rFonts w:ascii="Arial" w:cs="Arial" w:eastAsia="Arial" w:hAnsi="Arial"/>
          <w:sz w:val="21"/>
          <w:szCs w:val="21"/>
          <w:color w:val="auto"/>
        </w:rPr>
      </w:pPr>
      <w:r>
        <w:rPr>
          <w:rFonts w:ascii="Arial" w:cs="Arial" w:eastAsia="Arial" w:hAnsi="Arial"/>
          <w:sz w:val="19"/>
          <w:szCs w:val="19"/>
          <w:color w:val="auto"/>
        </w:rPr>
        <w:t>Within 20 Business Days after receiving the Transfer Notice, an Investing Party may purchase up to its pro rata share of the Transfer Equity on the terms set out in the Transfer Notice. The pro rata share of the Transfer Equity shall be equivalent to the product obtained by multiplying the Transfer Equity, by a fraction, of which the amount of the Registered Capital that has been contributed by the exercising Investing Party shall be the numerator and the total amount of the Registered Capital that has been contributed by all exercising Investing Parties shall be the denominator. A notice indicating an Investing Party’s acceptance of such offer will be irrevocable, and will give rise to a legally binding agreement between the Transferring Party and the exercising Investing Party.</w:t>
      </w:r>
    </w:p>
    <w:p>
      <w:pPr>
        <w:spacing w:after="0" w:line="211" w:lineRule="exact"/>
        <w:rPr>
          <w:rFonts w:ascii="Arial" w:cs="Arial" w:eastAsia="Arial" w:hAnsi="Arial"/>
          <w:sz w:val="21"/>
          <w:szCs w:val="21"/>
          <w:color w:val="auto"/>
        </w:rPr>
      </w:pPr>
    </w:p>
    <w:p>
      <w:pPr>
        <w:jc w:val="both"/>
        <w:ind w:left="412" w:hanging="412"/>
        <w:spacing w:after="0" w:line="222" w:lineRule="auto"/>
        <w:tabs>
          <w:tab w:leader="none" w:pos="408" w:val="left"/>
        </w:tabs>
        <w:numPr>
          <w:ilvl w:val="0"/>
          <w:numId w:val="77"/>
        </w:numPr>
        <w:rPr>
          <w:rFonts w:ascii="Arial" w:cs="Arial" w:eastAsia="Arial" w:hAnsi="Arial"/>
          <w:sz w:val="21"/>
          <w:szCs w:val="21"/>
          <w:color w:val="auto"/>
        </w:rPr>
      </w:pPr>
      <w:r>
        <w:rPr>
          <w:rFonts w:ascii="Arial" w:cs="Arial" w:eastAsia="Arial" w:hAnsi="Arial"/>
          <w:sz w:val="19"/>
          <w:szCs w:val="19"/>
          <w:color w:val="auto"/>
        </w:rPr>
        <w:t>If any Investing Party chooses not to purchase its entire pro rata share of Transfer Equity, then the entire un-purchased Transfer Equity (“</w:t>
      </w:r>
      <w:r>
        <w:rPr>
          <w:rFonts w:ascii="Arial" w:cs="Arial" w:eastAsia="Arial" w:hAnsi="Arial"/>
          <w:sz w:val="19"/>
          <w:szCs w:val="19"/>
          <w:b w:val="1"/>
          <w:bCs w:val="1"/>
          <w:color w:val="auto"/>
        </w:rPr>
        <w:t>Remaining Transfer Equity</w:t>
      </w:r>
      <w:r>
        <w:rPr>
          <w:rFonts w:ascii="Arial" w:cs="Arial" w:eastAsia="Arial" w:hAnsi="Arial"/>
          <w:sz w:val="19"/>
          <w:szCs w:val="19"/>
          <w:color w:val="auto"/>
        </w:rPr>
        <w:t>”) will be offered to the Investing Parties that have elected to purchase their respective entire pro rata share of Transfer Equity (“</w:t>
      </w:r>
      <w:r>
        <w:rPr>
          <w:rFonts w:ascii="Arial" w:cs="Arial" w:eastAsia="Arial" w:hAnsi="Arial"/>
          <w:sz w:val="19"/>
          <w:szCs w:val="19"/>
          <w:b w:val="1"/>
          <w:bCs w:val="1"/>
          <w:color w:val="auto"/>
        </w:rPr>
        <w:t>Second ROFR Holder</w:t>
      </w:r>
      <w:r>
        <w:rPr>
          <w:rFonts w:ascii="Arial" w:cs="Arial" w:eastAsia="Arial" w:hAnsi="Arial"/>
          <w:sz w:val="19"/>
          <w:szCs w:val="19"/>
          <w:color w:val="auto"/>
        </w:rPr>
        <w:t>”). The Transferring Party shall deliver a written notice to the Company and each Second ROFR Holder to inform them of the number of the Remaining Transfer Equity that are available for purchase (“</w:t>
      </w:r>
      <w:r>
        <w:rPr>
          <w:rFonts w:ascii="Arial" w:cs="Arial" w:eastAsia="Arial" w:hAnsi="Arial"/>
          <w:sz w:val="19"/>
          <w:szCs w:val="19"/>
          <w:b w:val="1"/>
          <w:bCs w:val="1"/>
          <w:color w:val="auto"/>
        </w:rPr>
        <w:t>Second Transfer Notice</w:t>
      </w:r>
      <w:r>
        <w:rPr>
          <w:rFonts w:ascii="Arial" w:cs="Arial" w:eastAsia="Arial" w:hAnsi="Arial"/>
          <w:sz w:val="19"/>
          <w:szCs w:val="19"/>
          <w:color w:val="auto"/>
        </w:rPr>
        <w:t>”). The Second Rights Holder will have 10 Business Days after receiving the Second Transfer Notice to irrevocably elect to purchase all or a portion of the Remaining Transfer Equity at the same price per unit and subject to the same terms and conditions as described in the Transfer Notice by notifying the Transferring Party and the Company in writing of the number of units of Remaining Transfer Equity to be purchased.</w:t>
      </w:r>
    </w:p>
    <w:p>
      <w:pPr>
        <w:spacing w:after="0" w:line="211" w:lineRule="exact"/>
        <w:rPr>
          <w:rFonts w:ascii="Arial" w:cs="Arial" w:eastAsia="Arial" w:hAnsi="Arial"/>
          <w:sz w:val="21"/>
          <w:szCs w:val="21"/>
          <w:color w:val="auto"/>
        </w:rPr>
      </w:pPr>
    </w:p>
    <w:p>
      <w:pPr>
        <w:jc w:val="both"/>
        <w:ind w:left="412" w:hanging="412"/>
        <w:spacing w:after="0" w:line="239" w:lineRule="auto"/>
        <w:tabs>
          <w:tab w:leader="none" w:pos="410" w:val="left"/>
        </w:tabs>
        <w:numPr>
          <w:ilvl w:val="0"/>
          <w:numId w:val="77"/>
        </w:numPr>
        <w:rPr>
          <w:rFonts w:ascii="Arial" w:cs="Arial" w:eastAsia="Arial" w:hAnsi="Arial"/>
          <w:sz w:val="19"/>
          <w:szCs w:val="19"/>
          <w:color w:val="auto"/>
        </w:rPr>
      </w:pPr>
      <w:r>
        <w:rPr>
          <w:rFonts w:ascii="Arial" w:cs="Arial" w:eastAsia="Arial" w:hAnsi="Arial"/>
          <w:sz w:val="18"/>
          <w:szCs w:val="18"/>
          <w:color w:val="auto"/>
        </w:rPr>
        <w:t>If an Investing Party or Second ROFR Holder elects to purchase any Transfer Equity, the Investing Party or Second ROFR Holder shall pay for the Transfer Equity by wire transfer in immediately available funds of the appropriate currency, against delivery of such Transfer Equity to be purchased, at a place and time agreed by the Transferring Party and the Investing Party or Second ROFR Holder that has elected to purchase the Transfer Equity, provided that the scheduled time for closing may not be later than 20 Business Days following the date on which the Investing Party or Second ROFR Holder notified the Transferring Party of its desire to purchase the Transfer Equity.</w:t>
      </w:r>
    </w:p>
    <w:p>
      <w:pPr>
        <w:spacing w:after="0" w:line="223" w:lineRule="exact"/>
        <w:rPr>
          <w:rFonts w:ascii="Arial" w:cs="Arial" w:eastAsia="Arial" w:hAnsi="Arial"/>
          <w:sz w:val="19"/>
          <w:szCs w:val="19"/>
          <w:color w:val="auto"/>
        </w:rPr>
      </w:pPr>
    </w:p>
    <w:p>
      <w:pPr>
        <w:ind w:left="412" w:right="20" w:hanging="412"/>
        <w:spacing w:after="0" w:line="238" w:lineRule="auto"/>
        <w:tabs>
          <w:tab w:leader="none" w:pos="408" w:val="left"/>
        </w:tabs>
        <w:numPr>
          <w:ilvl w:val="0"/>
          <w:numId w:val="77"/>
        </w:numPr>
        <w:rPr>
          <w:rFonts w:ascii="Arial" w:cs="Arial" w:eastAsia="Arial" w:hAnsi="Arial"/>
          <w:sz w:val="22"/>
          <w:szCs w:val="22"/>
          <w:color w:val="auto"/>
        </w:rPr>
      </w:pPr>
      <w:r>
        <w:rPr>
          <w:rFonts w:ascii="Arial" w:cs="Arial" w:eastAsia="Arial" w:hAnsi="Arial"/>
          <w:sz w:val="20"/>
          <w:szCs w:val="20"/>
          <w:color w:val="auto"/>
        </w:rPr>
        <w:t>If the non-transferring Parties fail to timely elect to purchase the entire Transfer Equity, then the Transferring Party may transfer all, but not less than all of the</w:t>
      </w:r>
    </w:p>
    <w:p>
      <w:pPr>
        <w:sectPr>
          <w:pgSz w:w="11900" w:h="16838" w:orient="portrait"/>
          <w:cols w:equalWidth="0" w:num="1">
            <w:col w:w="9992"/>
          </w:cols>
          <w:pgMar w:left="1148" w:top="1386" w:right="759" w:bottom="1440" w:gutter="0" w:footer="0" w:header="0"/>
        </w:sectPr>
      </w:pPr>
    </w:p>
    <w:bookmarkStart w:id="120" w:name="page121"/>
    <w:bookmarkEnd w:id="120"/>
    <w:p>
      <w:pPr>
        <w:ind w:left="820"/>
        <w:spacing w:after="0" w:line="236" w:lineRule="auto"/>
        <w:rPr>
          <w:sz w:val="20"/>
          <w:szCs w:val="20"/>
          <w:color w:val="auto"/>
        </w:rPr>
      </w:pPr>
      <w:r>
        <w:rPr>
          <w:rFonts w:ascii="Arial" w:cs="Arial" w:eastAsia="Arial" w:hAnsi="Arial"/>
          <w:sz w:val="18"/>
          <w:szCs w:val="18"/>
          <w:color w:val="auto"/>
        </w:rPr>
        <w:t>remaining portion of the Transfer Equity to the Proposed Transferee, on the terms set forth in the Transfer Notice. Any such transfer to the Proposed Transferee must be completed within 90 days after the date of the Transfer Notice or the</w:t>
      </w:r>
    </w:p>
    <w:p>
      <w:pPr>
        <w:ind w:left="820"/>
        <w:spacing w:after="0" w:line="235" w:lineRule="auto"/>
        <w:rPr>
          <w:sz w:val="20"/>
          <w:szCs w:val="20"/>
          <w:color w:val="auto"/>
        </w:rPr>
      </w:pPr>
      <w:r>
        <w:rPr>
          <w:rFonts w:ascii="Arial" w:cs="Arial" w:eastAsia="Arial" w:hAnsi="Arial"/>
          <w:sz w:val="18"/>
          <w:szCs w:val="18"/>
          <w:color w:val="auto"/>
        </w:rPr>
        <w:t>requirements and procedures relating to the Right of First Refusal must be re-initiated with respect to such transfer;</w:t>
      </w:r>
    </w:p>
    <w:p>
      <w:pPr>
        <w:ind w:left="820" w:right="20"/>
        <w:spacing w:after="0" w:line="220" w:lineRule="auto"/>
        <w:rPr>
          <w:sz w:val="20"/>
          <w:szCs w:val="20"/>
          <w:color w:val="auto"/>
        </w:rPr>
      </w:pPr>
      <w:r>
        <w:rPr>
          <w:rFonts w:ascii="Arial" w:cs="Arial" w:eastAsia="Arial" w:hAnsi="Arial"/>
          <w:sz w:val="20"/>
          <w:szCs w:val="20"/>
          <w:color w:val="auto"/>
        </w:rPr>
        <w:t>provided, that the above 90-day period shall not include the time for obtaining any government approvals required for the transfer.</w:t>
      </w:r>
    </w:p>
    <w:p>
      <w:pPr>
        <w:spacing w:after="0" w:line="224" w:lineRule="exact"/>
        <w:rPr>
          <w:sz w:val="20"/>
          <w:szCs w:val="20"/>
          <w:color w:val="auto"/>
        </w:rPr>
      </w:pPr>
    </w:p>
    <w:p>
      <w:pPr>
        <w:ind w:left="820" w:right="20" w:hanging="412"/>
        <w:spacing w:after="0" w:line="250" w:lineRule="auto"/>
        <w:tabs>
          <w:tab w:leader="none" w:pos="816" w:val="left"/>
        </w:tabs>
        <w:numPr>
          <w:ilvl w:val="0"/>
          <w:numId w:val="78"/>
        </w:numPr>
        <w:rPr>
          <w:rFonts w:ascii="Arial" w:cs="Arial" w:eastAsia="Arial" w:hAnsi="Arial"/>
          <w:sz w:val="22"/>
          <w:szCs w:val="22"/>
          <w:color w:val="auto"/>
        </w:rPr>
      </w:pPr>
      <w:r>
        <w:rPr>
          <w:rFonts w:ascii="Arial" w:cs="Arial" w:eastAsia="Arial" w:hAnsi="Arial"/>
          <w:sz w:val="20"/>
          <w:szCs w:val="20"/>
          <w:color w:val="auto"/>
        </w:rPr>
        <w:t>Each Investing Party or Second ROFR Holder may freely assign its rights of first refusal to any of its respective Affiliates at any time.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color w:val="auto"/>
        </w:rPr>
        <w:t>Tag Along Rights</w:t>
      </w:r>
    </w:p>
    <w:p>
      <w:pPr>
        <w:spacing w:after="0" w:line="222" w:lineRule="exact"/>
        <w:rPr>
          <w:sz w:val="20"/>
          <w:szCs w:val="20"/>
          <w:color w:val="auto"/>
        </w:rPr>
      </w:pPr>
    </w:p>
    <w:p>
      <w:pPr>
        <w:jc w:val="both"/>
        <w:ind w:left="560" w:hanging="152"/>
        <w:spacing w:after="0" w:line="229" w:lineRule="auto"/>
        <w:tabs>
          <w:tab w:leader="none" w:pos="874" w:val="left"/>
        </w:tabs>
        <w:numPr>
          <w:ilvl w:val="0"/>
          <w:numId w:val="79"/>
        </w:numPr>
        <w:rPr>
          <w:rFonts w:ascii="Arial" w:cs="Arial" w:eastAsia="Arial" w:hAnsi="Arial"/>
          <w:sz w:val="19"/>
          <w:szCs w:val="19"/>
          <w:color w:val="auto"/>
        </w:rPr>
      </w:pPr>
      <w:r>
        <w:rPr>
          <w:rFonts w:ascii="Arial" w:cs="Arial" w:eastAsia="Arial" w:hAnsi="Arial"/>
          <w:sz w:val="19"/>
          <w:szCs w:val="19"/>
          <w:color w:val="auto"/>
        </w:rPr>
        <w:t>If an Investing Party does not wish to execute its right of first refusal under Section 3.2 above, the Investing Party will have 20 Business Days after the date of the Transfer Notice to irrevocably elect to sell up to its Tag Along Share of any Transfer Equity proposed to be transferred by the Transferring Party at the same price and subject to the same terms and conditions as described in the Transfer Notice (“</w:t>
      </w:r>
      <w:r>
        <w:rPr>
          <w:rFonts w:ascii="Arial" w:cs="Arial" w:eastAsia="Arial" w:hAnsi="Arial"/>
          <w:sz w:val="19"/>
          <w:szCs w:val="19"/>
          <w:b w:val="1"/>
          <w:bCs w:val="1"/>
          <w:color w:val="auto"/>
        </w:rPr>
        <w:t>Tag Along Right</w:t>
      </w:r>
      <w:r>
        <w:rPr>
          <w:rFonts w:ascii="Arial" w:cs="Arial" w:eastAsia="Arial" w:hAnsi="Arial"/>
          <w:sz w:val="19"/>
          <w:szCs w:val="19"/>
          <w:color w:val="auto"/>
        </w:rPr>
        <w:t>”) by notifying the Transferring Party and the Company in writing of the amount of Transfer Equity to be sold (“</w:t>
      </w:r>
      <w:r>
        <w:rPr>
          <w:rFonts w:ascii="Arial" w:cs="Arial" w:eastAsia="Arial" w:hAnsi="Arial"/>
          <w:sz w:val="19"/>
          <w:szCs w:val="19"/>
          <w:b w:val="1"/>
          <w:bCs w:val="1"/>
          <w:color w:val="auto"/>
        </w:rPr>
        <w:t>Tag Along Equity</w:t>
      </w:r>
      <w:r>
        <w:rPr>
          <w:rFonts w:ascii="Arial" w:cs="Arial" w:eastAsia="Arial" w:hAnsi="Arial"/>
          <w:sz w:val="19"/>
          <w:szCs w:val="19"/>
          <w:color w:val="auto"/>
        </w:rPr>
        <w:t>”).</w:t>
      </w:r>
    </w:p>
    <w:p>
      <w:pPr>
        <w:spacing w:after="0" w:line="199" w:lineRule="exact"/>
        <w:rPr>
          <w:rFonts w:ascii="Arial" w:cs="Arial" w:eastAsia="Arial" w:hAnsi="Arial"/>
          <w:sz w:val="19"/>
          <w:szCs w:val="19"/>
          <w:color w:val="auto"/>
        </w:rPr>
      </w:pPr>
    </w:p>
    <w:p>
      <w:pPr>
        <w:ind w:left="560" w:right="180" w:hanging="73"/>
        <w:spacing w:after="0" w:line="239" w:lineRule="auto"/>
        <w:tabs>
          <w:tab w:leader="none" w:pos="87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sale of the Tag Along Equity to the Proposed Transferee by the Investing Party will be consummated simultaneously with the sale by the Transferring Party. To the extent that any Proposed Transferee refuses to purchase any Tag Along Equity, the Transferring Party shall not sell to such Proposed Transferee any Registered Capital until, simultaneously with such sale, the Proposed Transferee purchases from the Investor such Tag Along Equity that the Investor would otherwise be entitled to sell to the Proposed Transferee pursuant to its Tag Along Right.</w:t>
      </w:r>
    </w:p>
    <w:p>
      <w:pPr>
        <w:spacing w:after="0" w:line="211" w:lineRule="exact"/>
        <w:rPr>
          <w:sz w:val="20"/>
          <w:szCs w:val="20"/>
          <w:color w:val="auto"/>
        </w:rPr>
      </w:pPr>
    </w:p>
    <w:p>
      <w:pPr>
        <w:jc w:val="both"/>
        <w:ind w:left="400" w:right="120" w:firstLine="8"/>
        <w:spacing w:after="0" w:line="223" w:lineRule="auto"/>
        <w:tabs>
          <w:tab w:leader="none" w:pos="876"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Investing Party’s “Tag Along Share” will be determined according to the amount of all units of Registered Capital held by the Investing Party on the date of the Transfer Notice in relation to the total amount of all units of Registered Capital held by the Transferring Party.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b w:val="1"/>
          <w:bCs w:val="1"/>
          <w:color w:val="auto"/>
        </w:rPr>
        <w:t>Further Assistance</w:t>
      </w:r>
    </w:p>
    <w:p>
      <w:pPr>
        <w:spacing w:after="0" w:line="222" w:lineRule="exact"/>
        <w:rPr>
          <w:sz w:val="20"/>
          <w:szCs w:val="20"/>
          <w:color w:val="auto"/>
        </w:rPr>
      </w:pPr>
    </w:p>
    <w:p>
      <w:pPr>
        <w:jc w:val="both"/>
        <w:ind w:left="820" w:right="20" w:hanging="412"/>
        <w:spacing w:after="0" w:line="218" w:lineRule="auto"/>
        <w:tabs>
          <w:tab w:leader="none" w:pos="807" w:val="left"/>
        </w:tabs>
        <w:numPr>
          <w:ilvl w:val="0"/>
          <w:numId w:val="81"/>
        </w:numPr>
        <w:rPr>
          <w:rFonts w:ascii="Arial" w:cs="Arial" w:eastAsia="Arial" w:hAnsi="Arial"/>
          <w:sz w:val="22"/>
          <w:szCs w:val="22"/>
          <w:color w:val="auto"/>
        </w:rPr>
      </w:pPr>
      <w:r>
        <w:rPr>
          <w:rFonts w:ascii="Arial" w:cs="Arial" w:eastAsia="Arial" w:hAnsi="Arial"/>
          <w:sz w:val="20"/>
          <w:szCs w:val="20"/>
          <w:color w:val="auto"/>
        </w:rPr>
        <w:t>If any Shareholder proposes to transfer any of its Registered Capital under this Section 3 of Schedule 1, and the relevant procedures above have been completed, each Shareholder shall consent to the transfer and take any actions and execute any documents reasonably requested by the Transferring Party to evidence such agreement and to effect the transfer of the Transfer Equity (and Tag Along Equity, if applicable).</w:t>
      </w:r>
    </w:p>
    <w:p>
      <w:pPr>
        <w:spacing w:after="0" w:line="210" w:lineRule="exact"/>
        <w:rPr>
          <w:rFonts w:ascii="Arial" w:cs="Arial" w:eastAsia="Arial" w:hAnsi="Arial"/>
          <w:sz w:val="22"/>
          <w:szCs w:val="22"/>
          <w:color w:val="auto"/>
        </w:rPr>
      </w:pPr>
    </w:p>
    <w:p>
      <w:pPr>
        <w:jc w:val="both"/>
        <w:ind w:left="820" w:right="20" w:hanging="412"/>
        <w:spacing w:after="0" w:line="225" w:lineRule="auto"/>
        <w:tabs>
          <w:tab w:leader="none" w:pos="816" w:val="left"/>
        </w:tabs>
        <w:numPr>
          <w:ilvl w:val="0"/>
          <w:numId w:val="81"/>
        </w:numPr>
        <w:rPr>
          <w:rFonts w:ascii="Arial" w:cs="Arial" w:eastAsia="Arial" w:hAnsi="Arial"/>
          <w:sz w:val="21"/>
          <w:szCs w:val="21"/>
          <w:color w:val="auto"/>
        </w:rPr>
      </w:pPr>
      <w:r>
        <w:rPr>
          <w:rFonts w:ascii="Arial" w:cs="Arial" w:eastAsia="Arial" w:hAnsi="Arial"/>
          <w:sz w:val="19"/>
          <w:szCs w:val="19"/>
          <w:color w:val="auto"/>
        </w:rPr>
        <w:t>All relevant parties to any transfer of the Registered Capital shall promptly enter into one or more equity transfer agreements setting forth the details of the transaction in question. Within 10 Business Days after the date on which the sale of the Transfer Equity (and the Tag Along Equity, if applicable) is closed, the Parties shall make all necessary amendments to this Agreement, the Articles of Association and any other documents of the Company, and undertake any necessary filings with applicable Governmental Authority to reflect the concluded transfer.</w:t>
      </w:r>
    </w:p>
    <w:p>
      <w:pPr>
        <w:spacing w:after="0" w:line="223" w:lineRule="exact"/>
        <w:rPr>
          <w:rFonts w:ascii="Arial" w:cs="Arial" w:eastAsia="Arial" w:hAnsi="Arial"/>
          <w:sz w:val="21"/>
          <w:szCs w:val="21"/>
          <w:color w:val="auto"/>
        </w:rPr>
      </w:pPr>
    </w:p>
    <w:p>
      <w:pPr>
        <w:jc w:val="both"/>
        <w:ind w:left="820" w:right="20" w:hanging="412"/>
        <w:spacing w:after="0" w:line="256" w:lineRule="auto"/>
        <w:tabs>
          <w:tab w:leader="none" w:pos="816" w:val="left"/>
        </w:tabs>
        <w:numPr>
          <w:ilvl w:val="0"/>
          <w:numId w:val="81"/>
        </w:numPr>
        <w:rPr>
          <w:rFonts w:ascii="Arial" w:cs="Arial" w:eastAsia="Arial" w:hAnsi="Arial"/>
          <w:sz w:val="21"/>
          <w:szCs w:val="21"/>
          <w:color w:val="auto"/>
        </w:rPr>
      </w:pPr>
      <w:r>
        <w:rPr>
          <w:rFonts w:ascii="Arial" w:cs="Arial" w:eastAsia="Arial" w:hAnsi="Arial"/>
          <w:sz w:val="19"/>
          <w:szCs w:val="19"/>
          <w:color w:val="auto"/>
        </w:rPr>
        <w:t>For the avoidance of doubt, each Shareholder shall, and shall cause the Company to, promptly execute all such further documents and perform all such further acts as the Transferring Party, the Investing Party or the Proposed Transferee (or any combination of them) may reasonably require to formalize the transfer of Registered</w:t>
      </w:r>
    </w:p>
    <w:p>
      <w:pPr>
        <w:sectPr>
          <w:pgSz w:w="11900" w:h="16838" w:orient="portrait"/>
          <w:cols w:equalWidth="0" w:num="1">
            <w:col w:w="10400"/>
          </w:cols>
          <w:pgMar w:left="740" w:top="1392" w:right="759" w:bottom="1440" w:gutter="0" w:footer="0" w:header="0"/>
        </w:sectPr>
      </w:pPr>
    </w:p>
    <w:bookmarkStart w:id="121" w:name="page122"/>
    <w:bookmarkEnd w:id="121"/>
    <w:p>
      <w:pPr>
        <w:ind w:left="820"/>
        <w:spacing w:after="0"/>
        <w:rPr>
          <w:sz w:val="20"/>
          <w:szCs w:val="20"/>
          <w:color w:val="auto"/>
        </w:rPr>
      </w:pPr>
      <w:r>
        <w:rPr>
          <w:rFonts w:ascii="Arial" w:cs="Arial" w:eastAsia="Arial" w:hAnsi="Arial"/>
          <w:sz w:val="20"/>
          <w:szCs w:val="20"/>
          <w:color w:val="auto"/>
        </w:rPr>
        <w:t>Capital.</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Right of Participation</w:t>
      </w: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b w:val="1"/>
          <w:bCs w:val="1"/>
          <w:color w:val="auto"/>
        </w:rPr>
        <w:t>General</w:t>
      </w:r>
      <w:r>
        <w:rPr>
          <w:rFonts w:ascii="Arial" w:cs="Arial" w:eastAsia="Arial" w:hAnsi="Arial"/>
          <w:sz w:val="18"/>
          <w:szCs w:val="18"/>
          <w:color w:val="auto"/>
        </w:rPr>
        <w:t>. If the Company wishes to increase the Registered Capital in accordance with the terms and conditions of this</w:t>
      </w:r>
    </w:p>
    <w:p>
      <w:pPr>
        <w:spacing w:after="0" w:line="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Agreement, the Articles of Association or PRC Law, then the Investing Parties (“</w:t>
      </w:r>
      <w:r>
        <w:rPr>
          <w:rFonts w:ascii="Arial" w:cs="Arial" w:eastAsia="Arial" w:hAnsi="Arial"/>
          <w:sz w:val="18"/>
          <w:szCs w:val="18"/>
          <w:b w:val="1"/>
          <w:bCs w:val="1"/>
          <w:color w:val="auto"/>
        </w:rPr>
        <w:t>Preemptive Rights Holders</w:t>
      </w:r>
      <w:r>
        <w:rPr>
          <w:rFonts w:ascii="Arial" w:cs="Arial" w:eastAsia="Arial" w:hAnsi="Arial"/>
          <w:sz w:val="18"/>
          <w:szCs w:val="18"/>
          <w:color w:val="auto"/>
        </w:rPr>
        <w:t>”) will each have the right (“</w:t>
      </w:r>
      <w:r>
        <w:rPr>
          <w:rFonts w:ascii="Arial" w:cs="Arial" w:eastAsia="Arial" w:hAnsi="Arial"/>
          <w:sz w:val="18"/>
          <w:szCs w:val="18"/>
          <w:b w:val="1"/>
          <w:bCs w:val="1"/>
          <w:color w:val="auto"/>
        </w:rPr>
        <w:t>Preemptive Rights</w:t>
      </w:r>
      <w:r>
        <w:rPr>
          <w:rFonts w:ascii="Arial" w:cs="Arial" w:eastAsia="Arial" w:hAnsi="Arial"/>
          <w:sz w:val="18"/>
          <w:szCs w:val="18"/>
          <w:color w:val="auto"/>
        </w:rPr>
        <w:t>”) to subscribe for its pro rata share of the increased Registered Capital (“</w:t>
      </w:r>
      <w:r>
        <w:rPr>
          <w:rFonts w:ascii="Arial" w:cs="Arial" w:eastAsia="Arial" w:hAnsi="Arial"/>
          <w:sz w:val="18"/>
          <w:szCs w:val="18"/>
          <w:b w:val="1"/>
          <w:bCs w:val="1"/>
          <w:color w:val="auto"/>
        </w:rPr>
        <w:t>Issuance Equity</w:t>
      </w:r>
      <w:r>
        <w:rPr>
          <w:rFonts w:ascii="Arial" w:cs="Arial" w:eastAsia="Arial" w:hAnsi="Arial"/>
          <w:sz w:val="18"/>
          <w:szCs w:val="18"/>
          <w:color w:val="auto"/>
        </w:rPr>
        <w:t>”).</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b w:val="1"/>
          <w:bCs w:val="1"/>
          <w:color w:val="auto"/>
        </w:rPr>
        <w:t>Issuance Notice</w:t>
      </w:r>
      <w:r>
        <w:rPr>
          <w:rFonts w:ascii="Arial" w:cs="Arial" w:eastAsia="Arial" w:hAnsi="Arial"/>
          <w:sz w:val="18"/>
          <w:szCs w:val="18"/>
          <w:color w:val="auto"/>
        </w:rPr>
        <w:t>. If the Company proposes to increase its Registered Capital, it shall deliver a written notice to the</w:t>
      </w:r>
    </w:p>
    <w:p>
      <w:pPr>
        <w:spacing w:after="0" w:line="215" w:lineRule="auto"/>
        <w:rPr>
          <w:sz w:val="20"/>
          <w:szCs w:val="20"/>
          <w:color w:val="auto"/>
        </w:rPr>
      </w:pPr>
      <w:r>
        <w:rPr>
          <w:rFonts w:ascii="Arial" w:cs="Arial" w:eastAsia="Arial" w:hAnsi="Arial"/>
          <w:sz w:val="20"/>
          <w:szCs w:val="20"/>
          <w:color w:val="auto"/>
        </w:rPr>
        <w:t>Preemptive Rights Holders containing the following information (“</w:t>
      </w:r>
      <w:r>
        <w:rPr>
          <w:rFonts w:ascii="Arial" w:cs="Arial" w:eastAsia="Arial" w:hAnsi="Arial"/>
          <w:sz w:val="20"/>
          <w:szCs w:val="20"/>
          <w:b w:val="1"/>
          <w:bCs w:val="1"/>
          <w:color w:val="auto"/>
        </w:rPr>
        <w:t>Issuance Notice</w:t>
      </w:r>
      <w:r>
        <w:rPr>
          <w:rFonts w:ascii="Arial" w:cs="Arial" w:eastAsia="Arial" w:hAnsi="Arial"/>
          <w:sz w:val="20"/>
          <w:szCs w:val="20"/>
          <w:color w:val="auto"/>
        </w:rPr>
        <w:t>”):</w:t>
      </w:r>
    </w:p>
    <w:p>
      <w:pPr>
        <w:ind w:left="600" w:hanging="275"/>
        <w:spacing w:after="0" w:line="211" w:lineRule="auto"/>
        <w:tabs>
          <w:tab w:leader="none" w:pos="6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amount of the Issuance Equity;</w:t>
      </w:r>
    </w:p>
    <w:p>
      <w:pPr>
        <w:ind w:left="560" w:hanging="235"/>
        <w:spacing w:after="0" w:line="197" w:lineRule="auto"/>
        <w:tabs>
          <w:tab w:leader="none" w:pos="5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cash price per unit of Registered Capital at which the Issuance Equity will be issued; and</w:t>
      </w:r>
    </w:p>
    <w:p>
      <w:pPr>
        <w:ind w:left="580" w:hanging="255"/>
        <w:spacing w:after="0"/>
        <w:tabs>
          <w:tab w:leader="none" w:pos="5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summary of the terms of subscription for the Issuance Equity.</w:t>
      </w:r>
    </w:p>
    <w:p>
      <w:pPr>
        <w:spacing w:after="0" w:line="20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b w:val="1"/>
          <w:bCs w:val="1"/>
          <w:color w:val="auto"/>
        </w:rPr>
        <w:t>Notice to Exercise</w:t>
      </w:r>
      <w:r>
        <w:rPr>
          <w:rFonts w:ascii="Arial" w:cs="Arial" w:eastAsia="Arial" w:hAnsi="Arial"/>
          <w:sz w:val="18"/>
          <w:szCs w:val="18"/>
          <w:color w:val="auto"/>
        </w:rPr>
        <w:t>. Each Preemptive Rights Holder will have 30 Business Days after receipt of the Issuance Notice to agree in writing to purchase up to the Preemptive Rights Holder’s pro rata share of the Issuance Equity for the price and upon the</w:t>
      </w:r>
    </w:p>
    <w:p>
      <w:pPr>
        <w:spacing w:after="0" w:line="223" w:lineRule="auto"/>
        <w:rPr>
          <w:sz w:val="20"/>
          <w:szCs w:val="20"/>
          <w:color w:val="auto"/>
        </w:rPr>
      </w:pPr>
      <w:r>
        <w:rPr>
          <w:rFonts w:ascii="Arial" w:cs="Arial" w:eastAsia="Arial" w:hAnsi="Arial"/>
          <w:sz w:val="19"/>
          <w:szCs w:val="19"/>
          <w:color w:val="auto"/>
        </w:rPr>
        <w:t>terms and conditions specified in the Issuance Notice by giving written notice to the Company and stating in the notice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quantity of Issuance Equity to be purchased. If a Preemptive Rights Holder does not respond in writing within the 30-Business Day period, then the Preemptive Rights Holder will be deemed to have abandoned the purchase of that part of its pro rata share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Issuance Equity.</w:t>
      </w:r>
    </w:p>
    <w:p>
      <w:pPr>
        <w:spacing w:after="0" w:line="1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b w:val="1"/>
          <w:bCs w:val="1"/>
          <w:color w:val="auto"/>
        </w:rPr>
        <w:t>Over-Allotment</w:t>
      </w:r>
      <w:r>
        <w:rPr>
          <w:rFonts w:ascii="Arial" w:cs="Arial" w:eastAsia="Arial" w:hAnsi="Arial"/>
          <w:sz w:val="18"/>
          <w:szCs w:val="18"/>
          <w:color w:val="auto"/>
        </w:rPr>
        <w:t>. If any Preemptive Rights Holder chooses not to purchase its entire pro rata share of Issuance Equity, then the entire un-purchased Issuance Equity will be offered to the Investing Parties that have fully exercised their Preemptive</w:t>
      </w:r>
    </w:p>
    <w:p>
      <w:pPr>
        <w:spacing w:after="0" w:line="236" w:lineRule="auto"/>
        <w:rPr>
          <w:sz w:val="20"/>
          <w:szCs w:val="20"/>
          <w:color w:val="auto"/>
        </w:rPr>
      </w:pPr>
      <w:r>
        <w:rPr>
          <w:rFonts w:ascii="Arial" w:cs="Arial" w:eastAsia="Arial" w:hAnsi="Arial"/>
          <w:sz w:val="18"/>
          <w:szCs w:val="18"/>
          <w:color w:val="auto"/>
        </w:rPr>
        <w:t>Rights. The Company shall deliver a notice to the Investing Parties that have fully exercised their Preemptive Rights to inform the</w:t>
      </w:r>
    </w:p>
    <w:p>
      <w:pPr>
        <w:spacing w:after="0" w:line="215" w:lineRule="auto"/>
        <w:rPr>
          <w:sz w:val="20"/>
          <w:szCs w:val="20"/>
          <w:color w:val="auto"/>
        </w:rPr>
      </w:pPr>
      <w:r>
        <w:rPr>
          <w:rFonts w:ascii="Arial" w:cs="Arial" w:eastAsia="Arial" w:hAnsi="Arial"/>
          <w:sz w:val="19"/>
          <w:szCs w:val="19"/>
          <w:color w:val="auto"/>
        </w:rPr>
        <w:t>remaining number of units of Registered Capital that are available for purchase (“</w:t>
      </w:r>
      <w:r>
        <w:rPr>
          <w:rFonts w:ascii="Arial" w:cs="Arial" w:eastAsia="Arial" w:hAnsi="Arial"/>
          <w:sz w:val="19"/>
          <w:szCs w:val="19"/>
          <w:b w:val="1"/>
          <w:bCs w:val="1"/>
          <w:color w:val="auto"/>
        </w:rPr>
        <w:t>Over-Allotment Issuance Equity</w:t>
      </w:r>
      <w:r>
        <w:rPr>
          <w:rFonts w:ascii="Arial" w:cs="Arial" w:eastAsia="Arial" w:hAnsi="Arial"/>
          <w:sz w:val="19"/>
          <w:szCs w:val="19"/>
          <w:color w:val="auto"/>
        </w:rPr>
        <w:t>”). The Investing Parties that have fully exercised their Preemptive Rights will have 10 Business Days after receiving the notice to</w:t>
      </w:r>
    </w:p>
    <w:p>
      <w:pPr>
        <w:spacing w:after="0" w:line="234" w:lineRule="auto"/>
        <w:rPr>
          <w:sz w:val="20"/>
          <w:szCs w:val="20"/>
          <w:color w:val="auto"/>
        </w:rPr>
      </w:pPr>
      <w:r>
        <w:rPr>
          <w:rFonts w:ascii="Arial" w:cs="Arial" w:eastAsia="Arial" w:hAnsi="Arial"/>
          <w:sz w:val="18"/>
          <w:szCs w:val="18"/>
          <w:color w:val="auto"/>
        </w:rPr>
        <w:t>irrevocably elect to subscribe all or a portion of the Over-Allotment Issuance Equity at the same price per unit and subject to the</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same terms and conditions as described in the Issuance Notice by notifying the Company in writing of the number of units of Over-Allotment Issuance Equity to be purchased.</w:t>
      </w:r>
    </w:p>
    <w:p>
      <w:pPr>
        <w:spacing w:after="0" w:line="2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color w:val="auto"/>
        </w:rPr>
        <w:t>Sale by the Company</w:t>
      </w:r>
      <w:r>
        <w:rPr>
          <w:rFonts w:ascii="Arial" w:cs="Arial" w:eastAsia="Arial" w:hAnsi="Arial"/>
          <w:sz w:val="18"/>
          <w:szCs w:val="18"/>
          <w:color w:val="auto"/>
        </w:rPr>
        <w:t>. Any remaining Issuance Equity and Over-Allotment Issuance Equity (as the case may be) not purchased by the Preemptive Rights Holders in accordance with Sections 4.1 to 4.4 of this Schedule 1 will fall under the control of</w:t>
      </w:r>
    </w:p>
    <w:p>
      <w:pPr>
        <w:spacing w:after="0" w:line="236" w:lineRule="auto"/>
        <w:rPr>
          <w:sz w:val="20"/>
          <w:szCs w:val="20"/>
          <w:color w:val="auto"/>
        </w:rPr>
      </w:pPr>
      <w:r>
        <w:rPr>
          <w:rFonts w:ascii="Arial" w:cs="Arial" w:eastAsia="Arial" w:hAnsi="Arial"/>
          <w:sz w:val="18"/>
          <w:szCs w:val="18"/>
          <w:color w:val="auto"/>
        </w:rPr>
        <w:t>the Board and may be offered for sale to third party purchasers according to the exact price, terms and conditions set forth in the</w:t>
      </w:r>
    </w:p>
    <w:p>
      <w:pPr>
        <w:ind w:right="20"/>
        <w:spacing w:after="0" w:line="226" w:lineRule="auto"/>
        <w:rPr>
          <w:sz w:val="20"/>
          <w:szCs w:val="20"/>
          <w:color w:val="auto"/>
        </w:rPr>
      </w:pPr>
      <w:r>
        <w:rPr>
          <w:rFonts w:ascii="Arial" w:cs="Arial" w:eastAsia="Arial" w:hAnsi="Arial"/>
          <w:sz w:val="18"/>
          <w:szCs w:val="18"/>
          <w:color w:val="auto"/>
        </w:rPr>
        <w:t>Issuance Notice for a period of three months, calculated from the date of the Issuance Notice. If the Company does not complete the sale of remaining Issuance Equity and Over- Allotment Issuance Equity (as the case may be) within such 90-day period, the</w:t>
      </w:r>
    </w:p>
    <w:p>
      <w:pPr>
        <w:spacing w:after="0" w:line="236" w:lineRule="auto"/>
        <w:rPr>
          <w:sz w:val="20"/>
          <w:szCs w:val="20"/>
          <w:color w:val="auto"/>
        </w:rPr>
      </w:pPr>
      <w:r>
        <w:rPr>
          <w:rFonts w:ascii="Arial" w:cs="Arial" w:eastAsia="Arial" w:hAnsi="Arial"/>
          <w:sz w:val="18"/>
          <w:szCs w:val="18"/>
          <w:color w:val="auto"/>
        </w:rPr>
        <w:t>right of participation provided in this Section 4 in respect of such Issuance Equity and Over-Allotment Issuance Equity (as the case</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may be) shall be deemed to be revived and such equity interests of the Company shall not be offered to any person unless first re-offered to the Preemptive Rights Holders in accordance with this Section 4.</w:t>
      </w:r>
    </w:p>
    <w:p>
      <w:pPr>
        <w:spacing w:after="0" w:line="17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8"/>
          <w:szCs w:val="18"/>
          <w:b w:val="1"/>
          <w:bCs w:val="1"/>
          <w:color w:val="auto"/>
        </w:rPr>
        <w:t>Exceptions</w:t>
      </w:r>
      <w:r>
        <w:rPr>
          <w:rFonts w:ascii="Arial" w:cs="Arial" w:eastAsia="Arial" w:hAnsi="Arial"/>
          <w:sz w:val="18"/>
          <w:szCs w:val="18"/>
          <w:color w:val="auto"/>
        </w:rPr>
        <w:t>. The Preemptive Rights Holders will not have any Preemptive Rights with respect to: (a) any increase of</w:t>
      </w:r>
    </w:p>
    <w:p>
      <w:pPr>
        <w:spacing w:after="0" w:line="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Registered Capital or any options issued pursuant to the ESOP or any other compensation plan that is related to the equity of the Company, or any increase of Registered Capital undertaken pursuant to options approved by the Board; (b) any increase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Registered Capital in connection with an acquisition or merger of equity or business of any</w:t>
      </w:r>
    </w:p>
    <w:p>
      <w:pPr>
        <w:sectPr>
          <w:pgSz w:w="11900" w:h="16838" w:orient="portrait"/>
          <w:cols w:equalWidth="0" w:num="1">
            <w:col w:w="10400"/>
          </w:cols>
          <w:pgMar w:left="740" w:top="1392" w:right="759" w:bottom="1440" w:gutter="0" w:footer="0" w:header="0"/>
        </w:sectPr>
      </w:pPr>
    </w:p>
    <w:bookmarkStart w:id="122" w:name="page123"/>
    <w:bookmarkEnd w:id="122"/>
    <w:p>
      <w:pPr>
        <w:spacing w:after="0" w:line="236" w:lineRule="auto"/>
        <w:rPr>
          <w:sz w:val="20"/>
          <w:szCs w:val="20"/>
          <w:color w:val="auto"/>
        </w:rPr>
      </w:pPr>
      <w:r>
        <w:rPr>
          <w:rFonts w:ascii="Arial" w:cs="Arial" w:eastAsia="Arial" w:hAnsi="Arial"/>
          <w:sz w:val="18"/>
          <w:szCs w:val="18"/>
          <w:color w:val="auto"/>
        </w:rPr>
        <w:t>other entity that is approved by the Board; (c) any increase in Registered Capital from the conversion of profits or reserved capital of the Company that is approved by the Board; or (d) any New Equity issued in the event of any share conversion, dividend or split</w:t>
      </w:r>
    </w:p>
    <w:p>
      <w:pPr>
        <w:spacing w:after="0" w:line="235" w:lineRule="auto"/>
        <w:rPr>
          <w:sz w:val="20"/>
          <w:szCs w:val="20"/>
          <w:color w:val="auto"/>
        </w:rPr>
      </w:pPr>
      <w:r>
        <w:rPr>
          <w:rFonts w:ascii="Arial" w:cs="Arial" w:eastAsia="Arial" w:hAnsi="Arial"/>
          <w:sz w:val="18"/>
          <w:szCs w:val="18"/>
          <w:color w:val="auto"/>
        </w:rPr>
        <w:t>upon restructuring into a joint stock corporation (as approved by a Shareholders’ Meeting of the Company), or any securities or</w:t>
      </w:r>
    </w:p>
    <w:p>
      <w:pPr>
        <w:ind w:right="20"/>
        <w:spacing w:after="0" w:line="220" w:lineRule="auto"/>
        <w:rPr>
          <w:sz w:val="20"/>
          <w:szCs w:val="20"/>
          <w:color w:val="auto"/>
        </w:rPr>
      </w:pPr>
      <w:r>
        <w:rPr>
          <w:rFonts w:ascii="Arial" w:cs="Arial" w:eastAsia="Arial" w:hAnsi="Arial"/>
          <w:sz w:val="20"/>
          <w:szCs w:val="20"/>
          <w:color w:val="auto"/>
        </w:rPr>
        <w:t>equivalents issued upon the public offering of shares of the Company in the PRC or an offshore stock market approved by the Board.</w:t>
      </w:r>
    </w:p>
    <w:p>
      <w:pPr>
        <w:spacing w:after="0" w:line="17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b w:val="1"/>
          <w:bCs w:val="1"/>
          <w:color w:val="auto"/>
        </w:rPr>
        <w:t>Consideration</w:t>
      </w:r>
      <w:r>
        <w:rPr>
          <w:rFonts w:ascii="Arial" w:cs="Arial" w:eastAsia="Arial" w:hAnsi="Arial"/>
          <w:sz w:val="16"/>
          <w:szCs w:val="16"/>
          <w:color w:val="auto"/>
        </w:rPr>
        <w:t>. In the case of the issuance of increased Registered Capital for cash, the consideration will be deemed to</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 the amount of cash received by the Company. In the case of the issuance of increased Registered Capital for non-cash consideration, in whole or in part, the non-cash consideration will be deemed to be the fair market value thereof, as determined by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Board, irrespective of any accounting treatment.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Drag-along Right.</w:t>
      </w:r>
    </w:p>
    <w:p>
      <w:pPr>
        <w:spacing w:after="0" w:line="202"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5.1 General. </w:t>
      </w:r>
      <w:r>
        <w:rPr>
          <w:rFonts w:ascii="Arial" w:cs="Arial" w:eastAsia="Arial" w:hAnsi="Arial"/>
          <w:sz w:val="18"/>
          <w:szCs w:val="18"/>
          <w:color w:val="auto"/>
        </w:rPr>
        <w:t>If AHK and at least one (1) Lead Investor (collectively, the “</w:t>
      </w:r>
      <w:r>
        <w:rPr>
          <w:rFonts w:ascii="Arial" w:cs="Arial" w:eastAsia="Arial" w:hAnsi="Arial"/>
          <w:sz w:val="18"/>
          <w:szCs w:val="18"/>
          <w:b w:val="1"/>
          <w:bCs w:val="1"/>
          <w:color w:val="auto"/>
        </w:rPr>
        <w:t>Drag-Along Holder</w:t>
      </w:r>
      <w:r>
        <w:rPr>
          <w:rFonts w:ascii="Arial" w:cs="Arial" w:eastAsia="Arial" w:hAnsi="Arial"/>
          <w:sz w:val="18"/>
          <w:szCs w:val="18"/>
          <w:color w:val="auto"/>
        </w:rPr>
        <w:t>”) consent to an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or sale of the Company by merger, sale of more than fifty percent (50%) of the Registered Capital of the Company, sale of all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substantially all of the assets or business of the Company or otherwise, in which the pre-investment valuation of the Company shall not be less than the higher of (i) 1 billion RMB, and (ii) the latest post- investment valuation of the Company at that time (the</w:t>
      </w: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Sale</w:t>
      </w:r>
      <w:r>
        <w:rPr>
          <w:rFonts w:ascii="Arial" w:cs="Arial" w:eastAsia="Arial" w:hAnsi="Arial"/>
          <w:sz w:val="18"/>
          <w:szCs w:val="18"/>
          <w:color w:val="auto"/>
        </w:rPr>
        <w:t>”) to a third-party potential purchaser (the “</w:t>
      </w:r>
      <w:r>
        <w:rPr>
          <w:rFonts w:ascii="Arial" w:cs="Arial" w:eastAsia="Arial" w:hAnsi="Arial"/>
          <w:sz w:val="18"/>
          <w:szCs w:val="18"/>
          <w:b w:val="1"/>
          <w:bCs w:val="1"/>
          <w:color w:val="auto"/>
        </w:rPr>
        <w:t>Potential Purchaser</w:t>
      </w:r>
      <w:r>
        <w:rPr>
          <w:rFonts w:ascii="Arial" w:cs="Arial" w:eastAsia="Arial" w:hAnsi="Arial"/>
          <w:sz w:val="18"/>
          <w:szCs w:val="18"/>
          <w:color w:val="auto"/>
        </w:rPr>
        <w:t>”) at any time after the second anniversary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Closing date, then upon written notice from the Drag-Along Holder, each of other shareholders of the Company (the “</w:t>
      </w:r>
      <w:r>
        <w:rPr>
          <w:rFonts w:ascii="Arial" w:cs="Arial" w:eastAsia="Arial" w:hAnsi="Arial"/>
          <w:sz w:val="18"/>
          <w:szCs w:val="18"/>
          <w:b w:val="1"/>
          <w:bCs w:val="1"/>
          <w:color w:val="auto"/>
        </w:rPr>
        <w:t>Dragged</w:t>
      </w:r>
      <w:r>
        <w:rPr>
          <w:rFonts w:ascii="Arial" w:cs="Arial" w:eastAsia="Arial" w:hAnsi="Arial"/>
          <w:sz w:val="18"/>
          <w:szCs w:val="18"/>
          <w:color w:val="auto"/>
        </w:rPr>
        <w:t xml:space="preserve"> </w:t>
      </w:r>
      <w:r>
        <w:rPr>
          <w:rFonts w:ascii="Arial" w:cs="Arial" w:eastAsia="Arial" w:hAnsi="Arial"/>
          <w:sz w:val="18"/>
          <w:szCs w:val="18"/>
          <w:b w:val="1"/>
          <w:bCs w:val="1"/>
          <w:color w:val="auto"/>
        </w:rPr>
        <w:t>Holders</w:t>
      </w:r>
      <w:r>
        <w:rPr>
          <w:rFonts w:ascii="Arial" w:cs="Arial" w:eastAsia="Arial" w:hAnsi="Arial"/>
          <w:sz w:val="18"/>
          <w:szCs w:val="18"/>
          <w:color w:val="auto"/>
        </w:rPr>
        <w:t>”) shall, (i) vote, or give its written consent with respect to, all Registered Capital held by them in favor of the Approved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Sale; (ii) sell, transfer, and/or exchange, as the case may be, all Registered Capital held by them in such Approval Sale on the same</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terms to such Potential Purchaser; (iii) execute and deliver such instruments of conveyance and transfer, and (iv) take all actions reasonably necessary to consummate the proposed Approved Sale. If any Dragged Holder does not elect to vote, or give its written</w:t>
      </w:r>
    </w:p>
    <w:p>
      <w:pPr>
        <w:spacing w:after="0" w:line="235" w:lineRule="auto"/>
        <w:rPr>
          <w:sz w:val="20"/>
          <w:szCs w:val="20"/>
          <w:color w:val="auto"/>
        </w:rPr>
      </w:pPr>
      <w:r>
        <w:rPr>
          <w:rFonts w:ascii="Arial" w:cs="Arial" w:eastAsia="Arial" w:hAnsi="Arial"/>
          <w:sz w:val="18"/>
          <w:szCs w:val="18"/>
          <w:color w:val="auto"/>
        </w:rPr>
        <w:t>consent with respect to, all Registered Capital held by them in favor of the Approved Sale, such Dragged Holder shall be obligated</w:t>
      </w:r>
    </w:p>
    <w:p>
      <w:pPr>
        <w:jc w:val="both"/>
        <w:spacing w:after="0" w:line="226" w:lineRule="auto"/>
        <w:rPr>
          <w:sz w:val="20"/>
          <w:szCs w:val="20"/>
          <w:color w:val="auto"/>
        </w:rPr>
      </w:pPr>
      <w:r>
        <w:rPr>
          <w:rFonts w:ascii="Arial" w:cs="Arial" w:eastAsia="Arial" w:hAnsi="Arial"/>
          <w:sz w:val="18"/>
          <w:szCs w:val="18"/>
          <w:color w:val="auto"/>
        </w:rPr>
        <w:t>to purchase all Registered Capital held by the Drag-Along Holder at the same price and terms offered by the Potential Purchaser within thirty (30) days from the date of failure to vote or give its written consent of such Approved Sale by the Dragged Holder.</w:t>
      </w:r>
    </w:p>
    <w:p>
      <w:pPr>
        <w:spacing w:after="0" w:line="227" w:lineRule="auto"/>
        <w:rPr>
          <w:sz w:val="20"/>
          <w:szCs w:val="20"/>
          <w:color w:val="auto"/>
        </w:rPr>
      </w:pPr>
      <w:r>
        <w:rPr>
          <w:rFonts w:ascii="Arial" w:cs="Arial" w:eastAsia="Arial" w:hAnsi="Arial"/>
          <w:sz w:val="20"/>
          <w:szCs w:val="20"/>
          <w:color w:val="auto"/>
        </w:rPr>
        <w:t>Notwithstanding any provision to the contrary, the restriction on transfer under Section</w:t>
      </w:r>
    </w:p>
    <w:p>
      <w:pPr>
        <w:spacing w:after="0"/>
        <w:rPr>
          <w:sz w:val="20"/>
          <w:szCs w:val="20"/>
          <w:color w:val="auto"/>
        </w:rPr>
      </w:pPr>
      <w:r>
        <w:rPr>
          <w:rFonts w:ascii="Arial" w:cs="Arial" w:eastAsia="Arial" w:hAnsi="Arial"/>
          <w:sz w:val="20"/>
          <w:szCs w:val="20"/>
          <w:color w:val="auto"/>
        </w:rPr>
        <w:t>3.1 of this Schedule 1 shall not apply to any transfer made pursuant to this Section 5 of this Schedule 1.</w:t>
      </w:r>
    </w:p>
    <w:p>
      <w:pPr>
        <w:spacing w:after="0" w:line="19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b w:val="1"/>
          <w:bCs w:val="1"/>
          <w:color w:val="auto"/>
        </w:rPr>
        <w:t xml:space="preserve">Representation and Undertaking. </w:t>
      </w:r>
      <w:r>
        <w:rPr>
          <w:rFonts w:ascii="Arial" w:cs="Arial" w:eastAsia="Arial" w:hAnsi="Arial"/>
          <w:sz w:val="18"/>
          <w:szCs w:val="18"/>
          <w:color w:val="auto"/>
        </w:rPr>
        <w:t>Any such sale or disposition by the Dragged Holders shall be on the terms and</w:t>
      </w:r>
    </w:p>
    <w:p>
      <w:pPr>
        <w:spacing w:after="0" w:line="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conditions as the proposed Approved Sale by the Potential Purchaser. Each Dragged Holder shall be required to make customary and usual representations and warranties in connection with the Approval Sale. Each Dragged Holder undertake to obtain all</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consents, permits, approvals, orders, authorizations or registrations qualifications, designations, declarations, or filings with any governmental authority or any third party, which are required to be obtained or made in connection with the Approved Sale.</w:t>
      </w:r>
    </w:p>
    <w:p>
      <w:pPr>
        <w:spacing w:after="0" w:line="154"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Drag-Along Notice.</w:t>
      </w:r>
      <w:r>
        <w:rPr>
          <w:rFonts w:ascii="Arial" w:cs="Arial" w:eastAsia="Arial" w:hAnsi="Arial"/>
          <w:sz w:val="19"/>
          <w:szCs w:val="19"/>
          <w:color w:val="auto"/>
        </w:rPr>
        <w:t xml:space="preserve"> Prior to making any Approved Sale in which the Drag-Along Holder wishes to exercise its right under this Section 5 of Schedule 1, the Drag-Along Holder shall provide the Company and the Dragged Holders with written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notice (the “</w:t>
      </w:r>
      <w:r>
        <w:rPr>
          <w:rFonts w:ascii="Arial" w:cs="Arial" w:eastAsia="Arial" w:hAnsi="Arial"/>
          <w:sz w:val="18"/>
          <w:szCs w:val="18"/>
          <w:b w:val="1"/>
          <w:bCs w:val="1"/>
          <w:color w:val="auto"/>
        </w:rPr>
        <w:t>Drag-Along Notice</w:t>
      </w:r>
      <w:r>
        <w:rPr>
          <w:rFonts w:ascii="Arial" w:cs="Arial" w:eastAsia="Arial" w:hAnsi="Arial"/>
          <w:sz w:val="18"/>
          <w:szCs w:val="18"/>
          <w:color w:val="auto"/>
        </w:rPr>
        <w:t>”) at least thirty (30) days prior to the proposed closing date of the Approved Sale (the “</w:t>
      </w:r>
      <w:r>
        <w:rPr>
          <w:rFonts w:ascii="Arial" w:cs="Arial" w:eastAsia="Arial" w:hAnsi="Arial"/>
          <w:sz w:val="18"/>
          <w:szCs w:val="18"/>
          <w:b w:val="1"/>
          <w:bCs w:val="1"/>
          <w:color w:val="auto"/>
        </w:rPr>
        <w:t>Approved</w:t>
      </w:r>
      <w:r>
        <w:rPr>
          <w:rFonts w:ascii="Arial" w:cs="Arial" w:eastAsia="Arial" w:hAnsi="Arial"/>
          <w:sz w:val="18"/>
          <w:szCs w:val="18"/>
          <w:color w:val="auto"/>
        </w:rPr>
        <w:t xml:space="preserve"> </w:t>
      </w:r>
      <w:r>
        <w:rPr>
          <w:rFonts w:ascii="Arial" w:cs="Arial" w:eastAsia="Arial" w:hAnsi="Arial"/>
          <w:sz w:val="18"/>
          <w:szCs w:val="18"/>
          <w:b w:val="1"/>
          <w:bCs w:val="1"/>
          <w:color w:val="auto"/>
        </w:rPr>
        <w:t>Sale Date</w:t>
      </w:r>
      <w:r>
        <w:rPr>
          <w:rFonts w:ascii="Arial" w:cs="Arial" w:eastAsia="Arial" w:hAnsi="Arial"/>
          <w:sz w:val="18"/>
          <w:szCs w:val="18"/>
          <w:color w:val="auto"/>
        </w:rPr>
        <w:t>”). The Drag-Along Notice shall set forth (i) the name and address of the Potential Purchaser; (ii) the proposed amount</w:t>
      </w:r>
    </w:p>
    <w:p>
      <w:pPr>
        <w:spacing w:after="0" w:line="224" w:lineRule="auto"/>
        <w:rPr>
          <w:sz w:val="20"/>
          <w:szCs w:val="20"/>
          <w:color w:val="auto"/>
        </w:rPr>
      </w:pPr>
      <w:r>
        <w:rPr>
          <w:rFonts w:ascii="Arial" w:cs="Arial" w:eastAsia="Arial" w:hAnsi="Arial"/>
          <w:sz w:val="19"/>
          <w:szCs w:val="19"/>
          <w:color w:val="auto"/>
        </w:rPr>
        <w:t>and form of consideration to be paid, and the terms and conditions of payment offered by the Potential Purchaser; (iii) the</w:t>
      </w:r>
    </w:p>
    <w:p>
      <w:pPr>
        <w:spacing w:after="0" w:line="220" w:lineRule="auto"/>
        <w:rPr>
          <w:sz w:val="20"/>
          <w:szCs w:val="20"/>
          <w:color w:val="auto"/>
        </w:rPr>
      </w:pPr>
      <w:r>
        <w:rPr>
          <w:rFonts w:ascii="Arial" w:cs="Arial" w:eastAsia="Arial" w:hAnsi="Arial"/>
          <w:sz w:val="20"/>
          <w:szCs w:val="20"/>
          <w:color w:val="auto"/>
        </w:rPr>
        <w:t>Approved Sale Date; (iv) the number of units of the Registered Capital held of record by the Drag-Along Holder on the date of the Drag-Along Notice which form the subject to be transferred, sold or otherwise dispose</w:t>
      </w:r>
    </w:p>
    <w:p>
      <w:pPr>
        <w:sectPr>
          <w:pgSz w:w="11900" w:h="16838" w:orient="portrait"/>
          <w:cols w:equalWidth="0" w:num="1">
            <w:col w:w="10400"/>
          </w:cols>
          <w:pgMar w:left="740" w:top="1392" w:right="759" w:bottom="1440" w:gutter="0" w:footer="0" w:header="0"/>
        </w:sectPr>
      </w:pPr>
    </w:p>
    <w:bookmarkStart w:id="123" w:name="page124"/>
    <w:bookmarkEnd w:id="123"/>
    <w:p>
      <w:pPr>
        <w:ind w:right="260"/>
        <w:spacing w:after="0" w:line="229" w:lineRule="auto"/>
        <w:rPr>
          <w:sz w:val="20"/>
          <w:szCs w:val="20"/>
          <w:color w:val="auto"/>
        </w:rPr>
      </w:pPr>
      <w:r>
        <w:rPr>
          <w:rFonts w:ascii="Arial" w:cs="Arial" w:eastAsia="Arial" w:hAnsi="Arial"/>
          <w:sz w:val="20"/>
          <w:szCs w:val="20"/>
          <w:color w:val="auto"/>
        </w:rPr>
        <w:t>of by the Drag-Along Holder; and (v) the number of units of the Registered Capital held of record by the Dragged Holders to be included in the Approved Sale.</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Transfer Certificate.</w:t>
      </w:r>
      <w:r>
        <w:rPr>
          <w:rFonts w:ascii="Arial" w:cs="Arial" w:eastAsia="Arial" w:hAnsi="Arial"/>
          <w:sz w:val="18"/>
          <w:szCs w:val="18"/>
          <w:color w:val="auto"/>
        </w:rPr>
        <w:t xml:space="preserve"> On the Approved Sale Date, each Dragged Holder shall deliver or cause to be delivered an executed instrument of transfer and/or a certificate (if required) representing and evidencing the number of units of the Registered</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Capital held by such Dragged Holder to be included in the Approved Sale, with all endorsement necessary for transfer to such Potential Purchaser in the manner and at the address indicated in the Drag-Along Notice.</w:t>
      </w:r>
    </w:p>
    <w:p>
      <w:pPr>
        <w:spacing w:after="0" w:line="17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Payment.</w:t>
      </w:r>
      <w:r>
        <w:rPr>
          <w:rFonts w:ascii="Arial" w:cs="Arial" w:eastAsia="Arial" w:hAnsi="Arial"/>
          <w:sz w:val="18"/>
          <w:szCs w:val="18"/>
          <w:color w:val="auto"/>
        </w:rPr>
        <w:t xml:space="preserve"> If the Drag-Along Holder or the Dragged Holders receive the purchase price for their number of units of the Registered Capital or such purchase price is made available to them as part of an Approved Sale and, in either case such party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elects in writing not to deliver an executed instrument of transfer and/or a certificate (if required) evidencing the number of units of Registered Capital as described under this Section 5, they shall for all purposes be deemed no longer to be a shareholder of the</w:t>
      </w:r>
    </w:p>
    <w:p>
      <w:pPr>
        <w:spacing w:after="0" w:line="236" w:lineRule="auto"/>
        <w:rPr>
          <w:sz w:val="20"/>
          <w:szCs w:val="20"/>
          <w:color w:val="auto"/>
        </w:rPr>
      </w:pPr>
      <w:r>
        <w:rPr>
          <w:rFonts w:ascii="Arial" w:cs="Arial" w:eastAsia="Arial" w:hAnsi="Arial"/>
          <w:sz w:val="18"/>
          <w:szCs w:val="18"/>
          <w:color w:val="auto"/>
        </w:rPr>
        <w:t>Company, shall have no voting rights, shall not be entitled to any dividends or other distributions with respect to any number of</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units of the Registered Capital held by them, shall have no other rights or privileges as a shareholder of the Company. In addition, the Company shall stop any subsequent transfer of any number of units of Registered Capital held by such shareholder.</w:t>
      </w:r>
    </w:p>
    <w:p>
      <w:pPr>
        <w:spacing w:after="0" w:line="181" w:lineRule="exact"/>
        <w:rPr>
          <w:sz w:val="20"/>
          <w:szCs w:val="20"/>
          <w:color w:val="auto"/>
        </w:rPr>
      </w:pPr>
    </w:p>
    <w:p>
      <w:pPr>
        <w:jc w:val="both"/>
        <w:ind w:firstLine="2"/>
        <w:spacing w:after="0" w:line="236" w:lineRule="auto"/>
        <w:tabs>
          <w:tab w:leader="none" w:pos="229"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Most Favored Nation for this Transaction. </w:t>
      </w:r>
      <w:r>
        <w:rPr>
          <w:rFonts w:ascii="Arial" w:cs="Arial" w:eastAsia="Arial" w:hAnsi="Arial"/>
          <w:sz w:val="18"/>
          <w:szCs w:val="18"/>
          <w:color w:val="auto"/>
        </w:rPr>
        <w:t>AHK, Management Co and the Company hereby jointly and severally represent</w:t>
      </w:r>
      <w:r>
        <w:rPr>
          <w:rFonts w:ascii="Arial" w:cs="Arial" w:eastAsia="Arial" w:hAnsi="Arial"/>
          <w:sz w:val="18"/>
          <w:szCs w:val="18"/>
          <w:b w:val="1"/>
          <w:bCs w:val="1"/>
          <w:color w:val="auto"/>
        </w:rPr>
        <w:t xml:space="preserve"> </w:t>
      </w:r>
      <w:r>
        <w:rPr>
          <w:rFonts w:ascii="Arial" w:cs="Arial" w:eastAsia="Arial" w:hAnsi="Arial"/>
          <w:sz w:val="18"/>
          <w:szCs w:val="18"/>
          <w:color w:val="auto"/>
        </w:rPr>
        <w:t>and warrant and covenant, from the Closing Date, that terms offered to any Person with respect to any amendment, settlement or waiver (each a “</w:t>
      </w:r>
      <w:r>
        <w:rPr>
          <w:rFonts w:ascii="Arial" w:cs="Arial" w:eastAsia="Arial" w:hAnsi="Arial"/>
          <w:sz w:val="18"/>
          <w:szCs w:val="18"/>
          <w:b w:val="1"/>
          <w:bCs w:val="1"/>
          <w:color w:val="auto"/>
        </w:rPr>
        <w:t>Settlement Document</w:t>
      </w:r>
      <w:r>
        <w:rPr>
          <w:rFonts w:ascii="Arial" w:cs="Arial" w:eastAsia="Arial" w:hAnsi="Arial"/>
          <w:sz w:val="18"/>
          <w:szCs w:val="18"/>
          <w:color w:val="auto"/>
        </w:rPr>
        <w:t>”) relating to the terms and conditions and transactions contemplated by this Agreement will not, taken as a whole, be more favorable to such Person than those of the Investors. If the previous sentence is demonstrated by a court of applicable jurisdiction to have been violated, this Agreement shall be, without any further action by the Investors or the Company, deemed amended and modified in an economically and legally equivalent manner such that the Investors shall receive the benefit of the more favorable terms and conditions contained in such Settlement Documents. In the event that this Section 6 is triggered, AHK, Management Co and the Company jointly and severally agree, at their expense, to take such other actions (such as entering into amendments to this Agreement) as the Investors may reasonably request, in the form and substance reasonably acceptable to the Investors, to further effectuate this Section 6.</w:t>
      </w:r>
    </w:p>
    <w:p>
      <w:pPr>
        <w:spacing w:after="0" w:line="192" w:lineRule="exact"/>
        <w:rPr>
          <w:rFonts w:ascii="Arial" w:cs="Arial" w:eastAsia="Arial" w:hAnsi="Arial"/>
          <w:sz w:val="18"/>
          <w:szCs w:val="18"/>
          <w:color w:val="auto"/>
        </w:rPr>
      </w:pPr>
    </w:p>
    <w:p>
      <w:pPr>
        <w:ind w:left="180" w:hanging="179"/>
        <w:spacing w:after="0"/>
        <w:tabs>
          <w:tab w:leader="none" w:pos="180" w:val="left"/>
        </w:tabs>
        <w:numPr>
          <w:ilvl w:val="0"/>
          <w:numId w:val="83"/>
        </w:numPr>
        <w:rPr>
          <w:rFonts w:ascii="Arial" w:cs="Arial" w:eastAsia="Arial" w:hAnsi="Arial"/>
          <w:sz w:val="20"/>
          <w:szCs w:val="20"/>
          <w:color w:val="auto"/>
        </w:rPr>
      </w:pPr>
      <w:r>
        <w:rPr>
          <w:rFonts w:ascii="Arial" w:cs="Arial" w:eastAsia="Arial" w:hAnsi="Arial"/>
          <w:sz w:val="20"/>
          <w:szCs w:val="20"/>
          <w:b w:val="1"/>
          <w:bCs w:val="1"/>
          <w:color w:val="auto"/>
        </w:rPr>
        <w:t>Right of Redemption</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General.</w:t>
      </w:r>
      <w:r>
        <w:rPr>
          <w:rFonts w:ascii="Arial" w:cs="Arial" w:eastAsia="Arial" w:hAnsi="Arial"/>
          <w:sz w:val="18"/>
          <w:szCs w:val="18"/>
          <w:color w:val="auto"/>
        </w:rPr>
        <w:t xml:space="preserve"> Each Investor has the right of redemption to ask the Company to redeem all or part of shares held by it in the Company once any of the following events is triggered: (i) the Company’s failure to consummate a qualified IPO within six years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after the Closing; (ii) the violation of non-competition clause by any Key Employee, AHK, the Management Co or AHK’s worldwide Affiliates; (iii) failure of the Company to own or use necessary IP for its business operation, whether attributable to the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laws and rules of export control or the Company’s incompliance with other applicable laws; (iv) intentional, verified and uncured violation or breach by AHK under the Technology License Agreement.</w:t>
      </w:r>
    </w:p>
    <w:p>
      <w:pPr>
        <w:spacing w:after="0" w:line="177" w:lineRule="exact"/>
        <w:rPr>
          <w:sz w:val="20"/>
          <w:szCs w:val="20"/>
          <w:color w:val="auto"/>
        </w:rPr>
      </w:pPr>
    </w:p>
    <w:p>
      <w:pPr>
        <w:ind w:right="20"/>
        <w:spacing w:after="0" w:line="234"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b w:val="1"/>
          <w:bCs w:val="1"/>
          <w:color w:val="auto"/>
        </w:rPr>
        <w:t>Good Faith Resolution Efforts; Redeem Price</w:t>
      </w:r>
      <w:r>
        <w:rPr>
          <w:rFonts w:ascii="Arial" w:cs="Arial" w:eastAsia="Arial" w:hAnsi="Arial"/>
          <w:sz w:val="19"/>
          <w:szCs w:val="19"/>
          <w:color w:val="auto"/>
        </w:rPr>
        <w:t>. Once any of the triggering events stated in this Section 7.1 occurs, (a) the relevant Investors will give written notice to the Company, and the relevant Investors and the Company will promptly</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thereafter for at least 60 days have regular good faith discussions and efforts to resolve such claim(s) that 7.1 was triggered, held by senior representatives of each party with authority to approve a resolution to such claim(s); and if the preceding (a) is</w:t>
      </w:r>
    </w:p>
    <w:p>
      <w:pPr>
        <w:spacing w:after="0" w:line="236" w:lineRule="auto"/>
        <w:rPr>
          <w:sz w:val="20"/>
          <w:szCs w:val="20"/>
          <w:color w:val="auto"/>
        </w:rPr>
      </w:pPr>
      <w:r>
        <w:rPr>
          <w:rFonts w:ascii="Arial" w:cs="Arial" w:eastAsia="Arial" w:hAnsi="Arial"/>
          <w:sz w:val="18"/>
          <w:szCs w:val="18"/>
          <w:color w:val="auto"/>
        </w:rPr>
        <w:t>unsuccessful despite such good faith discussions and efforts by the parties involved in such discussion and efforts, then (b) the</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Company shall redeem the Investor who exercises its right of redemption at the price per unit of equity of which is equal to the applicable Investor’s Investing Party Purchase Price, plus a simple interest rate of 8% per</w:t>
      </w:r>
    </w:p>
    <w:p>
      <w:pPr>
        <w:sectPr>
          <w:pgSz w:w="11900" w:h="16838" w:orient="portrait"/>
          <w:cols w:equalWidth="0" w:num="1">
            <w:col w:w="10400"/>
          </w:cols>
          <w:pgMar w:left="740" w:top="1392" w:right="759" w:bottom="1440" w:gutter="0" w:footer="0" w:header="0"/>
        </w:sectPr>
      </w:pPr>
    </w:p>
    <w:bookmarkStart w:id="124" w:name="page125"/>
    <w:bookmarkEnd w:id="124"/>
    <w:p>
      <w:pPr>
        <w:ind w:right="420"/>
        <w:spacing w:after="0" w:line="229" w:lineRule="auto"/>
        <w:rPr>
          <w:sz w:val="20"/>
          <w:szCs w:val="20"/>
          <w:color w:val="auto"/>
        </w:rPr>
      </w:pPr>
      <w:r>
        <w:rPr>
          <w:rFonts w:ascii="Arial" w:cs="Arial" w:eastAsia="Arial" w:hAnsi="Arial"/>
          <w:sz w:val="20"/>
          <w:szCs w:val="20"/>
          <w:color w:val="auto"/>
        </w:rPr>
        <w:t>annum from the date of the Closing until the full payment of the total liquidation preference amount, plus declared but unpaid dividends on the equity interests held by such Investor.</w:t>
      </w: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Notice of Redemption Right.</w:t>
      </w:r>
      <w:r>
        <w:rPr>
          <w:rFonts w:ascii="Arial" w:cs="Arial" w:eastAsia="Arial" w:hAnsi="Arial"/>
          <w:sz w:val="18"/>
          <w:szCs w:val="18"/>
          <w:color w:val="auto"/>
        </w:rPr>
        <w:t xml:space="preserve"> In case of any of events stated in this Section 7.1 is triggered, the Investor who intends to exercise its right of redemption, shall send a written notice to the Company no later than four (4) months from the date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occurrence of the triggering events stated in this Section 7.1 (the “</w:t>
      </w:r>
      <w:r>
        <w:rPr>
          <w:rFonts w:ascii="Arial" w:cs="Arial" w:eastAsia="Arial" w:hAnsi="Arial"/>
          <w:sz w:val="20"/>
          <w:szCs w:val="20"/>
          <w:b w:val="1"/>
          <w:bCs w:val="1"/>
          <w:color w:val="auto"/>
        </w:rPr>
        <w:t>Notice Period of Redemption</w:t>
      </w:r>
      <w:r>
        <w:rPr>
          <w:rFonts w:ascii="Arial" w:cs="Arial" w:eastAsia="Arial" w:hAnsi="Arial"/>
          <w:sz w:val="20"/>
          <w:szCs w:val="20"/>
          <w:color w:val="auto"/>
        </w:rPr>
        <w:t>”).</w:t>
      </w:r>
    </w:p>
    <w:p>
      <w:pPr>
        <w:sectPr>
          <w:pgSz w:w="11900" w:h="16838" w:orient="portrait"/>
          <w:cols w:equalWidth="0" w:num="1">
            <w:col w:w="10380"/>
          </w:cols>
          <w:pgMar w:left="740" w:top="1392" w:right="77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0"/>
          <w:szCs w:val="20"/>
          <w:b w:val="1"/>
          <w:bCs w:val="1"/>
          <w:color w:val="auto"/>
        </w:rPr>
        <w:t>ARTERIS INC.</w:t>
      </w:r>
    </w:p>
    <w:p>
      <w:pPr>
        <w:jc w:val="center"/>
        <w:spacing w:after="0"/>
        <w:rPr>
          <w:sz w:val="20"/>
          <w:szCs w:val="20"/>
          <w:color w:val="auto"/>
        </w:rPr>
      </w:pPr>
      <w:r>
        <w:rPr>
          <w:rFonts w:ascii="Arial" w:cs="Arial" w:eastAsia="Arial" w:hAnsi="Arial"/>
          <w:sz w:val="20"/>
          <w:szCs w:val="20"/>
          <w:b w:val="1"/>
          <w:bCs w:val="1"/>
          <w:color w:val="auto"/>
        </w:rPr>
        <w:t>2022 EMPLOYMENT INDUCEMENT INCENTIVE PLAN</w:t>
      </w:r>
    </w:p>
    <w:p>
      <w:pPr>
        <w:spacing w:after="0" w:line="148" w:lineRule="exact"/>
        <w:rPr>
          <w:sz w:val="20"/>
          <w:szCs w:val="20"/>
          <w:color w:val="auto"/>
        </w:rPr>
      </w:pPr>
    </w:p>
    <w:p>
      <w:pPr>
        <w:jc w:val="right"/>
        <w:ind w:right="5180"/>
        <w:spacing w:after="0"/>
        <w:rPr>
          <w:sz w:val="20"/>
          <w:szCs w:val="20"/>
          <w:color w:val="auto"/>
        </w:rPr>
      </w:pPr>
      <w:r>
        <w:rPr>
          <w:rFonts w:ascii="Arial" w:cs="Arial" w:eastAsia="Arial" w:hAnsi="Arial"/>
          <w:sz w:val="20"/>
          <w:szCs w:val="20"/>
          <w:b w:val="1"/>
          <w:bCs w:val="1"/>
          <w:color w:val="auto"/>
        </w:rPr>
        <w:t>ARTICLE I.</w:t>
      </w:r>
    </w:p>
    <w:p>
      <w:pPr>
        <w:jc w:val="right"/>
        <w:ind w:right="5160"/>
        <w:spacing w:after="0"/>
        <w:rPr>
          <w:sz w:val="20"/>
          <w:szCs w:val="20"/>
          <w:color w:val="auto"/>
        </w:rPr>
      </w:pPr>
      <w:r>
        <w:rPr>
          <w:rFonts w:ascii="Arial" w:cs="Arial" w:eastAsia="Arial" w:hAnsi="Arial"/>
          <w:sz w:val="20"/>
          <w:szCs w:val="20"/>
          <w:b w:val="1"/>
          <w:bCs w:val="1"/>
          <w:color w:val="auto"/>
        </w:rPr>
        <w:t>PURPOSE</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The Plan’s purpose is to enhance the Company’s ability to attract, retain and motivate eligible employees, who are expected to make important contributions to the Company or any Subsidiaries, by providing these individuals with equity ownership opportunities.</w:t>
      </w:r>
    </w:p>
    <w:p>
      <w:pPr>
        <w:spacing w:after="0" w:line="132"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II.</w:t>
      </w:r>
    </w:p>
    <w:p>
      <w:pPr>
        <w:ind w:left="4960"/>
        <w:spacing w:after="0"/>
        <w:rPr>
          <w:sz w:val="20"/>
          <w:szCs w:val="20"/>
          <w:color w:val="auto"/>
        </w:rPr>
      </w:pPr>
      <w:r>
        <w:rPr>
          <w:rFonts w:ascii="Arial" w:cs="Arial" w:eastAsia="Arial" w:hAnsi="Arial"/>
          <w:sz w:val="20"/>
          <w:szCs w:val="20"/>
          <w:b w:val="1"/>
          <w:bCs w:val="1"/>
          <w:color w:val="auto"/>
        </w:rPr>
        <w:t>DEFINITIONS</w:t>
      </w:r>
    </w:p>
    <w:p>
      <w:pPr>
        <w:spacing w:after="0" w:line="15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As used in the Plan, the following words and phrases have the meanings specified below, unless the context clearly indicates otherwise:</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the Committee. Any action taken by the Board as the Administrator in connection with the administration of the Plan shall not be deemed approved by the Board unless such actions are approved by a majority of the Non-</w:t>
      </w:r>
    </w:p>
    <w:p>
      <w:pPr>
        <w:spacing w:after="0"/>
        <w:rPr>
          <w:sz w:val="20"/>
          <w:szCs w:val="20"/>
          <w:color w:val="auto"/>
        </w:rPr>
      </w:pPr>
      <w:r>
        <w:rPr>
          <w:rFonts w:ascii="Arial" w:cs="Arial" w:eastAsia="Arial" w:hAnsi="Arial"/>
          <w:sz w:val="20"/>
          <w:szCs w:val="20"/>
          <w:color w:val="auto"/>
        </w:rPr>
        <w:t>Employee Directors of the Board.</w:t>
      </w:r>
    </w:p>
    <w:p>
      <w:pPr>
        <w:spacing w:after="0" w:line="17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means any applicable law, including without limitation: (a) provisions of the Code, the Securities Act, the Exchange Act and any rules or regulations thereunder; (b) corporate, securities, tax or other laws, statutes, rules, requirements or regulations,</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whether federal, state, local or foreign; and (c) rules of any securities exchange or automated quotation system on which the Shares are listed, quoted or traded.</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 Option award, Stock Appreciation Right award, Restricted Stock award, Restricted Stock Unit award,</w:t>
      </w:r>
    </w:p>
    <w:p>
      <w:pPr>
        <w:ind w:right="20"/>
        <w:spacing w:after="0" w:line="220" w:lineRule="auto"/>
        <w:rPr>
          <w:sz w:val="20"/>
          <w:szCs w:val="20"/>
          <w:color w:val="auto"/>
        </w:rPr>
      </w:pPr>
      <w:r>
        <w:rPr>
          <w:rFonts w:ascii="Arial" w:cs="Arial" w:eastAsia="Arial" w:hAnsi="Arial"/>
          <w:sz w:val="20"/>
          <w:szCs w:val="20"/>
          <w:color w:val="auto"/>
        </w:rPr>
        <w:t>Performance Bonus Award, Performance Stock Unit award, Dividend Equivalents award or Other Stock or Cash Based Award granted to a Participant under the Plan.</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1.2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means an agreement evidencing an Award, which may be written or electronic, that contains such terms and conditions as the Administrator determines, consistent with and subject to the terms and conditions of the Plan.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have the meaning ascribed to such term, or term of similar effect, in any offer letter, employment, severance or</w:t>
      </w:r>
    </w:p>
    <w:p>
      <w:pPr>
        <w:spacing w:after="0" w:line="226" w:lineRule="auto"/>
        <w:rPr>
          <w:sz w:val="20"/>
          <w:szCs w:val="20"/>
          <w:color w:val="auto"/>
        </w:rPr>
      </w:pPr>
      <w:r>
        <w:rPr>
          <w:rFonts w:ascii="Arial" w:cs="Arial" w:eastAsia="Arial" w:hAnsi="Arial"/>
          <w:sz w:val="18"/>
          <w:szCs w:val="18"/>
          <w:color w:val="auto"/>
        </w:rPr>
        <w:t>similar agreement, including any Award Agreement, between the Participant and the Company; provided, that in the absence of an offer letter, employment, severance or similar agreement containing such definition, “Cause” means, with respect to a Participant, the occurrence</w:t>
      </w:r>
    </w:p>
    <w:p>
      <w:pPr>
        <w:spacing w:after="0" w:line="236" w:lineRule="auto"/>
        <w:rPr>
          <w:sz w:val="20"/>
          <w:szCs w:val="20"/>
          <w:color w:val="auto"/>
        </w:rPr>
      </w:pPr>
      <w:r>
        <w:rPr>
          <w:rFonts w:ascii="Arial" w:cs="Arial" w:eastAsia="Arial" w:hAnsi="Arial"/>
          <w:sz w:val="18"/>
          <w:szCs w:val="18"/>
          <w:color w:val="auto"/>
        </w:rPr>
        <w:t>of any of the following: (a) the Participant’s commission of any crime involving fraud, dishonesty or moral turpitude; (b) the Participant’s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attempted commission of or participation in a fraud or act of dishonesty against the Company that results in (or might have reasonably resulted in) material harm to the business of the Company; (c) the Participant’s material violation of any contract or agreement between the</w:t>
      </w:r>
    </w:p>
    <w:p>
      <w:pPr>
        <w:spacing w:after="0" w:line="224" w:lineRule="auto"/>
        <w:rPr>
          <w:sz w:val="20"/>
          <w:szCs w:val="20"/>
          <w:color w:val="auto"/>
        </w:rPr>
      </w:pPr>
      <w:r>
        <w:rPr>
          <w:rFonts w:ascii="Arial" w:cs="Arial" w:eastAsia="Arial" w:hAnsi="Arial"/>
          <w:sz w:val="19"/>
          <w:szCs w:val="19"/>
          <w:color w:val="auto"/>
        </w:rPr>
        <w:t>Participant and the Company or any Subsidiary or any statutory duty the Participant owes to the Company or any Subsidiary; (d) the</w:t>
      </w:r>
    </w:p>
    <w:p>
      <w:pPr>
        <w:spacing w:after="0" w:line="226" w:lineRule="auto"/>
        <w:rPr>
          <w:sz w:val="20"/>
          <w:szCs w:val="20"/>
          <w:color w:val="auto"/>
        </w:rPr>
      </w:pPr>
      <w:r>
        <w:rPr>
          <w:rFonts w:ascii="Arial" w:cs="Arial" w:eastAsia="Arial" w:hAnsi="Arial"/>
          <w:sz w:val="18"/>
          <w:szCs w:val="18"/>
          <w:color w:val="auto"/>
        </w:rPr>
        <w:t>Participant’s conduct that constitutes gross insubordination, incompetence or habitual neglect of duties and that results in (or might have reasonably resulted in) material harm to the business of the Company; or (e) the Participant’s failure to perform his/her assigned duties and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responsibilities to the reasonable satisfaction of the Company which failure continues, in the reasonable judgment of the Company, after written notice given to the Participant by the Company.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any of the following:</w:t>
      </w:r>
    </w:p>
    <w:p>
      <w:pPr>
        <w:spacing w:after="0" w:line="189" w:lineRule="exact"/>
        <w:rPr>
          <w:sz w:val="20"/>
          <w:szCs w:val="20"/>
          <w:color w:val="auto"/>
        </w:rPr>
      </w:pPr>
    </w:p>
    <w:p>
      <w:pPr>
        <w:jc w:val="both"/>
        <w:ind w:firstLine="1304"/>
        <w:spacing w:after="0" w:line="220" w:lineRule="auto"/>
        <w:tabs>
          <w:tab w:leader="none" w:pos="1934" w:val="left"/>
        </w:tabs>
        <w:numPr>
          <w:ilvl w:val="0"/>
          <w:numId w:val="84"/>
        </w:numPr>
        <w:rPr>
          <w:rFonts w:ascii="Arial" w:cs="Arial" w:eastAsia="Arial" w:hAnsi="Arial"/>
          <w:sz w:val="20"/>
          <w:szCs w:val="20"/>
          <w:color w:val="auto"/>
        </w:rPr>
      </w:pPr>
      <w:r>
        <w:rPr>
          <w:rFonts w:ascii="Arial" w:cs="Arial" w:eastAsia="Arial" w:hAnsi="Arial"/>
          <w:sz w:val="20"/>
          <w:szCs w:val="20"/>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w:t>
      </w:r>
    </w:p>
    <w:p>
      <w:pPr>
        <w:sectPr>
          <w:pgSz w:w="11900" w:h="16838" w:orient="portrait"/>
          <w:cols w:equalWidth="0" w:num="1">
            <w:col w:w="11240"/>
          </w:cols>
          <w:pgMar w:left="320" w:top="1394"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Rules 13d-3 and 13d-5 under the Exchange Act) of the Company’s securities possessing more than 50% of the total combined voting power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the Company’s securities outstanding immediately after such acquisition; provided, however, that the following acquisitions shall not constitute a Change in Control: (i) any acquisition by the Company or any of its Subsidiaries; (ii) any acquisition by an employee benefit plan</w:t>
      </w:r>
    </w:p>
    <w:p>
      <w:pPr>
        <w:spacing w:after="0" w:line="236" w:lineRule="auto"/>
        <w:rPr>
          <w:sz w:val="20"/>
          <w:szCs w:val="20"/>
          <w:color w:val="auto"/>
        </w:rPr>
      </w:pPr>
      <w:r>
        <w:rPr>
          <w:rFonts w:ascii="Arial" w:cs="Arial" w:eastAsia="Arial" w:hAnsi="Arial"/>
          <w:sz w:val="18"/>
          <w:szCs w:val="18"/>
          <w:color w:val="auto"/>
        </w:rPr>
        <w:t>maintained by the Company or any of its Subsidiaries, (iii) any acquisition which complies with Sections 2.7(c)(i), 2.7(c)(ii) and 2.7(c)(iii);</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or (iv) in respect of an Award held by a particular Participant, any acquisition by the Participant or any group of persons including the Participant (or any entity controlled by the Participant or any group of persons including the Participant);</w:t>
      </w:r>
    </w:p>
    <w:p>
      <w:pPr>
        <w:spacing w:after="0" w:line="170" w:lineRule="exact"/>
        <w:rPr>
          <w:sz w:val="20"/>
          <w:szCs w:val="20"/>
          <w:color w:val="auto"/>
        </w:rPr>
      </w:pPr>
    </w:p>
    <w:p>
      <w:pPr>
        <w:ind w:left="1940" w:hanging="636"/>
        <w:spacing w:after="0"/>
        <w:tabs>
          <w:tab w:leader="none" w:pos="19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Incumbent Directors cease for any reason to constitute a majority of the Board;</w:t>
      </w:r>
    </w:p>
    <w:p>
      <w:pPr>
        <w:spacing w:after="0" w:line="188" w:lineRule="exact"/>
        <w:rPr>
          <w:rFonts w:ascii="Arial" w:cs="Arial" w:eastAsia="Arial" w:hAnsi="Arial"/>
          <w:sz w:val="20"/>
          <w:szCs w:val="20"/>
          <w:color w:val="auto"/>
        </w:rPr>
      </w:pPr>
    </w:p>
    <w:p>
      <w:pPr>
        <w:jc w:val="both"/>
        <w:ind w:firstLine="1304"/>
        <w:spacing w:after="0" w:line="220" w:lineRule="auto"/>
        <w:tabs>
          <w:tab w:leader="none" w:pos="1932"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55" w:lineRule="exact"/>
        <w:rPr>
          <w:rFonts w:ascii="Arial" w:cs="Arial" w:eastAsia="Arial" w:hAnsi="Arial"/>
          <w:sz w:val="20"/>
          <w:szCs w:val="20"/>
          <w:color w:val="auto"/>
        </w:rPr>
      </w:pPr>
    </w:p>
    <w:p>
      <w:pPr>
        <w:jc w:val="both"/>
        <w:ind w:firstLine="1952"/>
        <w:spacing w:after="0" w:line="243" w:lineRule="auto"/>
        <w:tabs>
          <w:tab w:leader="none" w:pos="25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w:t>
      </w:r>
    </w:p>
    <w:p>
      <w:pPr>
        <w:spacing w:after="0" w:line="167" w:lineRule="exact"/>
        <w:rPr>
          <w:sz w:val="20"/>
          <w:szCs w:val="20"/>
          <w:color w:val="auto"/>
        </w:rPr>
      </w:pPr>
    </w:p>
    <w:p>
      <w:pPr>
        <w:jc w:val="both"/>
        <w:ind w:firstLine="1952"/>
        <w:spacing w:after="0" w:line="216" w:lineRule="auto"/>
        <w:tabs>
          <w:tab w:leader="none" w:pos="259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after which no person or group beneficially owns voting securities representing 50% or more of the combined voting power of the Successor Entity; 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however, that no person or group shall be treated for purposes of this Section 2.7. (c)(ii) as beneficially owning 50% or more of the combined voting power of the Successor Entity solely as a result of the voting power held in the Company prior to the consummation of the transaction; and</w:t>
      </w:r>
    </w:p>
    <w:p>
      <w:pPr>
        <w:spacing w:after="0" w:line="171" w:lineRule="exact"/>
        <w:rPr>
          <w:sz w:val="20"/>
          <w:szCs w:val="20"/>
          <w:color w:val="auto"/>
        </w:rPr>
      </w:pPr>
    </w:p>
    <w:p>
      <w:pPr>
        <w:jc w:val="both"/>
        <w:ind w:firstLine="1952"/>
        <w:spacing w:after="0" w:line="223" w:lineRule="auto"/>
        <w:tabs>
          <w:tab w:leader="none" w:pos="2590" w:val="left"/>
        </w:tabs>
        <w:numPr>
          <w:ilvl w:val="1"/>
          <w:numId w:val="87"/>
        </w:numPr>
        <w:rPr>
          <w:rFonts w:ascii="Arial" w:cs="Arial" w:eastAsia="Arial" w:hAnsi="Arial"/>
          <w:sz w:val="20"/>
          <w:szCs w:val="20"/>
          <w:color w:val="auto"/>
        </w:rPr>
      </w:pPr>
      <w:r>
        <w:rPr>
          <w:rFonts w:ascii="Arial" w:cs="Arial" w:eastAsia="Arial" w:hAnsi="Arial"/>
          <w:sz w:val="20"/>
          <w:szCs w:val="20"/>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68" w:lineRule="exact"/>
        <w:rPr>
          <w:rFonts w:ascii="Arial" w:cs="Arial" w:eastAsia="Arial" w:hAnsi="Arial"/>
          <w:sz w:val="20"/>
          <w:szCs w:val="20"/>
          <w:color w:val="auto"/>
        </w:rPr>
      </w:pPr>
    </w:p>
    <w:p>
      <w:pPr>
        <w:ind w:left="1940" w:hanging="636"/>
        <w:spacing w:after="0"/>
        <w:tabs>
          <w:tab w:leader="none" w:pos="19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completion of a liquidation or dissolution of the Company.</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w:t>
      </w:r>
    </w:p>
    <w:p>
      <w:pPr>
        <w:spacing w:after="0" w:line="235" w:lineRule="auto"/>
        <w:rPr>
          <w:sz w:val="20"/>
          <w:szCs w:val="20"/>
          <w:color w:val="auto"/>
        </w:rPr>
      </w:pPr>
      <w:r>
        <w:rPr>
          <w:rFonts w:ascii="Arial" w:cs="Arial" w:eastAsia="Arial" w:hAnsi="Arial"/>
          <w:sz w:val="18"/>
          <w:szCs w:val="18"/>
          <w:color w:val="auto"/>
        </w:rPr>
        <w:t>taxes under Section 409A, the transaction or event described in subsection (a), (b), (c) or (d) of this Section 2.7 with respect to such Award</w:t>
      </w:r>
    </w:p>
    <w:p>
      <w:pPr>
        <w:spacing w:after="0" w:line="220" w:lineRule="auto"/>
        <w:rPr>
          <w:sz w:val="20"/>
          <w:szCs w:val="20"/>
          <w:color w:val="auto"/>
        </w:rPr>
      </w:pPr>
      <w:r>
        <w:rPr>
          <w:rFonts w:ascii="Arial" w:cs="Arial" w:eastAsia="Arial" w:hAnsi="Arial"/>
          <w:sz w:val="20"/>
          <w:szCs w:val="20"/>
          <w:color w:val="auto"/>
        </w:rPr>
        <w:t>(or portion thereof) shall only constitute a Change in Control for purposes of the payment timing of such Award if such transaction also constitutes a “change in control event,” as defined in Treasury Regulation Section 1.409A-3(i)(5).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Change in Control has occurred pursuant to the above definition, the date of such Change in Control and any incidental matters relating thereto; provided that any exercise of authority in conjunction with a determination of whether a Change in Control is a “change in control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event” as defined in Treasury Regulation Section 1.409A-3(i)(5) shall be consistent with such regulation.</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1.4 “</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U.S. Internal Revenue Code of 1986, as amended, and all regulations, guidance, compliance programs and other interpretative authority issued thereunder.</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Compensation Committee of the Board.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127" w:name="page128"/>
    <w:bookmarkEnd w:id="127"/>
    <w:p>
      <w:pPr>
        <w:ind w:left="660"/>
        <w:spacing w:after="0"/>
        <w:tabs>
          <w:tab w:leader="none" w:pos="12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Arteris Inc., a Delaware corporation, or any successor.</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if permitted by the Company, the beneficiary or beneficiaries the Participant designates, in a manner the Company determines, to receive amounts due or exercise the Participant’s rights if the Participant dies. Without a</w:t>
      </w:r>
    </w:p>
    <w:p>
      <w:pPr>
        <w:spacing w:after="0"/>
        <w:rPr>
          <w:sz w:val="20"/>
          <w:szCs w:val="20"/>
          <w:color w:val="auto"/>
        </w:rPr>
      </w:pPr>
      <w:r>
        <w:rPr>
          <w:rFonts w:ascii="Arial" w:cs="Arial" w:eastAsia="Arial" w:hAnsi="Arial"/>
          <w:sz w:val="20"/>
          <w:szCs w:val="20"/>
          <w:color w:val="auto"/>
        </w:rPr>
        <w:t>Participant’s effective designation, “Designated Beneficiary” will mean the Participant’s estate or legal heirs.</w:t>
      </w:r>
    </w:p>
    <w:p>
      <w:pPr>
        <w:spacing w:after="0" w:line="17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under Section 22(e)(3) of the Code.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spacing w:after="0" w:line="14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1.7 “</w:t>
      </w:r>
      <w:r>
        <w:rPr>
          <w:rFonts w:ascii="Arial" w:cs="Arial" w:eastAsia="Arial" w:hAnsi="Arial"/>
          <w:sz w:val="20"/>
          <w:szCs w:val="20"/>
          <w:b w:val="1"/>
          <w:bCs w:val="1"/>
          <w:i w:val="1"/>
          <w:iCs w:val="1"/>
          <w:color w:val="auto"/>
        </w:rPr>
        <w:t>DRO</w:t>
      </w:r>
      <w:r>
        <w:rPr>
          <w:rFonts w:ascii="Arial" w:cs="Arial" w:eastAsia="Arial" w:hAnsi="Arial"/>
          <w:sz w:val="20"/>
          <w:szCs w:val="20"/>
          <w:color w:val="auto"/>
        </w:rPr>
        <w:t>” means a “domestic relations order” as defined by the Code or Title I of the Employee Retirement Income Security Act of 1974, as amended, or the rules thereunder.</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means any Employee who has not previously been an employee or director of the Company or any of its Subsidiaries, or is commencing employment with the Company or a Subsidiary following a bona fide period of non-employment by the</w:t>
      </w:r>
    </w:p>
    <w:p>
      <w:pPr>
        <w:spacing w:after="0" w:line="235" w:lineRule="auto"/>
        <w:rPr>
          <w:sz w:val="20"/>
          <w:szCs w:val="20"/>
          <w:color w:val="auto"/>
        </w:rPr>
      </w:pPr>
      <w:r>
        <w:rPr>
          <w:rFonts w:ascii="Arial" w:cs="Arial" w:eastAsia="Arial" w:hAnsi="Arial"/>
          <w:sz w:val="18"/>
          <w:szCs w:val="18"/>
          <w:color w:val="auto"/>
        </w:rPr>
        <w:t>Company or a Subsidiary, if he or she is granted an award in connection with his or her commencement of employment with the Company or</w:t>
      </w:r>
    </w:p>
    <w:p>
      <w:pPr>
        <w:jc w:val="both"/>
        <w:spacing w:after="0" w:line="226" w:lineRule="auto"/>
        <w:rPr>
          <w:sz w:val="20"/>
          <w:szCs w:val="20"/>
          <w:color w:val="auto"/>
        </w:rPr>
      </w:pPr>
      <w:r>
        <w:rPr>
          <w:rFonts w:ascii="Arial" w:cs="Arial" w:eastAsia="Arial" w:hAnsi="Arial"/>
          <w:sz w:val="18"/>
          <w:szCs w:val="18"/>
          <w:color w:val="auto"/>
        </w:rPr>
        <w:t>a Subsidiary and such grant is an inducement material to his or her entering into employment with the Company or a Subsidiary. The Administrator may in its discretion adopt procedures from time to time to ensure that an Employee is eligible to participate in the Plan prior</w:t>
      </w:r>
    </w:p>
    <w:p>
      <w:pPr>
        <w:spacing w:after="0" w:line="236" w:lineRule="auto"/>
        <w:rPr>
          <w:sz w:val="20"/>
          <w:szCs w:val="20"/>
          <w:color w:val="auto"/>
        </w:rPr>
      </w:pPr>
      <w:r>
        <w:rPr>
          <w:rFonts w:ascii="Arial" w:cs="Arial" w:eastAsia="Arial" w:hAnsi="Arial"/>
          <w:sz w:val="18"/>
          <w:szCs w:val="18"/>
          <w:color w:val="auto"/>
        </w:rPr>
        <w:t>to the granting of any awards to such Employee under the Plan (including, without limitation, a requirement, that each such Employee certify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the Company prior to the receipt of an award under the Plan that he or she has not been previously employed by the Company or a Subsidiary, or if previously employed, has had a bona fide period of non-employment, and that the grant of an award under the Plan is 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inducement material to her or her agreement to enter into employment with the Company or a Subsidiary).</w:t>
      </w:r>
    </w:p>
    <w:p>
      <w:pPr>
        <w:spacing w:after="0" w:line="15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1.8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means any person, including officers, providing services as an employee to the Company or any of its Subsidiaries. Neither service as a Non-Employee Director nor payment of a director’s fee by the Company will be sufficient to constitute “employment” by the Company.</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 nonreciprocal transaction between the Company and its stockholders, such as a stock dividend, stock split (including a reverse stock split), spin-off or recapitalization through a large, nonrecurring cash dividend, that affects the</w:t>
      </w:r>
    </w:p>
    <w:p>
      <w:pPr>
        <w:jc w:val="both"/>
        <w:ind w:right="20"/>
        <w:spacing w:after="0" w:line="220" w:lineRule="auto"/>
        <w:rPr>
          <w:sz w:val="20"/>
          <w:szCs w:val="20"/>
          <w:color w:val="auto"/>
        </w:rPr>
      </w:pPr>
      <w:r>
        <w:rPr>
          <w:rFonts w:ascii="Arial" w:cs="Arial" w:eastAsia="Arial" w:hAnsi="Arial"/>
          <w:sz w:val="20"/>
          <w:szCs w:val="20"/>
          <w:color w:val="auto"/>
        </w:rPr>
        <w:t>number or kind of Shares (or other Company securities) or the share price of Common Stock (or other Company securities) and causes a change in the per share value of the Common Stock underlying outstanding Awards.</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1.9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U.S. Securities Exchange Act of 1934, as amended, and all regulations, guidance and other interpretative authority issued thereunder.</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determined as follows: (i) if the Common Stock is listed on any established stock exchange, the value of a Share will be the closing sales price for a Share as quoted on such exchange for such date, or if</w:t>
      </w:r>
    </w:p>
    <w:p>
      <w:pPr>
        <w:jc w:val="both"/>
        <w:spacing w:after="0" w:line="226" w:lineRule="auto"/>
        <w:rPr>
          <w:sz w:val="20"/>
          <w:szCs w:val="20"/>
          <w:color w:val="auto"/>
        </w:rPr>
      </w:pPr>
      <w:r>
        <w:rPr>
          <w:rFonts w:ascii="Arial" w:cs="Arial" w:eastAsia="Arial" w:hAnsi="Arial"/>
          <w:sz w:val="18"/>
          <w:szCs w:val="18"/>
          <w:color w:val="auto"/>
        </w:rPr>
        <w:t xml:space="preserve">no sale occurred on such date, the last day preceding such date during which a sale occurred,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another source the Administrator deems reliable; (ii) if the Common Stock is not listed on an established stock exchange but is quoted on 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national market or other quotation system, the value of a Share will be the closing sales price for a Share on such date, or if no sales occurred</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on such date, then on the last date preceding such date during which a sale occurred,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another source the Administrator deems reliable; or (iii) if the Common Stock is not listed on any established stock exchange or quoted on a national market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 other quotation system, the value established by the Administrator in its sole discretion.</w:t>
      </w:r>
    </w:p>
    <w:p>
      <w:pPr>
        <w:spacing w:after="0" w:line="17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1.10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have the meaning ascribed to such term, or term of similar effect, in any offer letter, employment, severance or similar agreement, including any Award Agreement, between the Participant and the Company or any Subsidiary; provided, that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the absence of an offer letter,</w:t>
      </w:r>
    </w:p>
    <w:p>
      <w:pPr>
        <w:sectPr>
          <w:pgSz w:w="11900" w:h="16838" w:orient="portrait"/>
          <w:cols w:equalWidth="0" w:num="1">
            <w:col w:w="11240"/>
          </w:cols>
          <w:pgMar w:left="320" w:top="1405"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employment, severance or similar agreement containing such definition, Good Reason means the occurrence of one or more of the following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without the Participant’s consent: (i) a material diminution in the Participant’s base salary, except for across-the-board salary reductions similarly affecting all or substantially all similarly situated employees of the Company or any Subsidiary, or (ii) a change of more than 50</w:t>
      </w:r>
    </w:p>
    <w:p>
      <w:pPr>
        <w:spacing w:after="0" w:line="236" w:lineRule="auto"/>
        <w:rPr>
          <w:sz w:val="20"/>
          <w:szCs w:val="20"/>
          <w:color w:val="auto"/>
        </w:rPr>
      </w:pPr>
      <w:r>
        <w:rPr>
          <w:rFonts w:ascii="Arial" w:cs="Arial" w:eastAsia="Arial" w:hAnsi="Arial"/>
          <w:sz w:val="18"/>
          <w:szCs w:val="18"/>
          <w:color w:val="auto"/>
        </w:rPr>
        <w:t>miles in the geographic location at which the Participant provides services to the Company, except for such reasonable travel as required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perform the Participant’s duties to the Company or any Subsidiary and unless such change or relocation is set forth in an offer letter, employment agreement or similar agreement entered into between Participant and the Company or any Subsidiary prior to a Change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Control, or otherwise agreed by the Company (or any Subsidiary) and the Participant. In order to establish Good Reason, the Participant must</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provide the Administrator with notice of the event giving rise to Good Reason within 90 days of the initial occurrence of such event, the event shall remain uncured 30 days thereafter and the Participant must actually terminate services within 30 days following the end of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cure period.</w:t>
      </w:r>
    </w:p>
    <w:p>
      <w:pPr>
        <w:spacing w:after="0" w:line="173"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i w:val="1"/>
          <w:iCs w:val="1"/>
          <w:color w:val="auto"/>
        </w:rPr>
        <w:t>Incumbent Directors”</w:t>
      </w:r>
      <w:r>
        <w:rPr>
          <w:rFonts w:ascii="Arial" w:cs="Arial" w:eastAsia="Arial" w:hAnsi="Arial"/>
          <w:sz w:val="16"/>
          <w:szCs w:val="16"/>
          <w:color w:val="auto"/>
        </w:rPr>
        <w:t xml:space="preserve"> means, for any period of 12 consecutive months, individuals who, at the beginning of such period, constitute the Board together with any new director(s) (other than a director designated by a person who shall have entered into an agreement</w:t>
      </w:r>
    </w:p>
    <w:p>
      <w:pPr>
        <w:spacing w:after="0" w:line="236" w:lineRule="auto"/>
        <w:rPr>
          <w:sz w:val="20"/>
          <w:szCs w:val="20"/>
          <w:color w:val="auto"/>
        </w:rPr>
      </w:pPr>
      <w:r>
        <w:rPr>
          <w:rFonts w:ascii="Arial" w:cs="Arial" w:eastAsia="Arial" w:hAnsi="Arial"/>
          <w:sz w:val="18"/>
          <w:szCs w:val="18"/>
          <w:color w:val="auto"/>
        </w:rPr>
        <w:t>with the Company to effect a transaction described in clause (a) or (c) of the Change in Control definition) whose election or nomination for</w:t>
      </w:r>
    </w:p>
    <w:p>
      <w:pPr>
        <w:spacing w:after="0" w:line="226" w:lineRule="auto"/>
        <w:rPr>
          <w:sz w:val="20"/>
          <w:szCs w:val="20"/>
          <w:color w:val="auto"/>
        </w:rPr>
      </w:pPr>
      <w:r>
        <w:rPr>
          <w:rFonts w:ascii="Arial" w:cs="Arial" w:eastAsia="Arial" w:hAnsi="Arial"/>
          <w:sz w:val="18"/>
          <w:szCs w:val="18"/>
          <w:color w:val="auto"/>
        </w:rPr>
        <w:t>election to the Board was approved by a vote of at least a majority (either by a specific vote or by approval of the proxy statement of the Company in which such person is named as a nominee for director without objection to such nomination) of the directors then still in office</w:t>
      </w:r>
    </w:p>
    <w:p>
      <w:pPr>
        <w:spacing w:after="0" w:line="236" w:lineRule="auto"/>
        <w:rPr>
          <w:sz w:val="20"/>
          <w:szCs w:val="20"/>
          <w:color w:val="auto"/>
        </w:rPr>
      </w:pPr>
      <w:r>
        <w:rPr>
          <w:rFonts w:ascii="Arial" w:cs="Arial" w:eastAsia="Arial" w:hAnsi="Arial"/>
          <w:sz w:val="18"/>
          <w:szCs w:val="18"/>
          <w:color w:val="auto"/>
        </w:rPr>
        <w:t>who either were directors at the beginning of the 12-month period or whose election or nomination for election was previously so approved.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Incumbent Director.</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w:t>
      </w:r>
      <w:r>
        <w:rPr>
          <w:rFonts w:ascii="Arial" w:cs="Arial" w:eastAsia="Arial" w:hAnsi="Arial"/>
          <w:sz w:val="16"/>
          <w:szCs w:val="16"/>
          <w:i w:val="1"/>
          <w:iCs w:val="1"/>
          <w:color w:val="auto"/>
        </w:rPr>
        <w:t>r</w:t>
      </w:r>
      <w:r>
        <w:rPr>
          <w:rFonts w:ascii="Arial" w:cs="Arial" w:eastAsia="Arial" w:hAnsi="Arial"/>
          <w:sz w:val="16"/>
          <w:szCs w:val="16"/>
          <w:color w:val="auto"/>
        </w:rPr>
        <w:t>” means a member of the Board who is not an Employee.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Nonqualified Stock Option</w:t>
      </w:r>
      <w:r>
        <w:rPr>
          <w:rFonts w:ascii="Arial" w:cs="Arial" w:eastAsia="Arial" w:hAnsi="Arial"/>
          <w:sz w:val="16"/>
          <w:szCs w:val="16"/>
          <w:color w:val="auto"/>
        </w:rPr>
        <w:t>” means an Option that is not an Incentive Stock Option.</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1.12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means a right granted under Article VI to purchase a specified number of Shares at a specified price per Share during a specified time period. An Option shall be a Nonqualified Stock Option.</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1.4 “</w:t>
      </w:r>
      <w:r>
        <w:rPr>
          <w:rFonts w:ascii="Arial" w:cs="Arial" w:eastAsia="Arial" w:hAnsi="Arial"/>
          <w:sz w:val="20"/>
          <w:szCs w:val="20"/>
          <w:b w:val="1"/>
          <w:bCs w:val="1"/>
          <w:i w:val="1"/>
          <w:iCs w:val="1"/>
          <w:color w:val="auto"/>
        </w:rPr>
        <w:t>Other Stock or Cash Based Awards</w:t>
      </w:r>
      <w:r>
        <w:rPr>
          <w:rFonts w:ascii="Arial" w:cs="Arial" w:eastAsia="Arial" w:hAnsi="Arial"/>
          <w:sz w:val="20"/>
          <w:szCs w:val="20"/>
          <w:color w:val="auto"/>
        </w:rPr>
        <w:t>” means cash awards, awards of Shares, and other awards valued wholly or partially by referring to, or are otherwise based on, Shares or other property.</w:t>
      </w:r>
    </w:p>
    <w:p>
      <w:pPr>
        <w:spacing w:after="0" w:line="15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an Eligible Employee who has been granted an Award.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Bonus Award</w:t>
      </w:r>
      <w:r>
        <w:rPr>
          <w:rFonts w:ascii="Arial" w:cs="Arial" w:eastAsia="Arial" w:hAnsi="Arial"/>
          <w:sz w:val="16"/>
          <w:szCs w:val="16"/>
          <w:color w:val="auto"/>
        </w:rPr>
        <w:t>” has the meaning set forth in Section 8.3.</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i w:val="1"/>
          <w:iCs w:val="1"/>
          <w:color w:val="auto"/>
        </w:rPr>
        <w:t>Performance Stock Unit</w:t>
      </w:r>
      <w:r>
        <w:rPr>
          <w:rFonts w:ascii="Arial" w:cs="Arial" w:eastAsia="Arial" w:hAnsi="Arial"/>
          <w:sz w:val="18"/>
          <w:szCs w:val="18"/>
          <w:color w:val="auto"/>
        </w:rPr>
        <w:t>” means a right granted to a Participant pursuant to Section 8.1 and subject to Section 8.2, to receive cash or Shares, the payment of which is contingent upon achieving certain performance goals or other performance-based targets</w:t>
      </w:r>
    </w:p>
    <w:p>
      <w:pPr>
        <w:spacing w:after="0"/>
        <w:rPr>
          <w:sz w:val="20"/>
          <w:szCs w:val="20"/>
          <w:color w:val="auto"/>
        </w:rPr>
      </w:pPr>
      <w:r>
        <w:rPr>
          <w:rFonts w:ascii="Arial" w:cs="Arial" w:eastAsia="Arial" w:hAnsi="Arial"/>
          <w:sz w:val="20"/>
          <w:szCs w:val="20"/>
          <w:color w:val="auto"/>
        </w:rPr>
        <w:t>established by the Administrator.</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with respect to a Participant, any “family member” of the Participant, as defined in the General Instructions to Form S-8 Registration Statement under the Securities Act (or any successor form thereto), or any other transferee</w:t>
      </w:r>
    </w:p>
    <w:p>
      <w:pPr>
        <w:spacing w:after="0"/>
        <w:rPr>
          <w:sz w:val="20"/>
          <w:szCs w:val="20"/>
          <w:color w:val="auto"/>
        </w:rPr>
      </w:pPr>
      <w:r>
        <w:rPr>
          <w:rFonts w:ascii="Arial" w:cs="Arial" w:eastAsia="Arial" w:hAnsi="Arial"/>
          <w:sz w:val="20"/>
          <w:szCs w:val="20"/>
          <w:color w:val="auto"/>
        </w:rPr>
        <w:t>specifically approved by the Administrator after taking into account Applicable Law.</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2022 Employment Inducement Incentive Plan.</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1.10 “</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means Shares awarded to a Participant under Article VII, subject to certain vesting conditions and other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129" w:name="page130"/>
    <w:bookmarkEnd w:id="129"/>
    <w:p>
      <w:pPr>
        <w:ind w:left="660"/>
        <w:spacing w:after="0"/>
        <w:tabs>
          <w:tab w:leader="none" w:pos="128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or an</w:t>
      </w:r>
    </w:p>
    <w:p>
      <w:pPr>
        <w:jc w:val="both"/>
        <w:spacing w:after="0" w:line="220" w:lineRule="auto"/>
        <w:rPr>
          <w:sz w:val="20"/>
          <w:szCs w:val="20"/>
          <w:color w:val="auto"/>
        </w:rPr>
      </w:pPr>
      <w:r>
        <w:rPr>
          <w:rFonts w:ascii="Arial" w:cs="Arial" w:eastAsia="Arial" w:hAnsi="Arial"/>
          <w:sz w:val="20"/>
          <w:szCs w:val="20"/>
          <w:color w:val="auto"/>
        </w:rPr>
        <w:t>amount in cash or other consideration determined by the Administrator to be of equal value as of such settlement date, subject to certain vesting conditions and other restrictions.</w:t>
      </w:r>
    </w:p>
    <w:p>
      <w:pPr>
        <w:spacing w:after="0" w:line="170"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1.5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means Section 409A of the Code and the regulations promulgated thereunder by the United States Treasury Department, as amended or as may be amended from time to time.</w:t>
      </w:r>
    </w:p>
    <w:p>
      <w:pPr>
        <w:spacing w:after="0" w:line="155"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1.17 “</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means the Securities Act of 1933, as amended, and all regulations, guidance and other interpretative authority issued thereunder.</w:t>
      </w:r>
    </w:p>
    <w:p>
      <w:pPr>
        <w:spacing w:after="0" w:line="16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Common Stock.</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1.18 “</w:t>
      </w:r>
      <w:r>
        <w:rPr>
          <w:rFonts w:ascii="Arial" w:cs="Arial" w:eastAsia="Arial" w:hAnsi="Arial"/>
          <w:sz w:val="20"/>
          <w:szCs w:val="20"/>
          <w:b w:val="1"/>
          <w:bCs w:val="1"/>
          <w:i w:val="1"/>
          <w:iCs w:val="1"/>
          <w:color w:val="auto"/>
        </w:rPr>
        <w:t>Stock Appreciation Right</w:t>
      </w:r>
      <w:r>
        <w:rPr>
          <w:rFonts w:ascii="Arial" w:cs="Arial" w:eastAsia="Arial" w:hAnsi="Arial"/>
          <w:sz w:val="20"/>
          <w:szCs w:val="20"/>
          <w:color w:val="auto"/>
        </w:rPr>
        <w:t>” or “</w:t>
      </w:r>
      <w:r>
        <w:rPr>
          <w:rFonts w:ascii="Arial" w:cs="Arial" w:eastAsia="Arial" w:hAnsi="Arial"/>
          <w:sz w:val="20"/>
          <w:szCs w:val="20"/>
          <w:b w:val="1"/>
          <w:bCs w:val="1"/>
          <w:i w:val="1"/>
          <w:iCs w:val="1"/>
          <w:color w:val="auto"/>
        </w:rPr>
        <w:t>SAR</w:t>
      </w:r>
      <w:r>
        <w:rPr>
          <w:rFonts w:ascii="Arial" w:cs="Arial" w:eastAsia="Arial" w:hAnsi="Arial"/>
          <w:sz w:val="20"/>
          <w:szCs w:val="20"/>
          <w:color w:val="auto"/>
        </w:rPr>
        <w:t>” means a right granted under Article VI to receive a payment equal to the excess of the Fair Market Value of a specified number of Shares on the date the right is exercised over the exercise price set forth in the applicable Award Agreement.</w:t>
      </w:r>
    </w:p>
    <w:p>
      <w:pPr>
        <w:spacing w:after="0" w:line="15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9"/>
          <w:szCs w:val="19"/>
          <w:color w:val="auto"/>
        </w:rPr>
        <w:t>1.2 “</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means any entity (other than the Company), whether U.S. or non-U.S., in an unbroken chain of entities beginning with the Company if each of the entities other than the last entity in the unbroken chain beneficially owns, at the time of the</w:t>
      </w:r>
    </w:p>
    <w:p>
      <w:pPr>
        <w:jc w:val="both"/>
        <w:spacing w:after="0" w:line="220" w:lineRule="auto"/>
        <w:rPr>
          <w:sz w:val="20"/>
          <w:szCs w:val="20"/>
          <w:color w:val="auto"/>
        </w:rPr>
      </w:pPr>
      <w:r>
        <w:rPr>
          <w:rFonts w:ascii="Arial" w:cs="Arial" w:eastAsia="Arial" w:hAnsi="Arial"/>
          <w:sz w:val="20"/>
          <w:szCs w:val="20"/>
          <w:color w:val="auto"/>
        </w:rPr>
        <w:t>determination, securities or interests representing at least 50% of the total combined voting power of all classes of securities or interests in one of the other entities in such chain.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Substitute Awards</w:t>
      </w:r>
      <w:r>
        <w:rPr>
          <w:rFonts w:ascii="Arial" w:cs="Arial" w:eastAsia="Arial" w:hAnsi="Arial"/>
          <w:sz w:val="19"/>
          <w:szCs w:val="19"/>
          <w:color w:val="auto"/>
        </w:rPr>
        <w:t>” means Awards granted or Shares issued by the Company in assumption of, or in substitution or</w:t>
      </w:r>
    </w:p>
    <w:p>
      <w:pPr>
        <w:jc w:val="both"/>
        <w:spacing w:after="0" w:line="220" w:lineRule="auto"/>
        <w:rPr>
          <w:sz w:val="20"/>
          <w:szCs w:val="20"/>
          <w:color w:val="auto"/>
        </w:rPr>
      </w:pPr>
      <w:r>
        <w:rPr>
          <w:rFonts w:ascii="Arial" w:cs="Arial" w:eastAsia="Arial" w:hAnsi="Arial"/>
          <w:sz w:val="20"/>
          <w:szCs w:val="20"/>
          <w:color w:val="auto"/>
        </w:rPr>
        <w:t>exchange for, awards previously granted, or the right or obligation to make future awards, in each case by a company or other entity acquired by the Company or any Subsidiary or with which the Company or any Subsidiary combines.</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any U.S. and non-U.S. federal, state and/or local taxes (including, without limitation, income tax, social insurance contributions, fringe benefit tax, employment tax, stamp tax and any employer tax liability which has been transferred to</w:t>
      </w:r>
    </w:p>
    <w:p>
      <w:pPr>
        <w:spacing w:after="0"/>
        <w:rPr>
          <w:sz w:val="20"/>
          <w:szCs w:val="20"/>
          <w:color w:val="auto"/>
        </w:rPr>
      </w:pPr>
      <w:r>
        <w:rPr>
          <w:rFonts w:ascii="Arial" w:cs="Arial" w:eastAsia="Arial" w:hAnsi="Arial"/>
          <w:sz w:val="20"/>
          <w:szCs w:val="20"/>
          <w:color w:val="auto"/>
        </w:rPr>
        <w:t>a Participant) for which a Participant is liable in connection with Awards and/or Shares.</w:t>
      </w:r>
    </w:p>
    <w:p>
      <w:pPr>
        <w:spacing w:after="0" w:line="17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9"/>
          <w:szCs w:val="19"/>
          <w:color w:val="auto"/>
        </w:rPr>
        <w:t>1.20 “</w:t>
      </w:r>
      <w:r>
        <w:rPr>
          <w:rFonts w:ascii="Arial" w:cs="Arial" w:eastAsia="Arial" w:hAnsi="Arial"/>
          <w:sz w:val="19"/>
          <w:szCs w:val="19"/>
          <w:b w:val="1"/>
          <w:bCs w:val="1"/>
          <w:i w:val="1"/>
          <w:iCs w:val="1"/>
          <w:color w:val="auto"/>
        </w:rPr>
        <w:t>Termination of Service</w:t>
      </w:r>
      <w:r>
        <w:rPr>
          <w:rFonts w:ascii="Arial" w:cs="Arial" w:eastAsia="Arial" w:hAnsi="Arial"/>
          <w:sz w:val="19"/>
          <w:szCs w:val="19"/>
          <w:color w:val="auto"/>
        </w:rPr>
        <w:t>” means as to an Employee, the time when the employee-employer relationship between a Participant and the Company or any Subsidiary is terminated for any reason, including, without limitation, a termination by resignation,</w:t>
      </w:r>
    </w:p>
    <w:p>
      <w:pPr>
        <w:spacing w:after="0" w:line="224" w:lineRule="auto"/>
        <w:rPr>
          <w:sz w:val="20"/>
          <w:szCs w:val="20"/>
          <w:color w:val="auto"/>
        </w:rPr>
      </w:pPr>
      <w:r>
        <w:rPr>
          <w:rFonts w:ascii="Arial" w:cs="Arial" w:eastAsia="Arial" w:hAnsi="Arial"/>
          <w:sz w:val="19"/>
          <w:szCs w:val="19"/>
          <w:color w:val="auto"/>
        </w:rPr>
        <w:t>discharge, death, disability or retirement; but excluding terminations where the Participant simultaneously commences or remains in</w:t>
      </w:r>
    </w:p>
    <w:p>
      <w:pPr>
        <w:jc w:val="both"/>
        <w:spacing w:after="0" w:line="226" w:lineRule="auto"/>
        <w:rPr>
          <w:sz w:val="20"/>
          <w:szCs w:val="20"/>
          <w:color w:val="auto"/>
        </w:rPr>
      </w:pPr>
      <w:r>
        <w:rPr>
          <w:rFonts w:ascii="Arial" w:cs="Arial" w:eastAsia="Arial" w:hAnsi="Arial"/>
          <w:sz w:val="18"/>
          <w:szCs w:val="18"/>
          <w:color w:val="auto"/>
        </w:rPr>
        <w:t>employment or service with the Company or any Subsidiary. The Company, in its sole discretion, shall determine the effect of all matters and questions relating to any Termination of Service, including, without limitation, whether a Termination of Service has occurred, whether 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Service resulted from a discharge for Cause and all questions of whether particular leaves of absence constitute a Termination</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Service. For purposes of the Plan, a Participant’s employee-employer relationship shall be deemed to be terminated in the event that the Subsidiary employing or contracting with such Participant ceases to remain a Subsidiary following any merger, sale of stock or other</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corporate transaction or event (including, without limitation, a spin-off), even though the Participant may subsequently continue to perform services for that entity.</w:t>
      </w:r>
    </w:p>
    <w:p>
      <w:pPr>
        <w:spacing w:after="0" w:line="145"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III.</w:t>
      </w:r>
    </w:p>
    <w:p>
      <w:pPr>
        <w:ind w:left="5000"/>
        <w:spacing w:after="0"/>
        <w:rPr>
          <w:sz w:val="20"/>
          <w:szCs w:val="20"/>
          <w:color w:val="auto"/>
        </w:rPr>
      </w:pPr>
      <w:r>
        <w:rPr>
          <w:rFonts w:ascii="Arial" w:cs="Arial" w:eastAsia="Arial" w:hAnsi="Arial"/>
          <w:sz w:val="20"/>
          <w:szCs w:val="20"/>
          <w:b w:val="1"/>
          <w:bCs w:val="1"/>
          <w:color w:val="auto"/>
        </w:rPr>
        <w:t>ELIGIBILITY</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All Awards may be granted only to Eligible Employees, subject to the limitations described herein. No Eligible Employee shall have any right to be granted an Award pursuant to the Plan and neither the Company nor the Administrator is obligated to treat Eligible</w:t>
      </w:r>
    </w:p>
    <w:p>
      <w:pPr>
        <w:spacing w:after="0"/>
        <w:rPr>
          <w:sz w:val="20"/>
          <w:szCs w:val="20"/>
          <w:color w:val="auto"/>
        </w:rPr>
      </w:pPr>
      <w:r>
        <w:rPr>
          <w:rFonts w:ascii="Arial" w:cs="Arial" w:eastAsia="Arial" w:hAnsi="Arial"/>
          <w:sz w:val="20"/>
          <w:szCs w:val="20"/>
          <w:color w:val="auto"/>
        </w:rPr>
        <w:t>Employees, Participants or any other persons uniformly.</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IV.</w:t>
      </w:r>
    </w:p>
    <w:p>
      <w:pPr>
        <w:jc w:val="center"/>
        <w:spacing w:after="0"/>
        <w:rPr>
          <w:sz w:val="20"/>
          <w:szCs w:val="20"/>
          <w:color w:val="auto"/>
        </w:rPr>
      </w:pPr>
      <w:r>
        <w:rPr>
          <w:rFonts w:ascii="Arial" w:cs="Arial" w:eastAsia="Arial" w:hAnsi="Arial"/>
          <w:sz w:val="20"/>
          <w:szCs w:val="20"/>
          <w:b w:val="1"/>
          <w:bCs w:val="1"/>
          <w:color w:val="auto"/>
        </w:rPr>
        <w:t>ADMINISTRATION AND DELEGATION</w:t>
      </w:r>
    </w:p>
    <w:p>
      <w:pPr>
        <w:sectPr>
          <w:pgSz w:w="11900" w:h="16838" w:orient="portrait"/>
          <w:cols w:equalWidth="0" w:num="1">
            <w:col w:w="11240"/>
          </w:cols>
          <w:pgMar w:left="320" w:top="1394" w:right="339" w:bottom="1440" w:gutter="0" w:footer="0" w:header="0"/>
        </w:sectPr>
      </w:pPr>
    </w:p>
    <w:bookmarkStart w:id="130" w:name="page131"/>
    <w:bookmarkEnd w:id="130"/>
    <w:p>
      <w:pPr>
        <w:ind w:left="4"/>
        <w:spacing w:after="0"/>
        <w:tabs>
          <w:tab w:leader="none" w:pos="624"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u w:val="single" w:color="auto"/>
          <w:color w:val="auto"/>
        </w:rPr>
        <w:t>Administration</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jc w:val="both"/>
        <w:ind w:left="-656" w:firstLine="1304"/>
        <w:spacing w:after="0" w:line="223" w:lineRule="auto"/>
        <w:tabs>
          <w:tab w:leader="none" w:pos="1278"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Plan is administered by the Administrator. The Administrator has authority to determine which Eligible Employees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is entitled to, in good faith, rely or act upon any report or other information furnished to it, him or her by any officer or other Employee,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w:t>
      </w:r>
    </w:p>
    <w:p>
      <w:pPr>
        <w:spacing w:after="0" w:line="170" w:lineRule="exact"/>
        <w:rPr>
          <w:sz w:val="20"/>
          <w:szCs w:val="20"/>
          <w:color w:val="auto"/>
        </w:rPr>
      </w:pPr>
    </w:p>
    <w:p>
      <w:pPr>
        <w:jc w:val="both"/>
        <w:ind w:left="-656" w:firstLine="1304"/>
        <w:spacing w:after="0" w:line="220" w:lineRule="auto"/>
        <w:tabs>
          <w:tab w:leader="none" w:pos="1278" w:val="left"/>
        </w:tabs>
        <w:numPr>
          <w:ilvl w:val="0"/>
          <w:numId w:val="90"/>
        </w:numPr>
        <w:rPr>
          <w:rFonts w:ascii="Arial" w:cs="Arial" w:eastAsia="Arial" w:hAnsi="Arial"/>
          <w:sz w:val="19"/>
          <w:szCs w:val="19"/>
          <w:color w:val="auto"/>
        </w:rPr>
      </w:pPr>
      <w:r>
        <w:rPr>
          <w:rFonts w:ascii="Arial" w:cs="Arial" w:eastAsia="Arial" w:hAnsi="Arial"/>
          <w:sz w:val="19"/>
          <w:szCs w:val="19"/>
          <w:color w:val="auto"/>
        </w:rPr>
        <w:t>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Award may be settled in, or the exercise price of an Award may be paid in cash, Shares, or other property, or an Award may be canceled, forfeited, or surrendered; and (vi) make all other determinations necessary or advisable for the administration of this Plan, including imposing, incidental to the grant of an Award, conditions with respect to the Award, including procedures to ensure that an Employee is eligible to participate in the Plan prior to the granting of any awards to such Employee under the Plan (including, without limitation, a requirement, if any, that each such Employee certify to the Company prior to the receipt of an award under the Plan that he or she has not been previously employed by the Company or a Subsidiary, or if previously employed, has had a bona fide period of non-employment, and that the grant of an award under the Plan is an inducement material to his or her agreement to enter into employment with the Company or a Subsidiary).</w:t>
      </w:r>
    </w:p>
    <w:p>
      <w:pPr>
        <w:spacing w:after="0" w:line="168" w:lineRule="exact"/>
        <w:rPr>
          <w:sz w:val="20"/>
          <w:szCs w:val="20"/>
          <w:color w:val="auto"/>
        </w:rPr>
      </w:pPr>
    </w:p>
    <w:p>
      <w:pPr>
        <w:ind w:left="4344"/>
        <w:spacing w:after="0"/>
        <w:rPr>
          <w:sz w:val="20"/>
          <w:szCs w:val="20"/>
          <w:color w:val="auto"/>
        </w:rPr>
      </w:pPr>
      <w:r>
        <w:rPr>
          <w:rFonts w:ascii="Arial" w:cs="Arial" w:eastAsia="Arial" w:hAnsi="Arial"/>
          <w:sz w:val="20"/>
          <w:szCs w:val="20"/>
          <w:b w:val="1"/>
          <w:bCs w:val="1"/>
          <w:color w:val="auto"/>
        </w:rPr>
        <w:t>ARTICLE V.</w:t>
      </w:r>
    </w:p>
    <w:p>
      <w:pPr>
        <w:ind w:left="3364"/>
        <w:spacing w:after="0"/>
        <w:rPr>
          <w:sz w:val="20"/>
          <w:szCs w:val="20"/>
          <w:color w:val="auto"/>
        </w:rPr>
      </w:pPr>
      <w:r>
        <w:rPr>
          <w:rFonts w:ascii="Arial" w:cs="Arial" w:eastAsia="Arial" w:hAnsi="Arial"/>
          <w:sz w:val="20"/>
          <w:szCs w:val="20"/>
          <w:b w:val="1"/>
          <w:bCs w:val="1"/>
          <w:color w:val="auto"/>
        </w:rPr>
        <w:t>STOCK AVAILABLE FOR AWARDS</w:t>
      </w:r>
    </w:p>
    <w:p>
      <w:pPr>
        <w:spacing w:after="0" w:line="159"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u w:val="single" w:color="auto"/>
          <w:color w:val="auto"/>
        </w:rPr>
        <w:t>Number of Shares</w:t>
      </w:r>
    </w:p>
    <w:p>
      <w:pPr>
        <w:spacing w:after="0" w:line="189" w:lineRule="exact"/>
        <w:rPr>
          <w:sz w:val="20"/>
          <w:szCs w:val="20"/>
          <w:color w:val="auto"/>
        </w:rPr>
      </w:pPr>
    </w:p>
    <w:p>
      <w:pPr>
        <w:jc w:val="both"/>
        <w:ind w:left="-656" w:firstLine="656"/>
        <w:spacing w:after="0" w:line="223" w:lineRule="auto"/>
        <w:tabs>
          <w:tab w:leader="none" w:pos="91" w:val="left"/>
        </w:tabs>
        <w:numPr>
          <w:ilvl w:val="0"/>
          <w:numId w:val="91"/>
        </w:numPr>
        <w:rPr>
          <w:rFonts w:ascii="Arial" w:cs="Arial" w:eastAsia="Arial" w:hAnsi="Arial"/>
          <w:sz w:val="20"/>
          <w:szCs w:val="20"/>
          <w:color w:val="auto"/>
        </w:rPr>
      </w:pPr>
      <w:r>
        <w:rPr>
          <w:rFonts w:ascii="Arial" w:cs="Arial" w:eastAsia="Arial" w:hAnsi="Arial"/>
          <w:sz w:val="20"/>
          <w:szCs w:val="20"/>
          <w:color w:val="auto"/>
        </w:rPr>
        <w:t>Subject to adjustment under Article IX and the terms of this Article V, Awards may be made under the Plan with the total number of Shares reserved and available for grant and issuance pursuant to this Plan as of the date of adoption of the Plan by the Board is 2,000,000 Shares.</w:t>
      </w:r>
    </w:p>
    <w:p>
      <w:pPr>
        <w:spacing w:after="0" w:line="169"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Share Recycling</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jc w:val="both"/>
        <w:ind w:left="-656" w:firstLine="1304"/>
        <w:spacing w:after="0" w:line="217" w:lineRule="auto"/>
        <w:tabs>
          <w:tab w:leader="none" w:pos="1278" w:val="left"/>
        </w:tabs>
        <w:numPr>
          <w:ilvl w:val="0"/>
          <w:numId w:val="92"/>
        </w:numPr>
        <w:rPr>
          <w:rFonts w:ascii="Arial" w:cs="Arial" w:eastAsia="Arial" w:hAnsi="Arial"/>
          <w:sz w:val="20"/>
          <w:szCs w:val="20"/>
          <w:color w:val="auto"/>
        </w:rPr>
      </w:pPr>
      <w:r>
        <w:rPr>
          <w:rFonts w:ascii="Arial" w:cs="Arial" w:eastAsia="Arial" w:hAnsi="Arial"/>
          <w:sz w:val="20"/>
          <w:szCs w:val="20"/>
          <w:color w:val="auto"/>
        </w:rPr>
        <w:t>If all or any part of an Award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as applicable, become or again be available, in each case, as Common Stock for Awards under the</w:t>
      </w:r>
    </w:p>
    <w:p>
      <w:pPr>
        <w:sectPr>
          <w:pgSz w:w="11900" w:h="16838" w:orient="portrait"/>
          <w:cols w:equalWidth="0" w:num="1">
            <w:col w:w="10584"/>
          </w:cols>
          <w:pgMar w:left="976" w:top="1405" w:right="339" w:bottom="1440" w:gutter="0" w:footer="0" w:header="0"/>
        </w:sectPr>
      </w:pPr>
    </w:p>
    <w:bookmarkStart w:id="131" w:name="page132"/>
    <w:bookmarkEnd w:id="131"/>
    <w:p>
      <w:pPr>
        <w:ind w:right="20"/>
        <w:spacing w:after="0" w:line="236" w:lineRule="auto"/>
        <w:rPr>
          <w:sz w:val="20"/>
          <w:szCs w:val="20"/>
          <w:color w:val="auto"/>
        </w:rPr>
      </w:pPr>
      <w:r>
        <w:rPr>
          <w:rFonts w:ascii="Arial" w:cs="Arial" w:eastAsia="Arial" w:hAnsi="Arial"/>
          <w:sz w:val="20"/>
          <w:szCs w:val="20"/>
          <w:color w:val="auto"/>
        </w:rPr>
        <w:t>Plan. The payment of Dividend Equivalents in cash in conjunction with any outstanding Awards shall not count against the number of Shares available for issuance under the Plan.</w:t>
      </w:r>
    </w:p>
    <w:p>
      <w:pPr>
        <w:spacing w:after="0" w:line="155" w:lineRule="exact"/>
        <w:rPr>
          <w:sz w:val="20"/>
          <w:szCs w:val="20"/>
          <w:color w:val="auto"/>
        </w:rPr>
      </w:pPr>
    </w:p>
    <w:p>
      <w:pPr>
        <w:jc w:val="both"/>
        <w:ind w:firstLine="1304"/>
        <w:spacing w:after="0" w:line="231" w:lineRule="auto"/>
        <w:tabs>
          <w:tab w:leader="none" w:pos="1934"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addition, the following Shares shall be available for future grants of Awards: (i) Shares tendered by a Participant or withheld by the Company in payment of the exercise price of an Option; (ii) Shares tendered by the Participant or withheld by the Company to satisfy any tax withholding obligation with respect to an Award; and (iii) Shares subject to a Stock Appreciation Right that are not issued in connection with the stock settlement of the Stock Appreciation Right on exercise thereof.</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6"/>
          <w:szCs w:val="16"/>
          <w:u w:val="single" w:color="auto"/>
          <w:color w:val="auto"/>
        </w:rPr>
        <w:t>Substitute Awards</w:t>
      </w:r>
    </w:p>
    <w:p>
      <w:pPr>
        <w:spacing w:after="0" w:line="189" w:lineRule="exact"/>
        <w:rPr>
          <w:sz w:val="20"/>
          <w:szCs w:val="20"/>
          <w:color w:val="auto"/>
        </w:rPr>
      </w:pPr>
    </w:p>
    <w:p>
      <w:pPr>
        <w:jc w:val="both"/>
        <w:ind w:firstLine="656"/>
        <w:spacing w:after="0" w:line="233" w:lineRule="auto"/>
        <w:tabs>
          <w:tab w:leader="none" w:pos="7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connection with an entity’s merger or consolidation with the Company or any Subsidiary or the Company’s or any Subsidiary’s acquisition of an entity’s property or stock, the Administrator may grant Substitute Awards in respect of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reduce the number of Shares available for issuance under the Plan (nor shall Shares subject to a Substitute Award be added to the Shares available for Awards under the Plan as provided under Section 5.2 above). Additionally, in the event that a company acquired by the Company or any Subsidiary or with which the Company or any Subsidiary combines has shares available under a pre-existing plan and not adopted in contemplation of such acquisition or combination, the shares available for grant pursuant to the terms of such pre-existing plan (as appropriately adjusted to reflect the transaction) may be used for Awards under the Plan and shall not reduce the number of Shares available for issuance under the Plan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Employees prior to such acquisition or combination.</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VI.</w:t>
      </w:r>
    </w:p>
    <w:p>
      <w:pPr>
        <w:jc w:val="center"/>
        <w:spacing w:after="0"/>
        <w:rPr>
          <w:sz w:val="20"/>
          <w:szCs w:val="20"/>
          <w:color w:val="auto"/>
        </w:rPr>
      </w:pPr>
      <w:r>
        <w:rPr>
          <w:rFonts w:ascii="Arial" w:cs="Arial" w:eastAsia="Arial" w:hAnsi="Arial"/>
          <w:sz w:val="20"/>
          <w:szCs w:val="20"/>
          <w:b w:val="1"/>
          <w:bCs w:val="1"/>
          <w:color w:val="auto"/>
        </w:rPr>
        <w:t>STOCK OPTIONS AND STOCK APPRECIATION RIGHTS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General</w:t>
      </w:r>
    </w:p>
    <w:p>
      <w:pPr>
        <w:spacing w:after="0" w:line="189" w:lineRule="exact"/>
        <w:rPr>
          <w:sz w:val="20"/>
          <w:szCs w:val="20"/>
          <w:color w:val="auto"/>
        </w:rPr>
      </w:pPr>
    </w:p>
    <w:p>
      <w:pPr>
        <w:jc w:val="both"/>
        <w:ind w:firstLine="656"/>
        <w:spacing w:after="0" w:line="223" w:lineRule="auto"/>
        <w:tabs>
          <w:tab w:leader="none" w:pos="747"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Administrator may grant Options or Stock Appreciation Rights to one or more Eligible Employees,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(x) the excess, if any, of the Fair Market Value of one Share on the date of exercise over the exercise price per Share of the Stock Appreciation Right by (y)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Exercise Price</w:t>
      </w:r>
    </w:p>
    <w:p>
      <w:pPr>
        <w:spacing w:after="0" w:line="175" w:lineRule="exact"/>
        <w:rPr>
          <w:sz w:val="20"/>
          <w:szCs w:val="20"/>
          <w:color w:val="auto"/>
        </w:rPr>
      </w:pPr>
    </w:p>
    <w:p>
      <w:pPr>
        <w:jc w:val="both"/>
        <w:ind w:firstLine="656"/>
        <w:spacing w:after="0" w:line="217" w:lineRule="auto"/>
        <w:tabs>
          <w:tab w:leader="none" w:pos="747"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Administrator will establish each Option’s and Stock Appreciation Right’s exercise price and specify the exercise price in the Award Agreement. The exercise price will not be less than 100% of the Fair Market Value on the grant date of the Option or Stock Appreciation Right.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05" w:right="339" w:bottom="1440" w:gutter="0" w:footer="0" w:header="0"/>
        </w:sectPr>
      </w:pPr>
    </w:p>
    <w:bookmarkStart w:id="132" w:name="page133"/>
    <w:bookmarkEnd w:id="132"/>
    <w:p>
      <w:pPr>
        <w:ind w:left="4"/>
        <w:spacing w:after="0"/>
        <w:tabs>
          <w:tab w:leader="none" w:pos="624"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u w:val="single" w:color="auto"/>
          <w:color w:val="auto"/>
        </w:rPr>
        <w:t>Duration of Options</w:t>
      </w:r>
    </w:p>
    <w:p>
      <w:pPr>
        <w:spacing w:after="0" w:line="189" w:lineRule="exact"/>
        <w:rPr>
          <w:sz w:val="20"/>
          <w:szCs w:val="20"/>
          <w:color w:val="auto"/>
        </w:rPr>
      </w:pPr>
    </w:p>
    <w:p>
      <w:pPr>
        <w:jc w:val="both"/>
        <w:ind w:left="-656" w:firstLine="656"/>
        <w:spacing w:after="0" w:line="221" w:lineRule="auto"/>
        <w:tabs>
          <w:tab w:leader="none" w:pos="91" w:val="left"/>
        </w:tabs>
        <w:numPr>
          <w:ilvl w:val="0"/>
          <w:numId w:val="97"/>
        </w:numPr>
        <w:rPr>
          <w:rFonts w:ascii="Arial" w:cs="Arial" w:eastAsia="Arial" w:hAnsi="Arial"/>
          <w:sz w:val="19"/>
          <w:szCs w:val="19"/>
          <w:color w:val="auto"/>
        </w:rPr>
      </w:pPr>
      <w:r>
        <w:rPr>
          <w:rFonts w:ascii="Arial" w:cs="Arial" w:eastAsia="Arial" w:hAnsi="Arial"/>
          <w:sz w:val="19"/>
          <w:szCs w:val="19"/>
          <w:color w:val="auto"/>
        </w:rPr>
        <w:t>Each Option or Stock Appreciation Right will be exercisable at such times and as specified in the Award Agreement, provided that the term of an Option or Stock Appreciation Right will not exceed ten years; provided, further, that, unless otherwise determined by the Administrator or specified in the Award Agreement,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In addition, in no event shall an Option or Stock Appreciation Right granted to an Employee who is a non-exempt employee for purposes of overtime pay under the U.S. Fair Labor Standards Act of 1938 be exercisable earlier than six months after its date of grant.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p>
    <w:p>
      <w:pPr>
        <w:spacing w:after="0" w:line="166"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u w:val="single" w:color="auto"/>
          <w:color w:val="auto"/>
        </w:rPr>
        <w:t>Exercise</w:t>
      </w:r>
    </w:p>
    <w:p>
      <w:pPr>
        <w:spacing w:after="0" w:line="189" w:lineRule="exact"/>
        <w:rPr>
          <w:sz w:val="20"/>
          <w:szCs w:val="20"/>
          <w:color w:val="auto"/>
        </w:rPr>
      </w:pPr>
    </w:p>
    <w:p>
      <w:pPr>
        <w:jc w:val="both"/>
        <w:ind w:left="-656" w:firstLine="656"/>
        <w:spacing w:after="0" w:line="238" w:lineRule="auto"/>
        <w:tabs>
          <w:tab w:leader="none" w:pos="91" w:val="left"/>
        </w:tabs>
        <w:numPr>
          <w:ilvl w:val="0"/>
          <w:numId w:val="98"/>
        </w:numPr>
        <w:rPr>
          <w:rFonts w:ascii="Arial" w:cs="Arial" w:eastAsia="Arial" w:hAnsi="Arial"/>
          <w:sz w:val="18"/>
          <w:szCs w:val="18"/>
          <w:color w:val="auto"/>
        </w:rPr>
      </w:pPr>
      <w:r>
        <w:rPr>
          <w:rFonts w:ascii="Arial" w:cs="Arial" w:eastAsia="Arial" w:hAnsi="Arial"/>
          <w:sz w:val="18"/>
          <w:szCs w:val="18"/>
          <w:color w:val="auto"/>
        </w:rPr>
        <w:t>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(a) payment in full of the exercise price for the number of Shares for which the Option is exercised in a manner specified in Section 6.5 and (b) satisfaction in full of any withholding obligation for Tax-Related Items in a manner specified in Section 10.5. The Administrator may, in its discretion, limit exercise with respect to fractional Shares and require that any partial exercise of an Option or Stock Appreciation Right be with respect to a minimum number of Shares.</w:t>
      </w:r>
    </w:p>
    <w:p>
      <w:pPr>
        <w:spacing w:after="0" w:line="156"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Payment Upon Exercise</w:t>
      </w:r>
    </w:p>
    <w:p>
      <w:pPr>
        <w:spacing w:after="0" w:line="189" w:lineRule="exact"/>
        <w:rPr>
          <w:sz w:val="20"/>
          <w:szCs w:val="20"/>
          <w:color w:val="auto"/>
        </w:rPr>
      </w:pPr>
    </w:p>
    <w:p>
      <w:pPr>
        <w:ind w:left="-656" w:firstLine="656"/>
        <w:spacing w:after="0" w:line="236" w:lineRule="auto"/>
        <w:tabs>
          <w:tab w:leader="none" w:pos="104"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Administrator shall determine the methods by which payment of the exercise price of an Option shall be made, including, without limitation:</w:t>
      </w:r>
    </w:p>
    <w:p>
      <w:pPr>
        <w:spacing w:after="0" w:line="155" w:lineRule="exact"/>
        <w:rPr>
          <w:rFonts w:ascii="Arial" w:cs="Arial" w:eastAsia="Arial" w:hAnsi="Arial"/>
          <w:sz w:val="20"/>
          <w:szCs w:val="20"/>
          <w:color w:val="auto"/>
        </w:rPr>
      </w:pPr>
    </w:p>
    <w:p>
      <w:pPr>
        <w:ind w:left="-656" w:firstLine="1304"/>
        <w:spacing w:after="0" w:line="236" w:lineRule="auto"/>
        <w:tabs>
          <w:tab w:leader="none" w:pos="1278" w:val="left"/>
        </w:tabs>
        <w:numPr>
          <w:ilvl w:val="1"/>
          <w:numId w:val="99"/>
        </w:numPr>
        <w:rPr>
          <w:rFonts w:ascii="Arial" w:cs="Arial" w:eastAsia="Arial" w:hAnsi="Arial"/>
          <w:sz w:val="20"/>
          <w:szCs w:val="20"/>
          <w:color w:val="auto"/>
        </w:rPr>
      </w:pPr>
      <w:r>
        <w:rPr>
          <w:rFonts w:ascii="Arial" w:cs="Arial" w:eastAsia="Arial" w:hAnsi="Arial"/>
          <w:sz w:val="20"/>
          <w:szCs w:val="20"/>
          <w:color w:val="auto"/>
        </w:rPr>
        <w:t>Cash, check or wire transfer of immediately available funds; provided that the Company may limit the use of one of the foregoing methods if one or more of the methods below is permitted;</w:t>
      </w:r>
    </w:p>
    <w:p>
      <w:pPr>
        <w:spacing w:after="0" w:line="169" w:lineRule="exact"/>
        <w:rPr>
          <w:sz w:val="20"/>
          <w:szCs w:val="20"/>
          <w:color w:val="auto"/>
        </w:rPr>
      </w:pPr>
    </w:p>
    <w:p>
      <w:pPr>
        <w:jc w:val="both"/>
        <w:ind w:left="-656" w:firstLine="1304"/>
        <w:spacing w:after="0" w:line="225" w:lineRule="auto"/>
        <w:tabs>
          <w:tab w:leader="none" w:pos="127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spacing w:after="0" w:line="159" w:lineRule="exact"/>
        <w:rPr>
          <w:rFonts w:ascii="Arial" w:cs="Arial" w:eastAsia="Arial" w:hAnsi="Arial"/>
          <w:sz w:val="19"/>
          <w:szCs w:val="19"/>
          <w:color w:val="auto"/>
        </w:rPr>
      </w:pPr>
    </w:p>
    <w:p>
      <w:pPr>
        <w:ind w:left="-656" w:firstLine="1304"/>
        <w:spacing w:after="0" w:line="236" w:lineRule="auto"/>
        <w:tabs>
          <w:tab w:leader="none" w:pos="127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To the extent permitted by the Administrator, delivery (either by actual delivery or attestation) of Shares owned by the Participant valued at their Fair Market Value on the date of delivery;</w:t>
      </w:r>
    </w:p>
    <w:p>
      <w:pPr>
        <w:spacing w:after="0" w:line="169" w:lineRule="exact"/>
        <w:rPr>
          <w:sz w:val="20"/>
          <w:szCs w:val="20"/>
          <w:color w:val="auto"/>
        </w:rPr>
      </w:pPr>
    </w:p>
    <w:p>
      <w:pPr>
        <w:ind w:left="-656" w:firstLine="1304"/>
        <w:spacing w:after="0" w:line="229" w:lineRule="auto"/>
        <w:tabs>
          <w:tab w:leader="none" w:pos="127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To the extent permitted by the Administrator, surrendering Shares then issuable upon the Option’s exercise valued at their Fair Market Value on the exercise date;</w:t>
      </w:r>
    </w:p>
    <w:p>
      <w:pPr>
        <w:sectPr>
          <w:pgSz w:w="11900" w:h="16838" w:orient="portrait"/>
          <w:cols w:equalWidth="0" w:num="1">
            <w:col w:w="10584"/>
          </w:cols>
          <w:pgMar w:left="976" w:top="1405" w:right="339" w:bottom="1440" w:gutter="0" w:footer="0" w:header="0"/>
        </w:sectPr>
      </w:pPr>
    </w:p>
    <w:bookmarkStart w:id="133" w:name="page134"/>
    <w:bookmarkEnd w:id="133"/>
    <w:p>
      <w:pPr>
        <w:ind w:left="1940" w:hanging="636"/>
        <w:spacing w:after="0"/>
        <w:tabs>
          <w:tab w:leader="none" w:pos="19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To the extent permitted by the Administrator, delivery of a promissory note or any other lawful consideration; or</w:t>
      </w:r>
    </w:p>
    <w:p>
      <w:pPr>
        <w:spacing w:after="0" w:line="200" w:lineRule="exact"/>
        <w:rPr>
          <w:sz w:val="20"/>
          <w:szCs w:val="20"/>
          <w:color w:val="auto"/>
        </w:rPr>
      </w:pPr>
    </w:p>
    <w:p>
      <w:pPr>
        <w:ind w:left="1940" w:hanging="636"/>
        <w:spacing w:after="0"/>
        <w:tabs>
          <w:tab w:leader="none" w:pos="19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To the extent permitted by the Administrator, any combination of the above payment forms.</w:t>
      </w:r>
    </w:p>
    <w:p>
      <w:pPr>
        <w:spacing w:after="0" w:line="164"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ARTICLE VII.</w:t>
      </w:r>
    </w:p>
    <w:p>
      <w:pPr>
        <w:ind w:left="3220"/>
        <w:spacing w:after="0"/>
        <w:rPr>
          <w:sz w:val="20"/>
          <w:szCs w:val="20"/>
          <w:color w:val="auto"/>
        </w:rPr>
      </w:pPr>
      <w:r>
        <w:rPr>
          <w:rFonts w:ascii="Arial" w:cs="Arial" w:eastAsia="Arial" w:hAnsi="Arial"/>
          <w:sz w:val="20"/>
          <w:szCs w:val="20"/>
          <w:b w:val="1"/>
          <w:bCs w:val="1"/>
          <w:color w:val="auto"/>
        </w:rPr>
        <w:t>RESTRICTED STOCK; RESTRICTED STOCK UNITS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u w:val="single" w:color="auto"/>
          <w:color w:val="auto"/>
        </w:rPr>
        <w:t>General</w:t>
      </w:r>
    </w:p>
    <w:p>
      <w:pPr>
        <w:spacing w:after="0" w:line="175" w:lineRule="exact"/>
        <w:rPr>
          <w:sz w:val="20"/>
          <w:szCs w:val="20"/>
          <w:color w:val="auto"/>
        </w:rPr>
      </w:pPr>
    </w:p>
    <w:p>
      <w:pPr>
        <w:jc w:val="both"/>
        <w:ind w:firstLine="656"/>
        <w:spacing w:after="0" w:line="235" w:lineRule="auto"/>
        <w:tabs>
          <w:tab w:leader="none" w:pos="77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Administrator may grant Restricted Stock, or the right to purchase Restricted Stock, to any Eligible Employee, subject to forfeiture or the Company’s right to repurchase all or part of the underlying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Eligible Employees. The Administrator shall establish the purchase price, if any, and form of payment for Restricted Stock and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Award of Restricted Stock and Restricted Stock Units shall set forth the terms and conditions not inconsistent with the Plan as the Administrator shall determine.</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Restricted Stock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jc w:val="both"/>
        <w:ind w:firstLine="1304"/>
        <w:spacing w:after="0" w:line="237" w:lineRule="auto"/>
        <w:tabs>
          <w:tab w:leader="none" w:pos="1934"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Stockholder Rights</w:t>
      </w:r>
      <w:r>
        <w:rPr>
          <w:rFonts w:ascii="Arial" w:cs="Arial" w:eastAsia="Arial" w:hAnsi="Arial"/>
          <w:sz w:val="18"/>
          <w:szCs w:val="18"/>
          <w:color w:val="auto"/>
        </w:rPr>
        <w:t>. Unless otherwise determined by the Administrator, each Participant holding Shares of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will be entitled to all the rights of a stockholder with respect 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spacing w:after="0" w:line="160" w:lineRule="exact"/>
        <w:rPr>
          <w:sz w:val="20"/>
          <w:szCs w:val="20"/>
          <w:color w:val="auto"/>
        </w:rPr>
      </w:pPr>
    </w:p>
    <w:p>
      <w:pPr>
        <w:ind w:firstLine="1304"/>
        <w:spacing w:after="0" w:line="257" w:lineRule="auto"/>
        <w:tabs>
          <w:tab w:leader="none" w:pos="1934" w:val="left"/>
        </w:tabs>
        <w:numPr>
          <w:ilvl w:val="0"/>
          <w:numId w:val="106"/>
        </w:numPr>
        <w:rPr>
          <w:rFonts w:ascii="Arial" w:cs="Arial" w:eastAsia="Arial" w:hAnsi="Arial"/>
          <w:sz w:val="19"/>
          <w:szCs w:val="19"/>
          <w:color w:val="auto"/>
        </w:rPr>
      </w:pPr>
      <w:r>
        <w:rPr>
          <w:rFonts w:ascii="Arial" w:cs="Arial" w:eastAsia="Arial" w:hAnsi="Arial"/>
          <w:sz w:val="19"/>
          <w:szCs w:val="19"/>
          <w:i w:val="1"/>
          <w:iCs w:val="1"/>
          <w:color w:val="auto"/>
        </w:rPr>
        <w:t>Stock Certificates</w:t>
      </w:r>
      <w:r>
        <w:rPr>
          <w:rFonts w:ascii="Arial" w:cs="Arial" w:eastAsia="Arial" w:hAnsi="Arial"/>
          <w:sz w:val="19"/>
          <w:szCs w:val="19"/>
          <w:color w:val="auto"/>
        </w:rPr>
        <w:t>. The Company may require that the Participant deposit in escrow with the Company (or its</w:t>
      </w:r>
      <w:r>
        <w:rPr>
          <w:rFonts w:ascii="Arial" w:cs="Arial" w:eastAsia="Arial" w:hAnsi="Arial"/>
          <w:sz w:val="19"/>
          <w:szCs w:val="19"/>
          <w:i w:val="1"/>
          <w:iCs w:val="1"/>
          <w:color w:val="auto"/>
        </w:rPr>
        <w:t xml:space="preserve"> </w:t>
      </w:r>
      <w:r>
        <w:rPr>
          <w:rFonts w:ascii="Arial" w:cs="Arial" w:eastAsia="Arial" w:hAnsi="Arial"/>
          <w:sz w:val="19"/>
          <w:szCs w:val="19"/>
          <w:color w:val="auto"/>
        </w:rPr>
        <w:t>designee) any stock certificates issued in respect of Shares of Restricted Stock, together with a stock power endorsed in blank.</w:t>
      </w:r>
    </w:p>
    <w:p>
      <w:pPr>
        <w:spacing w:after="0" w:line="153" w:lineRule="exact"/>
        <w:rPr>
          <w:sz w:val="20"/>
          <w:szCs w:val="20"/>
          <w:color w:val="auto"/>
        </w:rPr>
      </w:pPr>
    </w:p>
    <w:p>
      <w:pPr>
        <w:jc w:val="both"/>
        <w:ind w:firstLine="1304"/>
        <w:spacing w:after="0" w:line="246" w:lineRule="auto"/>
        <w:tabs>
          <w:tab w:leader="none" w:pos="1934"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Section 83(b) Election</w:t>
      </w:r>
      <w:r>
        <w:rPr>
          <w:rFonts w:ascii="Arial" w:cs="Arial" w:eastAsia="Arial" w:hAnsi="Arial"/>
          <w:sz w:val="18"/>
          <w:szCs w:val="18"/>
          <w:color w:val="auto"/>
        </w:rPr>
        <w:t>. If a Participant makes an election under Section 83(b) of the Code to be taxed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Restricted 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w:t>
      </w:r>
    </w:p>
    <w:p>
      <w:pPr>
        <w:spacing w:after="0" w:line="150"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Restricted Stock Units</w:t>
      </w:r>
      <w:r>
        <w:rPr>
          <w:rFonts w:ascii="Arial" w:cs="Arial" w:eastAsia="Arial" w:hAnsi="Arial"/>
          <w:sz w:val="19"/>
          <w:szCs w:val="19"/>
          <w:color w:val="auto"/>
        </w:rPr>
        <w:t>. The Administrator may provide that settlement of Restricted Stock Units will occur upon or as soon as reasonably practicable after the Restricted Stock Units vest or will instead be deferred, on a mandatory basis or at the Participant’s</w:t>
      </w:r>
    </w:p>
    <w:p>
      <w:pPr>
        <w:spacing w:after="0" w:line="220" w:lineRule="auto"/>
        <w:rPr>
          <w:sz w:val="20"/>
          <w:szCs w:val="20"/>
          <w:color w:val="auto"/>
        </w:rPr>
      </w:pPr>
      <w:r>
        <w:rPr>
          <w:rFonts w:ascii="Arial" w:cs="Arial" w:eastAsia="Arial" w:hAnsi="Arial"/>
          <w:sz w:val="20"/>
          <w:szCs w:val="20"/>
          <w:color w:val="auto"/>
        </w:rPr>
        <w:t>election, subject to compliance with Applicable Law. A Participant holding Restricted Stock Units will have only the rights of a general unsecured creditor of the Company (solely to the extent of any rights then applicable to Participant with</w:t>
      </w:r>
    </w:p>
    <w:p>
      <w:pPr>
        <w:sectPr>
          <w:pgSz w:w="11900" w:h="16838" w:orient="portrait"/>
          <w:cols w:equalWidth="0" w:num="1">
            <w:col w:w="11240"/>
          </w:cols>
          <w:pgMar w:left="320" w:top="1405" w:right="339" w:bottom="1440" w:gutter="0" w:footer="0" w:header="0"/>
        </w:sectPr>
      </w:pPr>
    </w:p>
    <w:bookmarkStart w:id="134" w:name="page135"/>
    <w:bookmarkEnd w:id="134"/>
    <w:p>
      <w:pPr>
        <w:spacing w:after="0" w:line="236" w:lineRule="auto"/>
        <w:rPr>
          <w:sz w:val="20"/>
          <w:szCs w:val="20"/>
          <w:color w:val="auto"/>
        </w:rPr>
      </w:pPr>
      <w:r>
        <w:rPr>
          <w:rFonts w:ascii="Arial" w:cs="Arial" w:eastAsia="Arial" w:hAnsi="Arial"/>
          <w:sz w:val="20"/>
          <w:szCs w:val="20"/>
          <w:color w:val="auto"/>
        </w:rPr>
        <w:t>respect to such Restricted Stock Units) until delivery of Shares, cash or other securities or property is made as specified in the applicable Award Agreement.</w:t>
      </w:r>
    </w:p>
    <w:p>
      <w:pPr>
        <w:spacing w:after="0" w:line="144"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ARTICLE VIII.</w:t>
      </w:r>
    </w:p>
    <w:p>
      <w:pPr>
        <w:ind w:left="4320"/>
        <w:spacing w:after="0"/>
        <w:rPr>
          <w:sz w:val="20"/>
          <w:szCs w:val="20"/>
          <w:color w:val="auto"/>
        </w:rPr>
      </w:pPr>
      <w:r>
        <w:rPr>
          <w:rFonts w:ascii="Arial" w:cs="Arial" w:eastAsia="Arial" w:hAnsi="Arial"/>
          <w:sz w:val="20"/>
          <w:szCs w:val="20"/>
          <w:b w:val="1"/>
          <w:bCs w:val="1"/>
          <w:color w:val="auto"/>
        </w:rPr>
        <w:t>OTHER TYPES OF AWARDS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u w:val="single" w:color="auto"/>
          <w:color w:val="auto"/>
        </w:rPr>
        <w:t>General</w:t>
      </w:r>
    </w:p>
    <w:p>
      <w:pPr>
        <w:spacing w:after="0" w:line="175" w:lineRule="exact"/>
        <w:rPr>
          <w:sz w:val="20"/>
          <w:szCs w:val="20"/>
          <w:color w:val="auto"/>
        </w:rPr>
      </w:pPr>
    </w:p>
    <w:p>
      <w:pPr>
        <w:jc w:val="both"/>
        <w:ind w:firstLine="656"/>
        <w:spacing w:after="0" w:line="227" w:lineRule="auto"/>
        <w:tabs>
          <w:tab w:leader="none" w:pos="74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Administrator may grant Performance Stock Unit awards, Performance Bonus Awards, Dividend Equivalents or Other Stock or Cash Based Awards, to one or more Eligible Employees, in such amounts and subject to such terms and conditions not inconsistent with the Plan as the Administrator shall determine.</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u w:val="single" w:color="auto"/>
          <w:color w:val="auto"/>
        </w:rPr>
        <w:t>Performance Stock Unit Awards</w:t>
      </w:r>
    </w:p>
    <w:p>
      <w:pPr>
        <w:spacing w:after="0" w:line="189" w:lineRule="exact"/>
        <w:rPr>
          <w:sz w:val="20"/>
          <w:szCs w:val="20"/>
          <w:color w:val="auto"/>
        </w:rPr>
      </w:pPr>
    </w:p>
    <w:p>
      <w:pPr>
        <w:jc w:val="both"/>
        <w:ind w:firstLine="656"/>
        <w:spacing w:after="0" w:line="243" w:lineRule="auto"/>
        <w:tabs>
          <w:tab w:leader="none" w:pos="7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u w:val="single" w:color="auto"/>
          <w:color w:val="auto"/>
        </w:rPr>
        <w:t>Performance Bonus Awards</w:t>
      </w:r>
    </w:p>
    <w:p>
      <w:pPr>
        <w:spacing w:after="0" w:line="189" w:lineRule="exact"/>
        <w:rPr>
          <w:sz w:val="20"/>
          <w:szCs w:val="20"/>
          <w:color w:val="auto"/>
        </w:rPr>
      </w:pPr>
    </w:p>
    <w:p>
      <w:pPr>
        <w:jc w:val="both"/>
        <w:ind w:firstLine="656"/>
        <w:spacing w:after="0" w:line="246" w:lineRule="auto"/>
        <w:tabs>
          <w:tab w:leader="none" w:pos="7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right to receive a bonus granted under this Section 8.3 shall be denominated in the form of cash (but may be payable in cash, stock or a combination thereof) (a “</w:t>
      </w:r>
      <w:r>
        <w:rPr>
          <w:rFonts w:ascii="Arial" w:cs="Arial" w:eastAsia="Arial" w:hAnsi="Arial"/>
          <w:sz w:val="18"/>
          <w:szCs w:val="18"/>
          <w:b w:val="1"/>
          <w:bCs w:val="1"/>
          <w:i w:val="1"/>
          <w:iCs w:val="1"/>
          <w:color w:val="auto"/>
        </w:rPr>
        <w:t>Performance Bonus Award</w:t>
      </w:r>
      <w:r>
        <w:rPr>
          <w:rFonts w:ascii="Arial" w:cs="Arial" w:eastAsia="Arial" w:hAnsi="Arial"/>
          <w:sz w:val="18"/>
          <w:szCs w:val="18"/>
          <w:color w:val="auto"/>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Dividend Equivalents</w:t>
      </w:r>
    </w:p>
    <w:p>
      <w:pPr>
        <w:spacing w:after="0" w:line="189" w:lineRule="exact"/>
        <w:rPr>
          <w:sz w:val="20"/>
          <w:szCs w:val="20"/>
          <w:color w:val="auto"/>
        </w:rPr>
      </w:pPr>
    </w:p>
    <w:p>
      <w:pPr>
        <w:jc w:val="both"/>
        <w:ind w:firstLine="656"/>
        <w:spacing w:after="0" w:line="225" w:lineRule="auto"/>
        <w:tabs>
          <w:tab w:leader="none" w:pos="74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(a) to the extent permitted by Applicable Law, not be paid or credited or (b) be accumulated and subject to vesting to the same extent as the related Award. All such Dividend Equivalents shall be paid at such time as the Administrator shall specify in the applicable Award Agreement or as determined by the Administrator in the event not specified in such Award Agreement.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u w:val="single" w:color="auto"/>
          <w:color w:val="auto"/>
        </w:rPr>
        <w:t>Other Stock or Cash Based Awards</w:t>
      </w:r>
    </w:p>
    <w:p>
      <w:pPr>
        <w:spacing w:after="0" w:line="189" w:lineRule="exact"/>
        <w:rPr>
          <w:sz w:val="20"/>
          <w:szCs w:val="20"/>
          <w:color w:val="auto"/>
        </w:rPr>
      </w:pPr>
    </w:p>
    <w:p>
      <w:pPr>
        <w:jc w:val="both"/>
        <w:ind w:firstLine="656"/>
        <w:spacing w:after="0" w:line="271" w:lineRule="auto"/>
        <w:tabs>
          <w:tab w:leader="none" w:pos="74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subject to compliance with Section 409A.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05" w:right="339" w:bottom="1440" w:gutter="0" w:footer="0" w:header="0"/>
        </w:sectPr>
      </w:pPr>
    </w:p>
    <w:bookmarkStart w:id="135" w:name="page136"/>
    <w:bookmarkEnd w:id="135"/>
    <w:p>
      <w:pPr>
        <w:spacing w:after="0" w:line="257" w:lineRule="auto"/>
        <w:rPr>
          <w:sz w:val="20"/>
          <w:szCs w:val="20"/>
          <w:color w:val="auto"/>
        </w:rPr>
      </w:pPr>
      <w:r>
        <w:rPr>
          <w:rFonts w:ascii="Arial" w:cs="Arial" w:eastAsia="Arial" w:hAnsi="Arial"/>
          <w:sz w:val="19"/>
          <w:szCs w:val="19"/>
          <w:color w:val="auto"/>
        </w:rPr>
        <w:t>under Article IX, dividends that are paid prior to vesting of any Other Stock or Cash Based Award shall only be paid to the applicable Participant to the extent that the vesting conditions are subsequently satisfied and the Other Stock or Cash Based Award vests.</w:t>
      </w:r>
    </w:p>
    <w:p>
      <w:pPr>
        <w:spacing w:after="0" w:line="128"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IX.</w:t>
      </w:r>
    </w:p>
    <w:p>
      <w:pPr>
        <w:jc w:val="center"/>
        <w:ind w:right="40"/>
        <w:spacing w:after="0" w:line="211" w:lineRule="auto"/>
        <w:rPr>
          <w:sz w:val="20"/>
          <w:szCs w:val="20"/>
          <w:color w:val="auto"/>
        </w:rPr>
      </w:pPr>
      <w:r>
        <w:rPr>
          <w:rFonts w:ascii="Arial" w:cs="Arial" w:eastAsia="Arial" w:hAnsi="Arial"/>
          <w:sz w:val="20"/>
          <w:szCs w:val="20"/>
          <w:b w:val="1"/>
          <w:bCs w:val="1"/>
          <w:color w:val="auto"/>
        </w:rPr>
        <w:t>ADJUSTMENTS FOR CHANGES IN COMMON STOCK</w:t>
      </w:r>
    </w:p>
    <w:p>
      <w:pPr>
        <w:jc w:val="center"/>
        <w:spacing w:after="0"/>
        <w:rPr>
          <w:sz w:val="20"/>
          <w:szCs w:val="20"/>
          <w:color w:val="auto"/>
        </w:rPr>
      </w:pPr>
      <w:r>
        <w:rPr>
          <w:rFonts w:ascii="Arial" w:cs="Arial" w:eastAsia="Arial" w:hAnsi="Arial"/>
          <w:sz w:val="20"/>
          <w:szCs w:val="20"/>
          <w:b w:val="1"/>
          <w:bCs w:val="1"/>
          <w:color w:val="auto"/>
        </w:rPr>
        <w:t>AND CERTAIN OTHER EVENTS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u w:val="single" w:color="auto"/>
          <w:color w:val="auto"/>
        </w:rPr>
        <w:t>Equity Restructuring</w:t>
      </w:r>
    </w:p>
    <w:p>
      <w:pPr>
        <w:spacing w:after="0" w:line="189" w:lineRule="exact"/>
        <w:rPr>
          <w:sz w:val="20"/>
          <w:szCs w:val="20"/>
          <w:color w:val="auto"/>
        </w:rPr>
      </w:pPr>
    </w:p>
    <w:p>
      <w:pPr>
        <w:jc w:val="both"/>
        <w:ind w:firstLine="1304"/>
        <w:spacing w:after="0" w:line="237" w:lineRule="auto"/>
        <w:tabs>
          <w:tab w:leader="none" w:pos="193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(i) adjusting the number and type of securities subject to each outstanding Award or with respect to which Awards may be granted under the Plan (including, but not limited to, adjustments of the limitations in Article V hereof on the maximum number and kind of shares that may be issued); (ii) adjusting the terms and conditions of (including the grant or exercise price), and the performance goals or other criteria included in, outstanding Awards; and (iii)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u w:val="single" w:color="auto"/>
          <w:color w:val="auto"/>
        </w:rPr>
        <w:t>Corporate Transactions</w:t>
      </w:r>
    </w:p>
    <w:p>
      <w:pPr>
        <w:spacing w:after="0" w:line="189" w:lineRule="exact"/>
        <w:rPr>
          <w:sz w:val="20"/>
          <w:szCs w:val="20"/>
          <w:color w:val="auto"/>
        </w:rPr>
      </w:pPr>
    </w:p>
    <w:p>
      <w:pPr>
        <w:jc w:val="both"/>
        <w:ind w:firstLine="656"/>
        <w:spacing w:after="0" w:line="234" w:lineRule="auto"/>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of any extraordinary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w:t>
      </w:r>
    </w:p>
    <w:p>
      <w:pPr>
        <w:spacing w:after="0" w:line="170" w:lineRule="exact"/>
        <w:rPr>
          <w:rFonts w:ascii="Arial" w:cs="Arial" w:eastAsia="Arial" w:hAnsi="Arial"/>
          <w:sz w:val="18"/>
          <w:szCs w:val="18"/>
          <w:color w:val="auto"/>
        </w:rPr>
      </w:pPr>
    </w:p>
    <w:p>
      <w:pPr>
        <w:jc w:val="both"/>
        <w:ind w:firstLine="1304"/>
        <w:spacing w:after="0" w:line="239" w:lineRule="auto"/>
        <w:tabs>
          <w:tab w:leader="none" w:pos="193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in each case as of the date of such cancellation;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71" w:lineRule="exact"/>
        <w:rPr>
          <w:sz w:val="20"/>
          <w:szCs w:val="20"/>
          <w:color w:val="auto"/>
        </w:rPr>
      </w:pPr>
    </w:p>
    <w:p>
      <w:pPr>
        <w:ind w:firstLine="1304"/>
        <w:spacing w:after="0" w:line="236" w:lineRule="auto"/>
        <w:tabs>
          <w:tab w:leader="none" w:pos="1934"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To provide that such Award shall vest and, to the extent applicable, be exercisable as to all Shares (or other property) covered thereby, notwithstanding anything to the contrary in the Plan or the provisions of such Award;</w:t>
      </w:r>
    </w:p>
    <w:p>
      <w:pPr>
        <w:spacing w:after="0" w:line="155" w:lineRule="exact"/>
        <w:rPr>
          <w:rFonts w:ascii="Arial" w:cs="Arial" w:eastAsia="Arial" w:hAnsi="Arial"/>
          <w:sz w:val="20"/>
          <w:szCs w:val="20"/>
          <w:color w:val="auto"/>
        </w:rPr>
      </w:pPr>
    </w:p>
    <w:p>
      <w:pPr>
        <w:jc w:val="both"/>
        <w:ind w:firstLine="1304"/>
        <w:spacing w:after="0" w:line="220" w:lineRule="auto"/>
        <w:tabs>
          <w:tab w:leader="none" w:pos="1932"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05" w:right="339" w:bottom="1440" w:gutter="0" w:footer="0" w:header="0"/>
        </w:sectPr>
      </w:pPr>
    </w:p>
    <w:bookmarkStart w:id="136" w:name="page137"/>
    <w:bookmarkEnd w:id="136"/>
    <w:p>
      <w:pPr>
        <w:jc w:val="both"/>
        <w:ind w:left="-656" w:firstLine="1304"/>
        <w:spacing w:after="0" w:line="220" w:lineRule="auto"/>
        <w:tabs>
          <w:tab w:leader="none" w:pos="1276"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To make adjustments in the number and type of Shares (or other securities or property) subject to outstanding Awards or with respect to which Awards may be granted under the Plan (including, but not limited to, adjustments of the limitations in Article V hereof on the maximum number and kind of Shares which may be issued) or in the terms and conditions of (including the grant or exercise price), and the criteria included in, outstanding Awards;</w:t>
      </w:r>
    </w:p>
    <w:p>
      <w:pPr>
        <w:spacing w:after="0" w:line="169" w:lineRule="exact"/>
        <w:rPr>
          <w:sz w:val="20"/>
          <w:szCs w:val="20"/>
          <w:color w:val="auto"/>
        </w:rPr>
      </w:pPr>
    </w:p>
    <w:p>
      <w:pPr>
        <w:ind w:left="1284" w:hanging="636"/>
        <w:spacing w:after="0"/>
        <w:tabs>
          <w:tab w:leader="none" w:pos="128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To replace such Award with other rights or property selected by the Administrator; or</w:t>
      </w:r>
    </w:p>
    <w:p>
      <w:pPr>
        <w:spacing w:after="0" w:line="175" w:lineRule="exact"/>
        <w:rPr>
          <w:sz w:val="20"/>
          <w:szCs w:val="20"/>
          <w:color w:val="auto"/>
        </w:rPr>
      </w:pPr>
    </w:p>
    <w:p>
      <w:pPr>
        <w:ind w:left="4" w:right="80" w:firstLine="644"/>
        <w:spacing w:after="0" w:line="436" w:lineRule="auto"/>
        <w:tabs>
          <w:tab w:leader="none" w:pos="129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To provide that the Award will terminate and cannot vest, be exercised or become payable after the applicable event. 1.2 </w:t>
      </w:r>
      <w:r>
        <w:rPr>
          <w:rFonts w:ascii="Arial" w:cs="Arial" w:eastAsia="Arial" w:hAnsi="Arial"/>
          <w:sz w:val="20"/>
          <w:szCs w:val="20"/>
          <w:u w:val="single" w:color="auto"/>
          <w:color w:val="auto"/>
        </w:rPr>
        <w:t>Change in Control</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ind w:left="-656" w:firstLine="1304"/>
        <w:spacing w:after="0" w:line="238" w:lineRule="auto"/>
        <w:tabs>
          <w:tab w:leader="none" w:pos="127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Notwithstanding any other provision of the Plan, in the event of a Change in Control, unless the Administrator elects to (i) terminate an Award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172" w:lineRule="exact"/>
        <w:rPr>
          <w:sz w:val="20"/>
          <w:szCs w:val="20"/>
          <w:color w:val="auto"/>
        </w:rPr>
      </w:pPr>
    </w:p>
    <w:p>
      <w:pPr>
        <w:jc w:val="both"/>
        <w:ind w:left="-656" w:firstLine="1304"/>
        <w:spacing w:after="0" w:line="223" w:lineRule="auto"/>
        <w:tabs>
          <w:tab w:leader="none" w:pos="127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57" w:lineRule="exact"/>
        <w:rPr>
          <w:sz w:val="20"/>
          <w:szCs w:val="20"/>
          <w:color w:val="auto"/>
        </w:rPr>
      </w:pPr>
    </w:p>
    <w:p>
      <w:pPr>
        <w:jc w:val="both"/>
        <w:ind w:left="-656" w:firstLine="1304"/>
        <w:spacing w:after="0" w:line="228" w:lineRule="auto"/>
        <w:tabs>
          <w:tab w:leader="none" w:pos="1278" w:val="left"/>
        </w:tabs>
        <w:numPr>
          <w:ilvl w:val="0"/>
          <w:numId w:val="120"/>
        </w:numPr>
        <w:rPr>
          <w:rFonts w:ascii="Arial" w:cs="Arial" w:eastAsia="Arial" w:hAnsi="Arial"/>
          <w:sz w:val="19"/>
          <w:szCs w:val="19"/>
          <w:color w:val="auto"/>
        </w:rPr>
      </w:pPr>
      <w:r>
        <w:rPr>
          <w:rFonts w:ascii="Arial" w:cs="Arial" w:eastAsia="Arial" w:hAnsi="Arial"/>
          <w:sz w:val="19"/>
          <w:szCs w:val="19"/>
          <w:color w:val="auto"/>
        </w:rPr>
        <w:t>Notwithstanding anything to the contrary herein, if a Participant experiences a Termination of Service during the period beginning three months prior to and ending 12 months following the closing of a Change in Control that is effected by the Company without Cause or by the Participant for Good Reason, then, the Award(s) (other than any portion subject to performance-based vesting, which shall be handled as specified in the individual Award Agreement or as otherwise provided by the Administrator) held by such Participant shall become fully vested and, if applicable, exercisable and all forfeiture restrictions on such Award(s) shall lapse as of immediately prior to the consummation of such Change in Control or, if later, the date of such Termination of Service.</w:t>
      </w:r>
    </w:p>
    <w:p>
      <w:pPr>
        <w:spacing w:after="0" w:line="159"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u w:val="single" w:color="auto"/>
          <w:color w:val="auto"/>
        </w:rPr>
        <w:t>Administrative Stand Still</w:t>
      </w:r>
    </w:p>
    <w:p>
      <w:pPr>
        <w:spacing w:after="0" w:line="189" w:lineRule="exact"/>
        <w:rPr>
          <w:sz w:val="20"/>
          <w:szCs w:val="20"/>
          <w:color w:val="auto"/>
        </w:rPr>
      </w:pPr>
    </w:p>
    <w:p>
      <w:pPr>
        <w:jc w:val="both"/>
        <w:ind w:left="-656" w:firstLine="656"/>
        <w:spacing w:after="0" w:line="214" w:lineRule="auto"/>
        <w:tabs>
          <w:tab w:leader="none" w:pos="131"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Administrator may refuse to permit the exercise or settlement of one or more Awards for such period of time as the Company may determine to be reasonably appropriate under the circumstances.</w:t>
      </w:r>
    </w:p>
    <w:p>
      <w:pPr>
        <w:spacing w:after="0" w:line="174"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u w:val="single" w:color="auto"/>
          <w:color w:val="auto"/>
        </w:rPr>
        <w:t>General</w:t>
      </w:r>
    </w:p>
    <w:p>
      <w:pPr>
        <w:spacing w:after="0" w:line="189" w:lineRule="exact"/>
        <w:rPr>
          <w:sz w:val="20"/>
          <w:szCs w:val="20"/>
          <w:color w:val="auto"/>
        </w:rPr>
      </w:pPr>
    </w:p>
    <w:p>
      <w:pPr>
        <w:ind w:left="-656" w:firstLine="656"/>
        <w:spacing w:after="0" w:line="229" w:lineRule="auto"/>
        <w:tabs>
          <w:tab w:leader="none" w:pos="91" w:val="left"/>
        </w:tabs>
        <w:numPr>
          <w:ilvl w:val="0"/>
          <w:numId w:val="122"/>
        </w:numPr>
        <w:rPr>
          <w:rFonts w:ascii="Arial" w:cs="Arial" w:eastAsia="Arial" w:hAnsi="Arial"/>
          <w:sz w:val="20"/>
          <w:szCs w:val="20"/>
          <w:color w:val="auto"/>
        </w:rPr>
      </w:pPr>
      <w:r>
        <w:rPr>
          <w:rFonts w:ascii="Arial" w:cs="Arial" w:eastAsia="Arial" w:hAnsi="Arial"/>
          <w:sz w:val="20"/>
          <w:szCs w:val="20"/>
          <w:color w:val="auto"/>
        </w:rPr>
        <w:t>Except as expressly provided in the Plan or the Administrator’s action under the Plan, no Participant will have any rights due to any subdivision or consolidation of Shares of any class, dividend</w:t>
      </w:r>
    </w:p>
    <w:p>
      <w:pPr>
        <w:sectPr>
          <w:pgSz w:w="11900" w:h="16838" w:orient="portrait"/>
          <w:cols w:equalWidth="0" w:num="1">
            <w:col w:w="10584"/>
          </w:cols>
          <w:pgMar w:left="976" w:top="1405"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payment, increase or decrease in the number of Shares of any class or dissolution, liquidation, merger, or consolidation of the Company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corporation. Except as expressly provided with respect to an Equity Restructuring under Section 9.1 above or the Administrator’s action under the Plan, no issuance by the Company of Shares of any class, or securities convertible into Shares of any class, will affect, and</w:t>
      </w:r>
    </w:p>
    <w:p>
      <w:pPr>
        <w:spacing w:after="0" w:line="236" w:lineRule="auto"/>
        <w:rPr>
          <w:sz w:val="20"/>
          <w:szCs w:val="20"/>
          <w:color w:val="auto"/>
        </w:rPr>
      </w:pPr>
      <w:r>
        <w:rPr>
          <w:rFonts w:ascii="Arial" w:cs="Arial" w:eastAsia="Arial" w:hAnsi="Arial"/>
          <w:sz w:val="18"/>
          <w:szCs w:val="18"/>
          <w:color w:val="auto"/>
        </w:rPr>
        <w:t>no adjustment will be made regarding, the number of Shares subject to an Award or the Award’s grant or exercise price. The existence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Plan, any Award Agreements and the Awards granted hereunder will not affect or restrict in any way the Company’s right or power to make or authorize (i) any adjustment, recapitalization, reorganization or other change in the Company’s capital structure or its business, (ii) any</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merger, consolidation, spinoff, dissolution or liquidation of the Company or sale of Company assets or (iii) any sale or issuance of securities, including securities with rights superior to those of the Shares or securities convertible into or exchangeable for Shares.</w:t>
      </w:r>
    </w:p>
    <w:p>
      <w:pPr>
        <w:spacing w:after="0" w:line="145"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X.</w:t>
      </w:r>
    </w:p>
    <w:p>
      <w:pPr>
        <w:ind w:left="3740"/>
        <w:spacing w:after="0"/>
        <w:rPr>
          <w:sz w:val="20"/>
          <w:szCs w:val="20"/>
          <w:color w:val="auto"/>
        </w:rPr>
      </w:pPr>
      <w:r>
        <w:rPr>
          <w:rFonts w:ascii="Arial" w:cs="Arial" w:eastAsia="Arial" w:hAnsi="Arial"/>
          <w:sz w:val="20"/>
          <w:szCs w:val="20"/>
          <w:b w:val="1"/>
          <w:bCs w:val="1"/>
          <w:color w:val="auto"/>
        </w:rPr>
        <w:t>PROVISIONS APPLICABLE TO AWARDS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u w:val="single" w:color="auto"/>
          <w:color w:val="auto"/>
        </w:rPr>
        <w:t>Transferability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jc w:val="both"/>
        <w:ind w:firstLine="1304"/>
        <w:spacing w:after="0" w:line="235" w:lineRule="auto"/>
        <w:tabs>
          <w:tab w:leader="none" w:pos="193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Award may be sold, assigned, transferred, pledged or otherwise encumbered, either voluntarily or by operation of law, except by will or the laws of descent and distribution, or, subject to the Administrator’s consent, pursuant to a DRO,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DRO.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w:t>
      </w:r>
    </w:p>
    <w:p>
      <w:pPr>
        <w:spacing w:after="0" w:line="174" w:lineRule="exact"/>
        <w:rPr>
          <w:sz w:val="20"/>
          <w:szCs w:val="20"/>
          <w:color w:val="auto"/>
        </w:rPr>
      </w:pPr>
    </w:p>
    <w:p>
      <w:pPr>
        <w:jc w:val="both"/>
        <w:ind w:firstLine="1304"/>
        <w:spacing w:after="0" w:line="235" w:lineRule="auto"/>
        <w:tabs>
          <w:tab w:leader="none" w:pos="193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Section 10.1(a), the Administrator, in its sole discretion, may determine to permit a Participant or a Permitted Transferee of such Participant to transfer an Award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DRO;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w:t>
      </w:r>
    </w:p>
    <w:p>
      <w:pPr>
        <w:spacing w:after="0" w:line="160" w:lineRule="exact"/>
        <w:rPr>
          <w:sz w:val="20"/>
          <w:szCs w:val="20"/>
          <w:color w:val="auto"/>
        </w:rPr>
      </w:pPr>
    </w:p>
    <w:p>
      <w:pPr>
        <w:jc w:val="both"/>
        <w:ind w:firstLine="1304"/>
        <w:spacing w:after="0" w:line="237" w:lineRule="auto"/>
        <w:tabs>
          <w:tab w:leader="none" w:pos="193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Notwithstanding Section 10.1(a), if permitted by the Administrator,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provided that the change or revocation is delivered in writing to the Administrator prior to the Participant’s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05" w:right="339" w:bottom="1440" w:gutter="0" w:footer="0" w:header="0"/>
        </w:sectPr>
      </w:pPr>
    </w:p>
    <w:bookmarkStart w:id="138" w:name="page139"/>
    <w:bookmarkEnd w:id="138"/>
    <w:p>
      <w:pPr>
        <w:ind w:left="652"/>
        <w:spacing w:after="0"/>
        <w:tabs>
          <w:tab w:leader="none" w:pos="1272"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u w:val="single" w:color="auto"/>
          <w:color w:val="auto"/>
        </w:rPr>
        <w:t>Documentation</w:t>
      </w:r>
    </w:p>
    <w:p>
      <w:pPr>
        <w:spacing w:after="0" w:line="189" w:lineRule="exact"/>
        <w:rPr>
          <w:sz w:val="20"/>
          <w:szCs w:val="20"/>
          <w:color w:val="auto"/>
        </w:rPr>
      </w:pPr>
    </w:p>
    <w:p>
      <w:pPr>
        <w:jc w:val="both"/>
        <w:ind w:left="-8" w:firstLine="656"/>
        <w:spacing w:after="0" w:line="223" w:lineRule="auto"/>
        <w:tabs>
          <w:tab w:leader="none" w:pos="739" w:val="left"/>
        </w:tabs>
        <w:numPr>
          <w:ilvl w:val="0"/>
          <w:numId w:val="126"/>
        </w:numPr>
        <w:rPr>
          <w:rFonts w:ascii="Arial" w:cs="Arial" w:eastAsia="Arial" w:hAnsi="Arial"/>
          <w:sz w:val="20"/>
          <w:szCs w:val="20"/>
          <w:color w:val="auto"/>
        </w:rPr>
      </w:pPr>
      <w:r>
        <w:rPr>
          <w:rFonts w:ascii="Arial" w:cs="Arial" w:eastAsia="Arial" w:hAnsi="Arial"/>
          <w:sz w:val="20"/>
          <w:szCs w:val="20"/>
          <w:color w:val="auto"/>
        </w:rPr>
        <w:t>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p>
    <w:p>
      <w:pPr>
        <w:spacing w:after="0" w:line="16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u w:val="single" w:color="auto"/>
          <w:color w:val="auto"/>
        </w:rPr>
        <w:t>Discretion</w:t>
      </w:r>
    </w:p>
    <w:p>
      <w:pPr>
        <w:spacing w:after="0" w:line="175" w:lineRule="exact"/>
        <w:rPr>
          <w:sz w:val="20"/>
          <w:szCs w:val="20"/>
          <w:color w:val="auto"/>
        </w:rPr>
      </w:pPr>
    </w:p>
    <w:p>
      <w:pPr>
        <w:jc w:val="both"/>
        <w:ind w:left="-8" w:firstLine="656"/>
        <w:spacing w:after="0" w:line="350" w:lineRule="auto"/>
        <w:tabs>
          <w:tab w:leader="none" w:pos="73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84"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u w:val="single" w:color="auto"/>
          <w:color w:val="auto"/>
        </w:rPr>
        <w:t>Changes in Participant’s Status</w:t>
      </w:r>
    </w:p>
    <w:p>
      <w:pPr>
        <w:spacing w:after="0" w:line="175" w:lineRule="exact"/>
        <w:rPr>
          <w:sz w:val="20"/>
          <w:szCs w:val="20"/>
          <w:color w:val="auto"/>
        </w:rPr>
      </w:pPr>
    </w:p>
    <w:p>
      <w:pPr>
        <w:jc w:val="both"/>
        <w:ind w:left="-8" w:firstLine="656"/>
        <w:spacing w:after="0" w:line="243" w:lineRule="auto"/>
        <w:tabs>
          <w:tab w:leader="none" w:pos="77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Administrator will determine how the disability, death, retirement, authorized leave of absence or any other change or purported change in a Participant’s Eligible Employee status affects an Award and the extent to which, and the period during which, the Participant, the Participant’s legal representative, conservator, guardian or Designated Beneficiary may exercise rights under the Award, if applicable. Except to the extent otherwise required by Applicable Law or expressly authorized by the Company or by the Company’s written policy on leaves of absence, no service credit shall be given for vesting purposes for any period the Participant is on a leave of absence.</w:t>
      </w:r>
    </w:p>
    <w:p>
      <w:pPr>
        <w:spacing w:after="0" w:line="167"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u w:val="single" w:color="auto"/>
          <w:color w:val="auto"/>
        </w:rPr>
        <w:t>Withholding</w:t>
      </w:r>
    </w:p>
    <w:p>
      <w:pPr>
        <w:spacing w:after="0" w:line="175" w:lineRule="exact"/>
        <w:rPr>
          <w:sz w:val="20"/>
          <w:szCs w:val="20"/>
          <w:color w:val="auto"/>
        </w:rPr>
      </w:pPr>
    </w:p>
    <w:p>
      <w:pPr>
        <w:jc w:val="both"/>
        <w:ind w:left="-8" w:firstLine="656"/>
        <w:spacing w:after="0" w:line="232" w:lineRule="auto"/>
        <w:tabs>
          <w:tab w:leader="none" w:pos="73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Each Participant must pay the Company or a Subsidiary or other Participant’s employing company, as applicable, or make provision satisfactory to the Administrator for payment of, any Tax-Related Items required by Applicable Law to be withheld in connection with such Participant’s Awards and/or Shares by the date of the event creating the liability for Tax-Related Items. At the Company’s discretion and subject to any Company insider trading policy (including black-out periods), any withholding obligation for Tax-Related Items may be satisfied by (i) deducting an amount sufficient to satisfy such withholding obligation from any payment of any kind otherwise due to a Participant; (ii) accepting a payment from the Participant in cash, by wire transfer of immediately available funds, or by check made payable to the order of the Company or a Subsidiary, as applicable; (iii) accepting the delivery of Shares, including Shares delivered by attestation;</w:t>
      </w:r>
    </w:p>
    <w:p>
      <w:pPr>
        <w:spacing w:after="0" w:line="5" w:lineRule="exact"/>
        <w:rPr>
          <w:rFonts w:ascii="Arial" w:cs="Arial" w:eastAsia="Arial" w:hAnsi="Arial"/>
          <w:sz w:val="18"/>
          <w:szCs w:val="18"/>
          <w:color w:val="auto"/>
        </w:rPr>
      </w:pPr>
    </w:p>
    <w:p>
      <w:pPr>
        <w:jc w:val="both"/>
        <w:ind w:left="-8" w:firstLine="8"/>
        <w:spacing w:after="0" w:line="221" w:lineRule="auto"/>
        <w:tabs>
          <w:tab w:leader="none" w:pos="33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retaining Shares from the Award creating the withholding obligation for Tax-Related Items, valued on the date of delivery; (v) if there is a public market for Shares at the time the withholding obligation for Tax-Related Items is to be satisfied, selling Shares issued pursuant to the Award creating the withholding obligation for Tax-Related Items, either voluntarily by the Participant or mandatorily by the Company; (vi) accepting delivery of a promissory note or any other lawful consideration; or (vii) any combination of the foregoing payment forms. The amount withheld pursuant to any of the foregoing payment forms shall be determined by the Company and may be up to, but no greater than, the aggregate amount of such obligations based on the maximum statutory withholding rates in the applicable Participant’s jurisdiction for all Tax-Related Items that are applicable to such taxable income. If any tax withholding obligation will be satisfied under clause (v) of the preceding paragraph, each Participant’s acceptance of an Award under the Plan will constitute the Participant’s authorization to the Company and instruction and authorization to any brokerage firm selected by the Company to effect the sale to complete the transactions described in clause (v).</w:t>
      </w:r>
    </w:p>
    <w:p>
      <w:pPr>
        <w:spacing w:after="0" w:line="15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u w:val="single" w:color="auto"/>
          <w:color w:val="auto"/>
        </w:rPr>
        <w:t>Amendment of Award; Repricing</w:t>
      </w:r>
    </w:p>
    <w:p>
      <w:pPr>
        <w:spacing w:after="0" w:line="189" w:lineRule="exact"/>
        <w:rPr>
          <w:sz w:val="20"/>
          <w:szCs w:val="20"/>
          <w:color w:val="auto"/>
        </w:rPr>
      </w:pPr>
    </w:p>
    <w:p>
      <w:pPr>
        <w:jc w:val="both"/>
        <w:ind w:left="-8" w:firstLine="656"/>
        <w:spacing w:after="0" w:line="226" w:lineRule="auto"/>
        <w:tabs>
          <w:tab w:leader="none" w:pos="739"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Administrator may amend, modify or terminate any outstanding Award, including by substituting another Award of the same or a different type and changing the exercise or settlement date. The Participant’s consent to such action will be required unless (i) the action, taking into account any related action, does not materially and adversely affect the Participant’s rights under the Award, or (ii) the change is permitted under Article IX or pursuant to Section 11.6. In addition, the Administrator shall, without the approval of the stockholders of the Company, have the authority to (a) amend any outstanding Option or Stock Appreciation Right to reduce its exercise price per Share or (b) cancel any Option or Stock Appreciation Right in exchange for cash or another Award.</w:t>
      </w:r>
    </w:p>
    <w:p>
      <w:pPr>
        <w:sectPr>
          <w:pgSz w:w="11900" w:h="16838" w:orient="portrait"/>
          <w:cols w:equalWidth="0" w:num="1">
            <w:col w:w="11232"/>
          </w:cols>
          <w:pgMar w:left="328" w:top="1405" w:right="339" w:bottom="1440" w:gutter="0" w:footer="0" w:header="0"/>
        </w:sectPr>
      </w:pPr>
    </w:p>
    <w:bookmarkStart w:id="139" w:name="page140"/>
    <w:bookmarkEnd w:id="139"/>
    <w:p>
      <w:pPr>
        <w:ind w:left="652"/>
        <w:spacing w:after="0"/>
        <w:tabs>
          <w:tab w:leader="none" w:pos="1272"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u w:val="single" w:color="auto"/>
          <w:color w:val="auto"/>
        </w:rPr>
        <w:t>Conditions on Delivery of Stock</w:t>
      </w:r>
    </w:p>
    <w:p>
      <w:pPr>
        <w:spacing w:after="0" w:line="189" w:lineRule="exact"/>
        <w:rPr>
          <w:sz w:val="20"/>
          <w:szCs w:val="20"/>
          <w:color w:val="auto"/>
        </w:rPr>
      </w:pPr>
    </w:p>
    <w:p>
      <w:pPr>
        <w:jc w:val="both"/>
        <w:ind w:left="-8" w:firstLine="656"/>
        <w:spacing w:after="0" w:line="221" w:lineRule="auto"/>
        <w:tabs>
          <w:tab w:leader="none" w:pos="75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without limitation, any applicable securities laws and stock exchange or stock market rules and regulations, (iii) any approvals from governmental agencies that the Company determines are necessary or advisable have been obtained, and (iv) the Participant has executed and delivered to the Company such representations or agreements as the Administrator deems necessary or appropriate to satisfy Applicable Law. The inability or impracticability of the Company to obtain or maintain authority to issue or sell any securities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Administrator may determine to amend or cancel Awards pertaining to such Shares, with or without consideration to the Participant.</w:t>
      </w:r>
    </w:p>
    <w:p>
      <w:pPr>
        <w:spacing w:after="0" w:line="176"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u w:val="single" w:color="auto"/>
          <w:color w:val="auto"/>
        </w:rPr>
        <w:t>Acceleration</w:t>
      </w:r>
    </w:p>
    <w:p>
      <w:pPr>
        <w:spacing w:after="0" w:line="189" w:lineRule="exact"/>
        <w:rPr>
          <w:sz w:val="20"/>
          <w:szCs w:val="20"/>
          <w:color w:val="auto"/>
        </w:rPr>
      </w:pPr>
    </w:p>
    <w:p>
      <w:pPr>
        <w:ind w:left="-8" w:firstLine="656"/>
        <w:spacing w:after="0" w:line="229" w:lineRule="auto"/>
        <w:tabs>
          <w:tab w:leader="none" w:pos="73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Administrator may at any time provide that any Award will become immediately vested and fully or partially exercisable, free of some or all restrictions or conditions, or otherwise fully or partially realizable.</w:t>
      </w:r>
    </w:p>
    <w:p>
      <w:pPr>
        <w:spacing w:after="0" w:line="157" w:lineRule="exact"/>
        <w:rPr>
          <w:sz w:val="20"/>
          <w:szCs w:val="20"/>
          <w:color w:val="auto"/>
        </w:rPr>
      </w:pPr>
    </w:p>
    <w:p>
      <w:pPr>
        <w:ind w:left="4972"/>
        <w:spacing w:after="0"/>
        <w:rPr>
          <w:sz w:val="20"/>
          <w:szCs w:val="20"/>
          <w:color w:val="auto"/>
        </w:rPr>
      </w:pPr>
      <w:r>
        <w:rPr>
          <w:rFonts w:ascii="Arial" w:cs="Arial" w:eastAsia="Arial" w:hAnsi="Arial"/>
          <w:sz w:val="20"/>
          <w:szCs w:val="20"/>
          <w:b w:val="1"/>
          <w:bCs w:val="1"/>
          <w:color w:val="auto"/>
        </w:rPr>
        <w:t>ARTICLE XI.</w:t>
      </w:r>
    </w:p>
    <w:p>
      <w:pPr>
        <w:ind w:left="4752"/>
        <w:spacing w:after="0"/>
        <w:rPr>
          <w:sz w:val="20"/>
          <w:szCs w:val="20"/>
          <w:color w:val="auto"/>
        </w:rPr>
      </w:pPr>
      <w:r>
        <w:rPr>
          <w:rFonts w:ascii="Arial" w:cs="Arial" w:eastAsia="Arial" w:hAnsi="Arial"/>
          <w:sz w:val="20"/>
          <w:szCs w:val="20"/>
          <w:b w:val="1"/>
          <w:bCs w:val="1"/>
          <w:color w:val="auto"/>
        </w:rPr>
        <w:t>MISCELLANEOUS</w:t>
      </w:r>
    </w:p>
    <w:p>
      <w:pPr>
        <w:spacing w:after="0" w:line="15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u w:val="single" w:color="auto"/>
          <w:color w:val="auto"/>
        </w:rPr>
        <w:t>No Right to Employment or Other Status</w:t>
      </w:r>
    </w:p>
    <w:p>
      <w:pPr>
        <w:spacing w:after="0" w:line="189" w:lineRule="exact"/>
        <w:rPr>
          <w:sz w:val="20"/>
          <w:szCs w:val="20"/>
          <w:color w:val="auto"/>
        </w:rPr>
      </w:pPr>
    </w:p>
    <w:p>
      <w:pPr>
        <w:jc w:val="both"/>
        <w:ind w:left="652" w:hanging="4"/>
        <w:spacing w:after="0" w:line="227" w:lineRule="auto"/>
        <w:tabs>
          <w:tab w:leader="none" w:pos="778" w:val="left"/>
        </w:tabs>
        <w:numPr>
          <w:ilvl w:val="0"/>
          <w:numId w:val="133"/>
        </w:numPr>
        <w:rPr>
          <w:rFonts w:ascii="Arial" w:cs="Arial" w:eastAsia="Arial" w:hAnsi="Arial"/>
          <w:sz w:val="19"/>
          <w:szCs w:val="19"/>
          <w:u w:val="single" w:color="auto"/>
          <w:color w:val="auto"/>
        </w:rPr>
      </w:pPr>
      <w:r>
        <w:rPr>
          <w:rFonts w:ascii="Arial" w:cs="Arial" w:eastAsia="Arial" w:hAnsi="Arial"/>
          <w:sz w:val="19"/>
          <w:szCs w:val="19"/>
          <w:color w:val="auto"/>
        </w:rPr>
        <w:t>No person will have any claim or right to be granted an Award, and the grant of an Award will not be construed as giving a Participant the right to commence or continue employment or any other relationship with the Company or a Subsidiary. The Company and its Subsidiaries expressly reserve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spacing w:after="0" w:line="168"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u w:val="single" w:color="auto"/>
          <w:color w:val="auto"/>
        </w:rPr>
        <w:t>No Rights as Stockholder; Certificates</w:t>
      </w:r>
    </w:p>
    <w:p>
      <w:pPr>
        <w:spacing w:after="0" w:line="189" w:lineRule="exact"/>
        <w:rPr>
          <w:sz w:val="20"/>
          <w:szCs w:val="20"/>
          <w:color w:val="auto"/>
        </w:rPr>
      </w:pPr>
    </w:p>
    <w:p>
      <w:pPr>
        <w:jc w:val="both"/>
        <w:ind w:left="-8" w:firstLine="656"/>
        <w:spacing w:after="0" w:line="238" w:lineRule="auto"/>
        <w:tabs>
          <w:tab w:leader="none" w:pos="73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spacing w:after="0" w:line="172"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u w:val="single" w:color="auto"/>
          <w:color w:val="auto"/>
        </w:rPr>
        <w:t>Effective Date</w:t>
      </w:r>
    </w:p>
    <w:p>
      <w:pPr>
        <w:spacing w:after="0" w:line="175" w:lineRule="exact"/>
        <w:rPr>
          <w:sz w:val="20"/>
          <w:szCs w:val="20"/>
          <w:color w:val="auto"/>
        </w:rPr>
      </w:pPr>
    </w:p>
    <w:p>
      <w:pPr>
        <w:jc w:val="both"/>
        <w:ind w:left="-8" w:firstLine="8"/>
        <w:spacing w:after="0" w:line="241" w:lineRule="auto"/>
        <w:tabs>
          <w:tab w:leader="none" w:pos="9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Plan will become effective on November 3, 2022, the date the Board adopted the Plan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It is expressly intended that approval of the Company’s stockholders not be required as a condition of the effectiveness of the Plan, and the Plan’s provisions shall be interpreted in a manner consistent with such intent for all purposes. Specifically, Nasdaq Stock Market Rule 5635(c) generally requires stockholder approval for stock option plans or other equity compensation arrangements adopted by companies whose securities are listed on the Nasdaq Stock Market pursuant to which stock awards or stock may be acquired by officers, directors, employees, or consultants of such companies. Nasdaq Stock Market Rule 5635(c)(4) provides an exception to this requirement for issuances of securities to a person</w:t>
      </w:r>
    </w:p>
    <w:p>
      <w:pPr>
        <w:sectPr>
          <w:pgSz w:w="11900" w:h="16838" w:orient="portrait"/>
          <w:cols w:equalWidth="0" w:num="1">
            <w:col w:w="11232"/>
          </w:cols>
          <w:pgMar w:left="328" w:top="1405"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not previously an employee or director of the issuer, or following a bona fide period of non-employment, as an inducement material to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individual’s entering into employment with the issuer; provided, such issuances are approved by either the issuer’s compensation committee comprised of a majority of independent directors or a majority of the issuer’s independent directors. Notwithstanding anything to the contrary</w:t>
      </w:r>
    </w:p>
    <w:p>
      <w:pPr>
        <w:spacing w:after="0" w:line="236" w:lineRule="auto"/>
        <w:rPr>
          <w:sz w:val="20"/>
          <w:szCs w:val="20"/>
          <w:color w:val="auto"/>
        </w:rPr>
      </w:pPr>
      <w:r>
        <w:rPr>
          <w:rFonts w:ascii="Arial" w:cs="Arial" w:eastAsia="Arial" w:hAnsi="Arial"/>
          <w:sz w:val="18"/>
          <w:szCs w:val="18"/>
          <w:color w:val="auto"/>
        </w:rPr>
        <w:t>herein, awards under the Plan may only be made to employees who have not previously been an employee or director of the Company or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Subsidiary, or following a bona fide period of non-employment by the Company or a Subsidiary, as an inducement material to the employee’s entering into employment with the Company or a Subsidiary. Awards under the Plan will be approved by the Administrator. Accordingly,</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pursuant to Nasdaq Stock Market Rule 5635(c)(4), the issuance of Awards and the Shares issuable upon exercise or vesting of such Awards pursuant to the Plan are not subject to the approval of the Company’s stockholders.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Amendment of Plan</w:t>
      </w:r>
    </w:p>
    <w:p>
      <w:pPr>
        <w:spacing w:after="0" w:line="189" w:lineRule="exact"/>
        <w:rPr>
          <w:sz w:val="20"/>
          <w:szCs w:val="20"/>
          <w:color w:val="auto"/>
        </w:rPr>
      </w:pPr>
    </w:p>
    <w:p>
      <w:pPr>
        <w:jc w:val="both"/>
        <w:ind w:firstLine="656"/>
        <w:spacing w:after="0" w:line="238" w:lineRule="auto"/>
        <w:tabs>
          <w:tab w:leader="none" w:pos="7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Board may amend, suspend or terminate the Plan at any time and from time to time; provided that (a) no amendment requiring stockholder approval to comply with Applicable Law shall be effective unless approved by the stockholders, and (b) no amendment, other than an increase the number of Shares available for issuance under the Plan or pursuant to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each in effect before such suspension or termination.</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u w:val="single" w:color="auto"/>
          <w:color w:val="auto"/>
        </w:rPr>
        <w:t>Provisions for Foreign Participants</w:t>
      </w:r>
    </w:p>
    <w:p>
      <w:pPr>
        <w:spacing w:after="0" w:line="189" w:lineRule="exact"/>
        <w:rPr>
          <w:sz w:val="20"/>
          <w:szCs w:val="20"/>
          <w:color w:val="auto"/>
        </w:rPr>
      </w:pPr>
    </w:p>
    <w:p>
      <w:pPr>
        <w:jc w:val="both"/>
        <w:ind w:firstLine="656"/>
        <w:spacing w:after="0" w:line="215" w:lineRule="auto"/>
        <w:tabs>
          <w:tab w:leader="none" w:pos="77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Administrator may modify Awards granted to Participants who are nationals of a country other than the United States or employed or residing outside the United States, establish subplans or procedures under the Plan or take any other necessary or appropriate action to address Applicable Law, including (a) differences in laws, rules, regulations or customs of such jurisdictions with respect to tax, securities, currency, employee benefit or other matters, (b) listing and other requirements of any non-U.S. securities exchange, and (c) any necessary local governmental or regulatory exemptions or approvals.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u w:val="single" w:color="auto"/>
          <w:color w:val="auto"/>
        </w:rPr>
        <w:t>Section 409A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jc w:val="both"/>
        <w:ind w:firstLine="1304"/>
        <w:spacing w:after="0" w:line="261" w:lineRule="auto"/>
        <w:tabs>
          <w:tab w:leader="none" w:pos="1934" w:val="left"/>
        </w:tabs>
        <w:numPr>
          <w:ilvl w:val="1"/>
          <w:numId w:val="138"/>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Company intends that all Awards be structured to comply with, or be exempt from, Section 409A, such</w:t>
      </w:r>
      <w:r>
        <w:rPr>
          <w:rFonts w:ascii="Arial" w:cs="Arial" w:eastAsia="Arial" w:hAnsi="Arial"/>
          <w:sz w:val="16"/>
          <w:szCs w:val="16"/>
          <w:i w:val="1"/>
          <w:iCs w:val="1"/>
          <w:color w:val="auto"/>
        </w:rPr>
        <w:t xml:space="preserve"> </w:t>
      </w:r>
      <w:r>
        <w:rPr>
          <w:rFonts w:ascii="Arial" w:cs="Arial" w:eastAsia="Arial" w:hAnsi="Arial"/>
          <w:sz w:val="16"/>
          <w:szCs w:val="16"/>
          <w:color w:val="auto"/>
        </w:rPr>
        <w:t>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w:t>
      </w:r>
    </w:p>
    <w:p>
      <w:pPr>
        <w:spacing w:after="0" w:line="1" w:lineRule="exact"/>
        <w:rPr>
          <w:rFonts w:ascii="Arial" w:cs="Arial" w:eastAsia="Arial" w:hAnsi="Arial"/>
          <w:sz w:val="16"/>
          <w:szCs w:val="16"/>
          <w:color w:val="auto"/>
        </w:rPr>
      </w:pPr>
    </w:p>
    <w:p>
      <w:pPr>
        <w:ind w:left="340" w:hanging="332"/>
        <w:spacing w:after="0" w:line="234"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comply with Section 409A, including regulations, guidance, compliance programs and other interpretative authority that may be issued</w:t>
      </w:r>
    </w:p>
    <w:p>
      <w:pPr>
        <w:spacing w:after="0" w:line="235" w:lineRule="auto"/>
        <w:rPr>
          <w:sz w:val="20"/>
          <w:szCs w:val="20"/>
          <w:color w:val="auto"/>
        </w:rPr>
      </w:pPr>
      <w:r>
        <w:rPr>
          <w:rFonts w:ascii="Arial" w:cs="Arial" w:eastAsia="Arial" w:hAnsi="Arial"/>
          <w:sz w:val="18"/>
          <w:szCs w:val="18"/>
          <w:color w:val="auto"/>
        </w:rPr>
        <w:t>after an Award’s grant date. The Company makes no representations or warranties as to an Award’s tax treatment under Section 409A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otherwise. The Company will have no obligation under this Section 11.6 or otherwise to avoid the taxes, penalties or interest under Section 409A with respect to any Award and will have no liability to any Participant or any other person if any Award, compensation or other</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benefits under the Plan are determined to constitute noncompliant “nonqualified deferred compensation” subject to taxes, penalties or interest under Section 409A.</w:t>
      </w:r>
    </w:p>
    <w:p>
      <w:pPr>
        <w:spacing w:after="0" w:line="156" w:lineRule="exact"/>
        <w:rPr>
          <w:sz w:val="20"/>
          <w:szCs w:val="20"/>
          <w:color w:val="auto"/>
        </w:rPr>
      </w:pPr>
    </w:p>
    <w:p>
      <w:pPr>
        <w:jc w:val="both"/>
        <w:ind w:firstLine="1304"/>
        <w:spacing w:after="0" w:line="220" w:lineRule="auto"/>
        <w:tabs>
          <w:tab w:leader="none" w:pos="1934" w:val="left"/>
        </w:tabs>
        <w:numPr>
          <w:ilvl w:val="0"/>
          <w:numId w:val="140"/>
        </w:numPr>
        <w:rPr>
          <w:rFonts w:ascii="Arial" w:cs="Arial" w:eastAsia="Arial" w:hAnsi="Arial"/>
          <w:sz w:val="20"/>
          <w:szCs w:val="20"/>
          <w:color w:val="auto"/>
        </w:rPr>
      </w:pPr>
      <w:r>
        <w:rPr>
          <w:rFonts w:ascii="Arial" w:cs="Arial" w:eastAsia="Arial" w:hAnsi="Arial"/>
          <w:sz w:val="20"/>
          <w:szCs w:val="20"/>
          <w:i w:val="1"/>
          <w:iCs w:val="1"/>
          <w:color w:val="auto"/>
        </w:rPr>
        <w:t>Separation from Service</w:t>
      </w:r>
      <w:r>
        <w:rPr>
          <w:rFonts w:ascii="Arial" w:cs="Arial" w:eastAsia="Arial" w:hAnsi="Arial"/>
          <w:sz w:val="20"/>
          <w:szCs w:val="20"/>
          <w:color w:val="auto"/>
        </w:rPr>
        <w:t>. If an Award constitutes “nonqualified deferred compensation” under Section 409A, any</w:t>
      </w:r>
      <w:r>
        <w:rPr>
          <w:rFonts w:ascii="Arial" w:cs="Arial" w:eastAsia="Arial" w:hAnsi="Arial"/>
          <w:sz w:val="20"/>
          <w:szCs w:val="20"/>
          <w:i w:val="1"/>
          <w:iCs w:val="1"/>
          <w:color w:val="auto"/>
        </w:rPr>
        <w:t xml:space="preserve"> </w:t>
      </w:r>
      <w:r>
        <w:rPr>
          <w:rFonts w:ascii="Arial" w:cs="Arial" w:eastAsia="Arial" w:hAnsi="Arial"/>
          <w:sz w:val="20"/>
          <w:szCs w:val="20"/>
          <w:color w:val="auto"/>
        </w:rPr>
        <w:t>payment or 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05" w:right="339" w:bottom="1440" w:gutter="0" w:footer="0" w:header="0"/>
        </w:sectPr>
      </w:pPr>
    </w:p>
    <w:bookmarkStart w:id="141" w:name="page142"/>
    <w:bookmarkEnd w:id="141"/>
    <w:p>
      <w:pPr>
        <w:spacing w:after="0" w:line="236" w:lineRule="auto"/>
        <w:rPr>
          <w:sz w:val="20"/>
          <w:szCs w:val="20"/>
          <w:color w:val="auto"/>
        </w:rPr>
      </w:pPr>
      <w:r>
        <w:rPr>
          <w:rFonts w:ascii="Arial" w:cs="Arial" w:eastAsia="Arial" w:hAnsi="Arial"/>
          <w:sz w:val="20"/>
          <w:szCs w:val="20"/>
          <w:color w:val="auto"/>
        </w:rPr>
        <w:t>this Plan or any Award Agreement relating to any such payments or benefits, references to a “termination,” “termination of employment” or like terms means a “separation from service.”</w:t>
      </w:r>
    </w:p>
    <w:p>
      <w:pPr>
        <w:spacing w:after="0" w:line="155" w:lineRule="exact"/>
        <w:rPr>
          <w:sz w:val="20"/>
          <w:szCs w:val="20"/>
          <w:color w:val="auto"/>
        </w:rPr>
      </w:pPr>
    </w:p>
    <w:p>
      <w:pPr>
        <w:jc w:val="both"/>
        <w:ind w:firstLine="1304"/>
        <w:spacing w:after="0" w:line="225" w:lineRule="auto"/>
        <w:tabs>
          <w:tab w:leader="none" w:pos="1932" w:val="left"/>
        </w:tabs>
        <w:numPr>
          <w:ilvl w:val="0"/>
          <w:numId w:val="141"/>
        </w:numPr>
        <w:rPr>
          <w:rFonts w:ascii="Arial" w:cs="Arial" w:eastAsia="Arial" w:hAnsi="Arial"/>
          <w:sz w:val="19"/>
          <w:szCs w:val="19"/>
          <w:color w:val="auto"/>
        </w:rPr>
      </w:pPr>
      <w:r>
        <w:rPr>
          <w:rFonts w:ascii="Arial" w:cs="Arial" w:eastAsia="Arial" w:hAnsi="Arial"/>
          <w:sz w:val="19"/>
          <w:szCs w:val="19"/>
          <w:i w:val="1"/>
          <w:iCs w:val="1"/>
          <w:color w:val="auto"/>
        </w:rPr>
        <w:t>Payments to Specified Employees</w:t>
      </w:r>
      <w:r>
        <w:rPr>
          <w:rFonts w:ascii="Arial" w:cs="Arial" w:eastAsia="Arial" w:hAnsi="Arial"/>
          <w:sz w:val="19"/>
          <w:szCs w:val="19"/>
          <w:color w:val="auto"/>
        </w:rPr>
        <w:t>. Notwithstanding any contrary provision in the Plan or any Award Agreement, any</w:t>
      </w:r>
      <w:r>
        <w:rPr>
          <w:rFonts w:ascii="Arial" w:cs="Arial" w:eastAsia="Arial" w:hAnsi="Arial"/>
          <w:sz w:val="19"/>
          <w:szCs w:val="19"/>
          <w:i w:val="1"/>
          <w:iCs w:val="1"/>
          <w:color w:val="auto"/>
        </w:rPr>
        <w:t xml:space="preserve"> </w:t>
      </w:r>
      <w:r>
        <w:rPr>
          <w:rFonts w:ascii="Arial" w:cs="Arial" w:eastAsia="Arial" w:hAnsi="Arial"/>
          <w:sz w:val="19"/>
          <w:szCs w:val="19"/>
          <w:color w:val="auto"/>
        </w:rPr>
        <w:t>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70" w:lineRule="exact"/>
        <w:rPr>
          <w:sz w:val="20"/>
          <w:szCs w:val="20"/>
          <w:color w:val="auto"/>
        </w:rPr>
      </w:pPr>
    </w:p>
    <w:p>
      <w:pPr>
        <w:jc w:val="both"/>
        <w:ind w:firstLine="1304"/>
        <w:spacing w:after="0" w:line="215" w:lineRule="auto"/>
        <w:tabs>
          <w:tab w:leader="none" w:pos="1934" w:val="left"/>
        </w:tabs>
        <w:numPr>
          <w:ilvl w:val="0"/>
          <w:numId w:val="142"/>
        </w:numPr>
        <w:rPr>
          <w:rFonts w:ascii="Arial" w:cs="Arial" w:eastAsia="Arial" w:hAnsi="Arial"/>
          <w:sz w:val="20"/>
          <w:szCs w:val="20"/>
          <w:color w:val="auto"/>
        </w:rPr>
      </w:pPr>
      <w:r>
        <w:rPr>
          <w:rFonts w:ascii="Arial" w:cs="Arial" w:eastAsia="Arial" w:hAnsi="Arial"/>
          <w:sz w:val="20"/>
          <w:szCs w:val="20"/>
          <w:i w:val="1"/>
          <w:iCs w:val="1"/>
          <w:color w:val="auto"/>
        </w:rPr>
        <w:t>Separate Payments</w:t>
      </w:r>
      <w:r>
        <w:rPr>
          <w:rFonts w:ascii="Arial" w:cs="Arial" w:eastAsia="Arial" w:hAnsi="Arial"/>
          <w:sz w:val="20"/>
          <w:szCs w:val="20"/>
          <w:color w:val="auto"/>
        </w:rPr>
        <w:t>. If an Award includes a “series of installment payments” within the meaning of Section 1.409A-2(b)(2)(iii) of Section 409A, the Participant’s right to the series of installment payments will be treated as a right to a series of separate payments and not as a right to a single payment and, if an Award includes “dividend equivalents” within the meaning of Section 1.409A-3(e) of Section 409A, the Participant’s right to receive the dividend equivalents will be treated separately from the right to other amounts under the Award.</w:t>
      </w:r>
    </w:p>
    <w:p>
      <w:pPr>
        <w:spacing w:after="0" w:line="171" w:lineRule="exact"/>
        <w:rPr>
          <w:sz w:val="20"/>
          <w:szCs w:val="20"/>
          <w:color w:val="auto"/>
        </w:rPr>
      </w:pPr>
    </w:p>
    <w:p>
      <w:pPr>
        <w:jc w:val="both"/>
        <w:ind w:firstLine="1304"/>
        <w:spacing w:after="0" w:line="215" w:lineRule="auto"/>
        <w:tabs>
          <w:tab w:leader="none" w:pos="1934" w:val="left"/>
        </w:tabs>
        <w:numPr>
          <w:ilvl w:val="0"/>
          <w:numId w:val="143"/>
        </w:numPr>
        <w:rPr>
          <w:rFonts w:ascii="Arial" w:cs="Arial" w:eastAsia="Arial" w:hAnsi="Arial"/>
          <w:sz w:val="20"/>
          <w:szCs w:val="20"/>
          <w:color w:val="auto"/>
        </w:rPr>
      </w:pPr>
      <w:r>
        <w:rPr>
          <w:rFonts w:ascii="Arial" w:cs="Arial" w:eastAsia="Arial" w:hAnsi="Arial"/>
          <w:sz w:val="20"/>
          <w:szCs w:val="20"/>
          <w:i w:val="1"/>
          <w:iCs w:val="1"/>
          <w:color w:val="auto"/>
        </w:rPr>
        <w:t>Change in Control</w:t>
      </w:r>
      <w:r>
        <w:rPr>
          <w:rFonts w:ascii="Arial" w:cs="Arial" w:eastAsia="Arial" w:hAnsi="Arial"/>
          <w:sz w:val="20"/>
          <w:szCs w:val="20"/>
          <w:color w:val="auto"/>
        </w:rPr>
        <w:t>. Any payment due upon a Change in Control of the Company will be paid only if such Change in</w:t>
      </w:r>
      <w:r>
        <w:rPr>
          <w:rFonts w:ascii="Arial" w:cs="Arial" w:eastAsia="Arial" w:hAnsi="Arial"/>
          <w:sz w:val="20"/>
          <w:szCs w:val="20"/>
          <w:i w:val="1"/>
          <w:iCs w:val="1"/>
          <w:color w:val="auto"/>
        </w:rPr>
        <w:t xml:space="preserve"> </w:t>
      </w:r>
      <w:r>
        <w:rPr>
          <w:rFonts w:ascii="Arial" w:cs="Arial" w:eastAsia="Arial" w:hAnsi="Arial"/>
          <w:sz w:val="20"/>
          <w:szCs w:val="20"/>
          <w:color w:val="auto"/>
        </w:rPr>
        <w:t>Control constitutes a “change in ownership” or “change in effective control” within the meaning of Section 409A, and in the event that such Change in Control does not constitute a “change in the ownership” or “change in the effective control” within the meaning of Section 409A, such Award for which payment is due upon a Change in Control of the Company will vest upon the Change in Control and any payment will be delayed until the first compliant date under Section 409A.</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u w:val="single" w:color="auto"/>
          <w:color w:val="auto"/>
        </w:rPr>
        <w:t>Limitations on Liability</w:t>
      </w:r>
    </w:p>
    <w:p>
      <w:pPr>
        <w:spacing w:after="0" w:line="189" w:lineRule="exact"/>
        <w:rPr>
          <w:sz w:val="20"/>
          <w:szCs w:val="20"/>
          <w:color w:val="auto"/>
        </w:rPr>
      </w:pPr>
    </w:p>
    <w:p>
      <w:pPr>
        <w:jc w:val="both"/>
        <w:ind w:firstLine="656"/>
        <w:spacing w:after="0" w:line="223" w:lineRule="auto"/>
        <w:tabs>
          <w:tab w:leader="none" w:pos="74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Notwithstanding any other provisions of the Plan, no individual acting as a director, officer or other Employee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or other Employee. The Company will indemnify and hold harmless each director, officer or other Employee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he or she gives the Company an opportunity, at its own expense, to handle and defend the same before he or she undertakes to handle and defend it on his or her own behalf.</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6"/>
          <w:szCs w:val="16"/>
          <w:u w:val="single" w:color="auto"/>
          <w:color w:val="auto"/>
        </w:rPr>
        <w:t>Data Privacy</w:t>
      </w:r>
    </w:p>
    <w:p>
      <w:pPr>
        <w:spacing w:after="0" w:line="175" w:lineRule="exact"/>
        <w:rPr>
          <w:sz w:val="20"/>
          <w:szCs w:val="20"/>
          <w:color w:val="auto"/>
        </w:rPr>
      </w:pPr>
    </w:p>
    <w:p>
      <w:pPr>
        <w:jc w:val="both"/>
        <w:ind w:firstLine="656"/>
        <w:spacing w:after="0" w:line="235" w:lineRule="auto"/>
        <w:tabs>
          <w:tab w:leader="none" w:pos="7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a condition for receiving any Award, each Participant explicitly and unambiguously consents to the collection, use and transfer, in electronic or other form, of personal data as described in this Section 11.8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05" w:right="3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t>and protections than a recipient’s country. By accepting an Award, each Participant authorizes such recipients to receive, possess, use, retain</w:t>
      </w:r>
    </w:p>
    <w:p>
      <w:pPr>
        <w:spacing w:after="0" w:line="3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and transfer the Data, in electronic or other form, to implement, administer and manage the Participant’s participation in the Plan, including any required Data transfer to a broker or other third party with whom the Company or the Participant may elect to deposit any Shares.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Data related to a Participant will be held only as long as necessary to implement, administer, and manage the Participant’s participation in the</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Plan. A Participant may, at any time, view the Data that the Company holds regarding such Participant, request additional information about the storage and processing of the Data regarding such Participant, recommend any necessary corrections to the Data regarding the Participant</w:t>
      </w:r>
    </w:p>
    <w:p>
      <w:pPr>
        <w:spacing w:after="0" w:line="235" w:lineRule="auto"/>
        <w:rPr>
          <w:sz w:val="20"/>
          <w:szCs w:val="20"/>
          <w:color w:val="auto"/>
        </w:rPr>
      </w:pPr>
      <w:r>
        <w:rPr>
          <w:rFonts w:ascii="Arial" w:cs="Arial" w:eastAsia="Arial" w:hAnsi="Arial"/>
          <w:sz w:val="18"/>
          <w:szCs w:val="18"/>
          <w:color w:val="auto"/>
        </w:rPr>
        <w:t>or refuse or withdraw the consents in this Section 11.8 in writing, without cost, by contacting the local human resources representative. The</w:t>
      </w:r>
    </w:p>
    <w:p>
      <w:pPr>
        <w:spacing w:after="0" w:line="226" w:lineRule="auto"/>
        <w:rPr>
          <w:sz w:val="20"/>
          <w:szCs w:val="20"/>
          <w:color w:val="auto"/>
        </w:rPr>
      </w:pPr>
      <w:r>
        <w:rPr>
          <w:rFonts w:ascii="Arial" w:cs="Arial" w:eastAsia="Arial" w:hAnsi="Arial"/>
          <w:sz w:val="18"/>
          <w:szCs w:val="18"/>
          <w:color w:val="auto"/>
        </w:rPr>
        <w:t>Company may cancel Participant’s ability to participate in the Plan and, in the Administrator’s sole discretion, the Participant may forfeit any outstanding Awards if the Participant refuses or withdraws the consents in this Section 11.8. For more information on the consequences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refusing or withdrawing consent, Participants may contact their local human resources representative.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u w:val="single" w:color="auto"/>
          <w:color w:val="auto"/>
        </w:rPr>
        <w:t>Severability</w:t>
      </w:r>
    </w:p>
    <w:p>
      <w:pPr>
        <w:spacing w:after="0" w:line="175" w:lineRule="exact"/>
        <w:rPr>
          <w:sz w:val="20"/>
          <w:szCs w:val="20"/>
          <w:color w:val="auto"/>
        </w:rPr>
      </w:pPr>
    </w:p>
    <w:p>
      <w:pPr>
        <w:jc w:val="both"/>
        <w:ind w:firstLine="656"/>
        <w:spacing w:after="0" w:line="227" w:lineRule="auto"/>
        <w:tabs>
          <w:tab w:leader="none" w:pos="76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u w:val="single" w:color="auto"/>
          <w:color w:val="auto"/>
        </w:rPr>
        <w:t>Governing Documents</w:t>
      </w:r>
    </w:p>
    <w:p>
      <w:pPr>
        <w:spacing w:after="0" w:line="189" w:lineRule="exact"/>
        <w:rPr>
          <w:sz w:val="20"/>
          <w:szCs w:val="20"/>
          <w:color w:val="auto"/>
        </w:rPr>
      </w:pPr>
    </w:p>
    <w:p>
      <w:pPr>
        <w:jc w:val="both"/>
        <w:ind w:firstLine="656"/>
        <w:spacing w:after="0" w:line="223" w:lineRule="auto"/>
        <w:tabs>
          <w:tab w:leader="none" w:pos="747"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Governing Law</w:t>
      </w:r>
    </w:p>
    <w:p>
      <w:pPr>
        <w:spacing w:after="0" w:line="175" w:lineRule="exact"/>
        <w:rPr>
          <w:sz w:val="20"/>
          <w:szCs w:val="20"/>
          <w:color w:val="auto"/>
        </w:rPr>
      </w:pPr>
    </w:p>
    <w:p>
      <w:pPr>
        <w:jc w:val="both"/>
        <w:ind w:firstLine="656"/>
        <w:spacing w:after="0" w:line="223" w:lineRule="auto"/>
        <w:tabs>
          <w:tab w:leader="none" w:pos="74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Plan and all Awards will be governed by and interpreted in accordance with the laws of the State of Delaware, without regard to the conflict of law rules thereof or of any other jurisdiction.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the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8"/>
          <w:szCs w:val="18"/>
          <w:u w:val="single" w:color="auto"/>
          <w:color w:val="auto"/>
        </w:rPr>
        <w:t>Clawback Provisions</w:t>
      </w:r>
    </w:p>
    <w:p>
      <w:pPr>
        <w:spacing w:after="0" w:line="189" w:lineRule="exact"/>
        <w:rPr>
          <w:sz w:val="20"/>
          <w:szCs w:val="20"/>
          <w:color w:val="auto"/>
        </w:rPr>
      </w:pPr>
    </w:p>
    <w:p>
      <w:pPr>
        <w:jc w:val="both"/>
        <w:ind w:firstLine="656"/>
        <w:spacing w:after="0" w:line="231" w:lineRule="auto"/>
        <w:tabs>
          <w:tab w:leader="none" w:pos="747"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u w:val="single" w:color="auto"/>
          <w:color w:val="auto"/>
        </w:rPr>
        <w:t>Titles and Headings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05" w:right="339" w:bottom="1440" w:gutter="0" w:footer="0" w:header="0"/>
        </w:sectPr>
      </w:pPr>
    </w:p>
    <w:bookmarkStart w:id="143" w:name="page144"/>
    <w:bookmarkEnd w:id="143"/>
    <w:p>
      <w:pPr>
        <w:ind w:firstLine="656"/>
        <w:spacing w:after="0" w:line="236" w:lineRule="auto"/>
        <w:tabs>
          <w:tab w:leader="none" w:pos="747"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titles and headings in the Plan are for convenience of reference only and, if any conflict, the Plan’s text, rather than such titles or headings, will control.</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8"/>
          <w:szCs w:val="18"/>
          <w:u w:val="single" w:color="auto"/>
          <w:color w:val="auto"/>
        </w:rPr>
        <w:t>Conformity to Applicable Law</w:t>
      </w:r>
    </w:p>
    <w:p>
      <w:pPr>
        <w:spacing w:after="0" w:line="189" w:lineRule="exact"/>
        <w:rPr>
          <w:sz w:val="20"/>
          <w:szCs w:val="20"/>
          <w:color w:val="auto"/>
        </w:rPr>
      </w:pPr>
    </w:p>
    <w:p>
      <w:pPr>
        <w:jc w:val="both"/>
        <w:ind w:firstLine="656"/>
        <w:spacing w:after="0" w:line="252" w:lineRule="auto"/>
        <w:tabs>
          <w:tab w:leader="none" w:pos="77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permits, the Plan and all Award Agreements will be deemed amended as necessary to conform to Applicable Law.</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Relationship to Other Benefits</w:t>
      </w:r>
    </w:p>
    <w:p>
      <w:pPr>
        <w:spacing w:after="0" w:line="189" w:lineRule="exact"/>
        <w:rPr>
          <w:sz w:val="20"/>
          <w:szCs w:val="20"/>
          <w:color w:val="auto"/>
        </w:rPr>
      </w:pPr>
    </w:p>
    <w:p>
      <w:pPr>
        <w:jc w:val="both"/>
        <w:ind w:firstLine="656"/>
        <w:spacing w:after="0" w:line="223" w:lineRule="auto"/>
        <w:tabs>
          <w:tab w:leader="none" w:pos="76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Award Agreement shall give the Participant</w:t>
      </w:r>
    </w:p>
    <w:p>
      <w:pPr>
        <w:spacing w:after="0"/>
        <w:rPr>
          <w:sz w:val="20"/>
          <w:szCs w:val="20"/>
          <w:color w:val="auto"/>
        </w:rPr>
      </w:pPr>
      <w:r>
        <w:rPr>
          <w:rFonts w:ascii="Arial" w:cs="Arial" w:eastAsia="Arial" w:hAnsi="Arial"/>
          <w:sz w:val="20"/>
          <w:szCs w:val="20"/>
          <w:color w:val="auto"/>
        </w:rPr>
        <w:t>any rights that are greater than those of a general creditor of the Company or any Subsidiary.</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xml:space="preserve"> Notwithstanding any other provision of the Plan, the Plan and any Award granted or awarded to any individual who is then subject to Section 16 of the Exchange Act shall be subject to any additional limitations set</w:t>
      </w:r>
    </w:p>
    <w:p>
      <w:pPr>
        <w:spacing w:after="0" w:line="222" w:lineRule="auto"/>
        <w:rPr>
          <w:sz w:val="20"/>
          <w:szCs w:val="20"/>
          <w:color w:val="auto"/>
        </w:rPr>
      </w:pPr>
      <w:r>
        <w:rPr>
          <w:rFonts w:ascii="Arial" w:cs="Arial" w:eastAsia="Arial" w:hAnsi="Arial"/>
          <w:sz w:val="19"/>
          <w:szCs w:val="19"/>
          <w:color w:val="auto"/>
        </w:rPr>
        <w:t>forth in any applicable exemptive rule under Section 16 of the Exchange Act (including Rule 16b-3 of the Exchange Act and any</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6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Prohibition on Executive Officer Loans</w:t>
      </w:r>
      <w:r>
        <w:rPr>
          <w:rFonts w:ascii="Arial" w:cs="Arial" w:eastAsia="Arial" w:hAnsi="Arial"/>
          <w:sz w:val="18"/>
          <w:szCs w:val="18"/>
          <w:color w:val="auto"/>
        </w:rPr>
        <w:t>. Notwithstanding any other provision of the Plan to the contrary, no Participant who is an “executive officer” of the Company within the meaning of Section 13(k) of the Exchange Act shall be permitted to make payment with</w:t>
      </w:r>
    </w:p>
    <w:p>
      <w:pPr>
        <w:ind w:right="20"/>
        <w:spacing w:after="0" w:line="227" w:lineRule="auto"/>
        <w:rPr>
          <w:sz w:val="20"/>
          <w:szCs w:val="20"/>
          <w:color w:val="auto"/>
        </w:rPr>
      </w:pPr>
      <w:r>
        <w:rPr>
          <w:rFonts w:ascii="Arial" w:cs="Arial" w:eastAsia="Arial" w:hAnsi="Arial"/>
          <w:sz w:val="20"/>
          <w:szCs w:val="20"/>
          <w:color w:val="auto"/>
        </w:rPr>
        <w:t>respect to any Awards granted under the Plan, or continue any extension of credit with respect to such payment, with a loan from the Company or a loan arranged by the Company in violation of Section 13(k) of the Exchange Act.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u w:val="single" w:color="auto"/>
          <w:color w:val="auto"/>
        </w:rPr>
        <w:t>Broker-Assisted Sales</w:t>
      </w:r>
    </w:p>
    <w:p>
      <w:pPr>
        <w:spacing w:after="0" w:line="189" w:lineRule="exact"/>
        <w:rPr>
          <w:sz w:val="20"/>
          <w:szCs w:val="20"/>
          <w:color w:val="auto"/>
        </w:rPr>
      </w:pPr>
    </w:p>
    <w:p>
      <w:pPr>
        <w:jc w:val="both"/>
        <w:ind w:firstLine="656"/>
        <w:spacing w:after="0" w:line="235" w:lineRule="auto"/>
        <w:tabs>
          <w:tab w:leader="none" w:pos="76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and its directors, officers and other Employees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49"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22"/>
          <w:szCs w:val="22"/>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05"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0"/>
          <w:szCs w:val="20"/>
          <w:b w:val="1"/>
          <w:bCs w:val="1"/>
          <w:color w:val="auto"/>
        </w:rPr>
        <w:t>ARTERIS INC.</w:t>
      </w:r>
    </w:p>
    <w:p>
      <w:pPr>
        <w:jc w:val="center"/>
        <w:spacing w:after="0" w:line="211" w:lineRule="auto"/>
        <w:rPr>
          <w:sz w:val="20"/>
          <w:szCs w:val="20"/>
          <w:color w:val="auto"/>
        </w:rPr>
      </w:pPr>
      <w:r>
        <w:rPr>
          <w:rFonts w:ascii="Arial" w:cs="Arial" w:eastAsia="Arial" w:hAnsi="Arial"/>
          <w:sz w:val="20"/>
          <w:szCs w:val="20"/>
          <w:b w:val="1"/>
          <w:bCs w:val="1"/>
          <w:color w:val="auto"/>
        </w:rPr>
        <w:t>2022 EMPLOYMENT INDUCEMENT INCENTIVE PLAN</w:t>
      </w:r>
    </w:p>
    <w:p>
      <w:pPr>
        <w:jc w:val="center"/>
        <w:spacing w:after="0"/>
        <w:rPr>
          <w:sz w:val="20"/>
          <w:szCs w:val="20"/>
          <w:color w:val="auto"/>
        </w:rPr>
      </w:pPr>
      <w:r>
        <w:rPr>
          <w:rFonts w:ascii="Arial" w:cs="Arial" w:eastAsia="Arial" w:hAnsi="Arial"/>
          <w:sz w:val="20"/>
          <w:szCs w:val="20"/>
          <w:b w:val="1"/>
          <w:bCs w:val="1"/>
          <w:color w:val="auto"/>
        </w:rPr>
        <w:t>STOCK OPTION GRANT NOTICE</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Arteris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2022 Employment Inducement Incentive Plan, as may be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grants to the holder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an option to purchase the number of shares</w:t>
      </w:r>
    </w:p>
    <w:p>
      <w:pPr>
        <w:spacing w:after="0" w:line="235" w:lineRule="auto"/>
        <w:rPr>
          <w:sz w:val="20"/>
          <w:szCs w:val="20"/>
          <w:color w:val="auto"/>
        </w:rPr>
      </w:pPr>
      <w:r>
        <w:rPr>
          <w:rFonts w:ascii="Arial" w:cs="Arial" w:eastAsia="Arial" w:hAnsi="Arial"/>
          <w:sz w:val="18"/>
          <w:szCs w:val="18"/>
          <w:color w:val="auto"/>
        </w:rPr>
        <w:t>of the Company’s Common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set forth below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This Option is subject to all of the terms and conditions set</w:t>
      </w:r>
    </w:p>
    <w:p>
      <w:pPr>
        <w:spacing w:after="0" w:line="226" w:lineRule="auto"/>
        <w:rPr>
          <w:sz w:val="20"/>
          <w:szCs w:val="20"/>
          <w:color w:val="auto"/>
        </w:rPr>
      </w:pPr>
      <w:r>
        <w:rPr>
          <w:rFonts w:ascii="Arial" w:cs="Arial" w:eastAsia="Arial" w:hAnsi="Arial"/>
          <w:sz w:val="18"/>
          <w:szCs w:val="18"/>
          <w:color w:val="auto"/>
        </w:rPr>
        <w:t xml:space="preserve">forth herein, as well as in the Plan and the Stock Option Agreement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Stock Option Agreement</w:t>
      </w:r>
      <w:r>
        <w:rPr>
          <w:rFonts w:ascii="Arial" w:cs="Arial" w:eastAsia="Arial" w:hAnsi="Arial"/>
          <w:sz w:val="18"/>
          <w:szCs w:val="18"/>
          <w:color w:val="auto"/>
        </w:rPr>
        <w:t>”) including any special provisions for Participant’s country of residence, if any, set forth in the Appendix for Participant’s Country (the “</w:t>
      </w:r>
      <w:r>
        <w:rPr>
          <w:rFonts w:ascii="Arial" w:cs="Arial" w:eastAsia="Arial" w:hAnsi="Arial"/>
          <w:sz w:val="18"/>
          <w:szCs w:val="18"/>
          <w:b w:val="1"/>
          <w:bCs w:val="1"/>
          <w:i w:val="1"/>
          <w:iCs w:val="1"/>
          <w:color w:val="auto"/>
        </w:rPr>
        <w:t>Country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b w:val="1"/>
          <w:bCs w:val="1"/>
          <w:i w:val="1"/>
          <w:iCs w:val="1"/>
          <w:color w:val="auto"/>
        </w:rPr>
        <w:t>Provisions</w:t>
      </w:r>
      <w:r>
        <w:rPr>
          <w:rFonts w:ascii="Arial" w:cs="Arial" w:eastAsia="Arial" w:hAnsi="Arial"/>
          <w:sz w:val="20"/>
          <w:szCs w:val="20"/>
          <w:color w:val="auto"/>
        </w:rPr>
        <w:t>”), each of which are incorporated herein by reference. Unless otherwise defined herein, the terms defined in the Plan shall have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same defined meanings in this Grant Notice, the Country Provisions and the Stock Option Agreement.</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350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1580" w:type="dxa"/>
            <w:vAlign w:val="bottom"/>
          </w:tcPr>
          <w:p>
            <w:pPr>
              <w:jc w:val="right"/>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310"/>
        </w:trPr>
        <w:tc>
          <w:tcPr>
            <w:tcW w:w="3500" w:type="dxa"/>
            <w:vAlign w:val="bottom"/>
          </w:tcPr>
          <w:p>
            <w:pPr>
              <w:ind w:left="20"/>
              <w:spacing w:after="0"/>
              <w:rPr>
                <w:sz w:val="20"/>
                <w:szCs w:val="20"/>
                <w:color w:val="auto"/>
              </w:rPr>
            </w:pPr>
            <w:r>
              <w:rPr>
                <w:rFonts w:ascii="Arial" w:cs="Arial" w:eastAsia="Arial" w:hAnsi="Arial"/>
                <w:sz w:val="20"/>
                <w:szCs w:val="20"/>
                <w:b w:val="1"/>
                <w:bCs w:val="1"/>
                <w:color w:val="auto"/>
              </w:rPr>
              <w:t>Grant Date:</w:t>
            </w:r>
          </w:p>
        </w:tc>
        <w:tc>
          <w:tcPr>
            <w:tcW w:w="1580" w:type="dxa"/>
            <w:vAlign w:val="bottom"/>
          </w:tcPr>
          <w:p>
            <w:pPr>
              <w:jc w:val="right"/>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257"/>
        </w:trPr>
        <w:tc>
          <w:tcPr>
            <w:tcW w:w="3500" w:type="dxa"/>
            <w:vAlign w:val="bottom"/>
          </w:tcPr>
          <w:p>
            <w:pPr>
              <w:ind w:left="20"/>
              <w:spacing w:after="0"/>
              <w:rPr>
                <w:sz w:val="20"/>
                <w:szCs w:val="20"/>
                <w:color w:val="auto"/>
              </w:rPr>
            </w:pPr>
            <w:r>
              <w:rPr>
                <w:rFonts w:ascii="Arial" w:cs="Arial" w:eastAsia="Arial" w:hAnsi="Arial"/>
                <w:sz w:val="20"/>
                <w:szCs w:val="20"/>
                <w:b w:val="1"/>
                <w:bCs w:val="1"/>
                <w:color w:val="auto"/>
              </w:rPr>
              <w:t>Vesting Commencement Date:</w:t>
            </w:r>
          </w:p>
        </w:tc>
        <w:tc>
          <w:tcPr>
            <w:tcW w:w="1580" w:type="dxa"/>
            <w:vAlign w:val="bottom"/>
          </w:tcPr>
          <w:p>
            <w:pPr>
              <w:jc w:val="right"/>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257"/>
        </w:trPr>
        <w:tc>
          <w:tcPr>
            <w:tcW w:w="3500" w:type="dxa"/>
            <w:vAlign w:val="bottom"/>
          </w:tcPr>
          <w:p>
            <w:pPr>
              <w:ind w:left="20"/>
              <w:spacing w:after="0"/>
              <w:rPr>
                <w:sz w:val="20"/>
                <w:szCs w:val="20"/>
                <w:color w:val="auto"/>
              </w:rPr>
            </w:pPr>
            <w:r>
              <w:rPr>
                <w:rFonts w:ascii="Arial" w:cs="Arial" w:eastAsia="Arial" w:hAnsi="Arial"/>
                <w:sz w:val="20"/>
                <w:szCs w:val="20"/>
                <w:b w:val="1"/>
                <w:bCs w:val="1"/>
                <w:color w:val="auto"/>
              </w:rPr>
              <w:t>Exercise Price per Share:</w:t>
            </w:r>
          </w:p>
        </w:tc>
        <w:tc>
          <w:tcPr>
            <w:tcW w:w="1580" w:type="dxa"/>
            <w:vAlign w:val="bottom"/>
          </w:tcPr>
          <w:p>
            <w:pPr>
              <w:jc w:val="right"/>
              <w:spacing w:after="0"/>
              <w:rPr>
                <w:sz w:val="20"/>
                <w:szCs w:val="20"/>
                <w:color w:val="auto"/>
              </w:rPr>
            </w:pPr>
            <w:r>
              <w:rPr>
                <w:rFonts w:ascii="Arial" w:cs="Arial" w:eastAsia="Arial" w:hAnsi="Arial"/>
                <w:sz w:val="20"/>
                <w:szCs w:val="20"/>
                <w:color w:val="auto"/>
              </w:rPr>
              <w:t>$[___________]</w:t>
            </w:r>
          </w:p>
        </w:tc>
        <w:tc>
          <w:tcPr>
            <w:tcW w:w="0" w:type="dxa"/>
            <w:vAlign w:val="bottom"/>
          </w:tcPr>
          <w:p>
            <w:pPr>
              <w:spacing w:after="0"/>
              <w:rPr>
                <w:sz w:val="1"/>
                <w:szCs w:val="1"/>
                <w:color w:val="auto"/>
              </w:rPr>
            </w:pPr>
          </w:p>
        </w:tc>
      </w:tr>
      <w:tr>
        <w:trPr>
          <w:trHeight w:val="256"/>
        </w:trPr>
        <w:tc>
          <w:tcPr>
            <w:tcW w:w="3500" w:type="dxa"/>
            <w:vAlign w:val="bottom"/>
          </w:tcPr>
          <w:p>
            <w:pPr>
              <w:ind w:left="20"/>
              <w:spacing w:after="0"/>
              <w:rPr>
                <w:sz w:val="20"/>
                <w:szCs w:val="20"/>
                <w:color w:val="auto"/>
              </w:rPr>
            </w:pPr>
            <w:r>
              <w:rPr>
                <w:rFonts w:ascii="Arial" w:cs="Arial" w:eastAsia="Arial" w:hAnsi="Arial"/>
                <w:sz w:val="20"/>
                <w:szCs w:val="20"/>
                <w:b w:val="1"/>
                <w:bCs w:val="1"/>
                <w:color w:val="auto"/>
              </w:rPr>
              <w:t>Total Exercise Price:</w:t>
            </w:r>
          </w:p>
        </w:tc>
        <w:tc>
          <w:tcPr>
            <w:tcW w:w="1580" w:type="dxa"/>
            <w:vAlign w:val="bottom"/>
          </w:tcPr>
          <w:p>
            <w:pPr>
              <w:jc w:val="right"/>
              <w:spacing w:after="0"/>
              <w:rPr>
                <w:sz w:val="20"/>
                <w:szCs w:val="20"/>
                <w:color w:val="auto"/>
              </w:rPr>
            </w:pPr>
            <w:r>
              <w:rPr>
                <w:rFonts w:ascii="Arial" w:cs="Arial" w:eastAsia="Arial" w:hAnsi="Arial"/>
                <w:sz w:val="20"/>
                <w:szCs w:val="20"/>
                <w:color w:val="auto"/>
              </w:rPr>
              <w:t>$[___________]</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20"/>
                <w:szCs w:val="20"/>
                <w:b w:val="1"/>
                <w:bCs w:val="1"/>
                <w:color w:val="auto"/>
                <w:w w:val="95"/>
              </w:rPr>
              <w:t>Total Number of Shares Subject to the</w:t>
            </w:r>
          </w:p>
        </w:tc>
        <w:tc>
          <w:tcPr>
            <w:tcW w:w="1580" w:type="dxa"/>
            <w:vAlign w:val="bottom"/>
            <w:vMerge w:val="restart"/>
          </w:tcPr>
          <w:p>
            <w:pPr>
              <w:jc w:val="right"/>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148"/>
        </w:trPr>
        <w:tc>
          <w:tcPr>
            <w:tcW w:w="35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Option:</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5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3500" w:type="dxa"/>
            <w:vAlign w:val="bottom"/>
          </w:tcPr>
          <w:p>
            <w:pPr>
              <w:spacing w:after="0"/>
              <w:rPr>
                <w:sz w:val="20"/>
                <w:szCs w:val="20"/>
                <w:color w:val="auto"/>
              </w:rPr>
            </w:pPr>
            <w:r>
              <w:rPr>
                <w:rFonts w:ascii="Arial" w:cs="Arial" w:eastAsia="Arial" w:hAnsi="Arial"/>
                <w:sz w:val="20"/>
                <w:szCs w:val="20"/>
                <w:b w:val="1"/>
                <w:bCs w:val="1"/>
                <w:color w:val="auto"/>
              </w:rPr>
              <w:t>Expiration Date:</w:t>
            </w:r>
          </w:p>
        </w:tc>
        <w:tc>
          <w:tcPr>
            <w:tcW w:w="1580" w:type="dxa"/>
            <w:vAlign w:val="bottom"/>
          </w:tcPr>
          <w:p>
            <w:pPr>
              <w:jc w:val="right"/>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365"/>
        </w:trPr>
        <w:tc>
          <w:tcPr>
            <w:tcW w:w="350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1580" w:type="dxa"/>
            <w:vAlign w:val="bottom"/>
          </w:tcPr>
          <w:p>
            <w:pPr>
              <w:jc w:val="right"/>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b w:val="1"/>
          <w:bCs w:val="1"/>
          <w:color w:val="auto"/>
        </w:rPr>
        <w:t>Type of Option:</w:t>
      </w:r>
      <w:r>
        <w:rPr>
          <w:sz w:val="20"/>
          <w:szCs w:val="20"/>
          <w:color w:val="auto"/>
        </w:rPr>
        <w:tab/>
      </w:r>
      <w:r>
        <w:rPr>
          <w:rFonts w:ascii="Arial" w:cs="Arial" w:eastAsia="Arial" w:hAnsi="Arial"/>
          <w:sz w:val="18"/>
          <w:szCs w:val="18"/>
          <w:color w:val="auto"/>
        </w:rPr>
        <w:t>Nonqualified Stock Option</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If the Company uses an electronic capitalization table system (such as Shareworks, Carta or Equity Edge) and the fields in this Grant Notice are blank or the information is otherwise provided in a different format electronically, the blank fields and other information will be</w:t>
      </w:r>
    </w:p>
    <w:p>
      <w:pPr>
        <w:spacing w:after="0" w:line="235" w:lineRule="auto"/>
        <w:rPr>
          <w:sz w:val="20"/>
          <w:szCs w:val="20"/>
          <w:color w:val="auto"/>
        </w:rPr>
      </w:pPr>
      <w:r>
        <w:rPr>
          <w:rFonts w:ascii="Arial" w:cs="Arial" w:eastAsia="Arial" w:hAnsi="Arial"/>
          <w:sz w:val="18"/>
          <w:szCs w:val="18"/>
          <w:color w:val="auto"/>
        </w:rPr>
        <w:t>deemed to come from the electronic capitalization system and is considered part of this Grant Notice. In addition, the Company’s signature</w:t>
      </w:r>
    </w:p>
    <w:p>
      <w:pPr>
        <w:spacing w:after="0" w:line="226" w:lineRule="auto"/>
        <w:rPr>
          <w:sz w:val="20"/>
          <w:szCs w:val="20"/>
          <w:color w:val="auto"/>
        </w:rPr>
      </w:pPr>
      <w:r>
        <w:rPr>
          <w:rFonts w:ascii="Arial" w:cs="Arial" w:eastAsia="Arial" w:hAnsi="Arial"/>
          <w:sz w:val="18"/>
          <w:szCs w:val="18"/>
          <w:color w:val="auto"/>
        </w:rPr>
        <w:t>below shall be deemed to have occurred by the Company’s input of the Option in such electronic capitalization table system and the Participant’s signature below shall be deemed to have occurred by the Participant’s online acceptance of the Option through such electronic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capitalization table system.</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By his or her signature and the Company’s signature below, Participant agrees to be bound by the terms and conditions of the Plan, the Stock Option Agreement and this Grant Notice. Participant has reviewed the Plan, the Stock Option Agreement and this Grant Notice in</w:t>
      </w:r>
    </w:p>
    <w:p>
      <w:pPr>
        <w:spacing w:after="0" w:line="235" w:lineRule="auto"/>
        <w:rPr>
          <w:sz w:val="20"/>
          <w:szCs w:val="20"/>
          <w:color w:val="auto"/>
        </w:rPr>
      </w:pPr>
      <w:r>
        <w:rPr>
          <w:rFonts w:ascii="Arial" w:cs="Arial" w:eastAsia="Arial" w:hAnsi="Arial"/>
          <w:sz w:val="18"/>
          <w:szCs w:val="18"/>
          <w:color w:val="auto"/>
        </w:rPr>
        <w:t>their entirety, has had an opportunity to obtain the advice of counsel prior to executing this Grant Notice and fully understands all provisions</w:t>
      </w:r>
    </w:p>
    <w:p>
      <w:pPr>
        <w:jc w:val="both"/>
        <w:spacing w:after="0" w:line="250" w:lineRule="auto"/>
        <w:rPr>
          <w:sz w:val="20"/>
          <w:szCs w:val="20"/>
          <w:color w:val="auto"/>
        </w:rPr>
      </w:pPr>
      <w:r>
        <w:rPr>
          <w:rFonts w:ascii="Arial" w:cs="Arial" w:eastAsia="Arial" w:hAnsi="Arial"/>
          <w:sz w:val="18"/>
          <w:szCs w:val="18"/>
          <w:color w:val="auto"/>
        </w:rPr>
        <w:t>of the Plan, the Stock Option Agreement and this Grant Notice. Participant hereby agrees to accept as binding, conclusive and final all decisions or interpretations of the Administrator upon any questions arising under the Plan, the Stock Option Agreement or this Grant Notice.</w:t>
      </w:r>
    </w:p>
    <w:p>
      <w:pPr>
        <w:sectPr>
          <w:pgSz w:w="11900" w:h="16838" w:orient="portrait"/>
          <w:cols w:equalWidth="0" w:num="1">
            <w:col w:w="11240"/>
          </w:cols>
          <w:pgMar w:left="320" w:top="1137" w:right="339" w:bottom="1440" w:gutter="0" w:footer="0" w:header="0"/>
        </w:sectPr>
      </w:pPr>
    </w:p>
    <w:bookmarkStart w:id="145" w:name="page146"/>
    <w:bookmarkEnd w:id="145"/>
    <w:p>
      <w:pPr>
        <w:ind w:left="60"/>
        <w:spacing w:after="0"/>
        <w:tabs>
          <w:tab w:leader="none" w:pos="1580" w:val="left"/>
        </w:tabs>
        <w:rPr>
          <w:sz w:val="20"/>
          <w:szCs w:val="20"/>
          <w:color w:val="auto"/>
        </w:rPr>
      </w:pPr>
      <w:r>
        <w:rPr>
          <w:rFonts w:ascii="Arial" w:cs="Arial" w:eastAsia="Arial" w:hAnsi="Arial"/>
          <w:sz w:val="20"/>
          <w:szCs w:val="20"/>
          <w:color w:val="auto"/>
        </w:rPr>
        <w:t xml:space="preserve">ARTERIS </w:t>
      </w:r>
      <w:r>
        <w:rPr>
          <w:rFonts w:ascii="Arial" w:cs="Arial" w:eastAsia="Arial" w:hAnsi="Arial"/>
          <w:sz w:val="20"/>
          <w:szCs w:val="20"/>
          <w:b w:val="1"/>
          <w:bCs w:val="1"/>
          <w:color w:val="auto"/>
        </w:rPr>
        <w:t>INC.:</w:t>
      </w:r>
      <w:r>
        <w:rPr>
          <w:sz w:val="20"/>
          <w:szCs w:val="20"/>
          <w:color w:val="auto"/>
        </w:rPr>
        <w:tab/>
      </w:r>
      <w:r>
        <w:rPr>
          <w:rFonts w:ascii="Arial" w:cs="Arial" w:eastAsia="Arial" w:hAnsi="Arial"/>
          <w:sz w:val="18"/>
          <w:szCs w:val="18"/>
          <w:b w:val="1"/>
          <w:bCs w:val="1"/>
          <w:color w:val="auto"/>
        </w:rPr>
        <w:t>Holder:</w:t>
      </w:r>
    </w:p>
    <w:p>
      <w:pPr>
        <w:spacing w:after="0" w:line="20" w:lineRule="exact"/>
        <w:rPr>
          <w:sz w:val="20"/>
          <w:szCs w:val="20"/>
          <w:color w:val="auto"/>
        </w:rPr>
      </w:pPr>
      <w:r>
        <w:rPr>
          <w:sz w:val="20"/>
          <w:szCs w:val="20"/>
          <w:color w:val="auto"/>
        </w:rPr>
        <w:br w:type="column"/>
      </w:r>
    </w:p>
    <w:p>
      <w:pPr>
        <w:jc w:val="center"/>
        <w:ind w:right="3119"/>
        <w:spacing w:after="0"/>
        <w:rPr>
          <w:sz w:val="20"/>
          <w:szCs w:val="20"/>
          <w:color w:val="auto"/>
        </w:rPr>
      </w:pPr>
      <w:r>
        <w:rPr>
          <w:rFonts w:ascii="Arial" w:cs="Arial" w:eastAsia="Arial" w:hAnsi="Arial"/>
          <w:sz w:val="19"/>
          <w:szCs w:val="19"/>
          <w:b w:val="1"/>
          <w:bCs w:val="1"/>
          <w:color w:val="auto"/>
        </w:rPr>
        <w:t>PARTICIPANT:</w:t>
      </w:r>
    </w:p>
    <w:p>
      <w:pPr>
        <w:spacing w:after="0" w:line="152" w:lineRule="exact"/>
        <w:rPr>
          <w:sz w:val="20"/>
          <w:szCs w:val="20"/>
          <w:color w:val="auto"/>
        </w:rPr>
      </w:pPr>
    </w:p>
    <w:p>
      <w:pPr>
        <w:sectPr>
          <w:pgSz w:w="11900" w:h="16838" w:orient="portrait"/>
          <w:cols w:equalWidth="0" w:num="2">
            <w:col w:w="4880" w:space="720"/>
            <w:col w:w="4519"/>
          </w:cols>
          <w:pgMar w:left="340" w:top="1210" w:right="1440" w:bottom="1440" w:gutter="0" w:footer="0" w:header="0"/>
        </w:sectPr>
      </w:pPr>
    </w:p>
    <w:p>
      <w:pPr>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50" w:lineRule="exact"/>
        <w:rPr>
          <w:sz w:val="20"/>
          <w:szCs w:val="20"/>
          <w:color w:val="auto"/>
        </w:rPr>
      </w:pPr>
    </w:p>
    <w:p>
      <w:pPr>
        <w:sectPr>
          <w:pgSz w:w="11900" w:h="16838" w:orient="portrait"/>
          <w:cols w:equalWidth="0" w:num="2">
            <w:col w:w="4880" w:space="720"/>
            <w:col w:w="4519"/>
          </w:cols>
          <w:pgMar w:left="340" w:top="1210" w:right="1440" w:bottom="1440" w:gutter="0" w:footer="0" w:header="0"/>
          <w:type w:val="continuous"/>
        </w:sectPr>
      </w:pPr>
    </w:p>
    <w:p>
      <w:pPr>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0119"/>
          </w:cols>
          <w:pgMar w:left="340" w:top="1210" w:right="1440"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ectPr>
          <w:pgSz w:w="11900" w:h="16838" w:orient="portrait"/>
          <w:cols w:equalWidth="0" w:num="2">
            <w:col w:w="4880" w:space="720"/>
            <w:col w:w="4519"/>
          </w:cols>
          <w:pgMar w:left="340" w:top="1210" w:right="1440" w:bottom="1440" w:gutter="0" w:footer="0" w:header="0"/>
          <w:type w:val="continuous"/>
        </w:sectPr>
      </w:pPr>
    </w:p>
    <w:bookmarkStart w:id="146" w:name="page147"/>
    <w:bookmarkEnd w:id="146"/>
    <w:p>
      <w:pPr>
        <w:jc w:val="center"/>
        <w:spacing w:after="0"/>
        <w:rPr>
          <w:sz w:val="20"/>
          <w:szCs w:val="20"/>
          <w:color w:val="auto"/>
        </w:rPr>
      </w:pPr>
      <w:r>
        <w:rPr>
          <w:rFonts w:ascii="Arial" w:cs="Arial" w:eastAsia="Arial" w:hAnsi="Arial"/>
          <w:sz w:val="20"/>
          <w:szCs w:val="20"/>
          <w:b w:val="1"/>
          <w:bCs w:val="1"/>
          <w:color w:val="auto"/>
        </w:rPr>
        <w:t>EXHIBIT A</w:t>
      </w:r>
    </w:p>
    <w:p>
      <w:pPr>
        <w:jc w:val="center"/>
        <w:spacing w:after="0"/>
        <w:rPr>
          <w:sz w:val="20"/>
          <w:szCs w:val="20"/>
          <w:color w:val="auto"/>
        </w:rPr>
      </w:pPr>
      <w:r>
        <w:rPr>
          <w:rFonts w:ascii="Arial" w:cs="Arial" w:eastAsia="Arial" w:hAnsi="Arial"/>
          <w:sz w:val="20"/>
          <w:szCs w:val="20"/>
          <w:b w:val="1"/>
          <w:bCs w:val="1"/>
          <w:color w:val="auto"/>
        </w:rPr>
        <w:t>TO STOCK OPTION GRANT NOTICE</w:t>
      </w:r>
    </w:p>
    <w:p>
      <w:pPr>
        <w:spacing w:after="0" w:line="126"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STOCK OPTION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the Stock Option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to which this Stock Option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w:t>
      </w:r>
    </w:p>
    <w:p>
      <w:pPr>
        <w:spacing w:after="0" w:line="226" w:lineRule="auto"/>
        <w:rPr>
          <w:sz w:val="20"/>
          <w:szCs w:val="20"/>
          <w:color w:val="auto"/>
        </w:rPr>
      </w:pPr>
      <w:r>
        <w:rPr>
          <w:rFonts w:ascii="Arial" w:cs="Arial" w:eastAsia="Arial" w:hAnsi="Arial"/>
          <w:sz w:val="18"/>
          <w:szCs w:val="18"/>
          <w:color w:val="auto"/>
        </w:rPr>
        <w:t>attached, Arteris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Participant an Option under the Company’s 2022 Employment Inducement Incentive Plan, as may be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indicated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Grant Notice.</w:t>
      </w:r>
    </w:p>
    <w:p>
      <w:pPr>
        <w:spacing w:after="0" w:line="329"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I.</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w:t>
      </w:r>
    </w:p>
    <w:p>
      <w:pPr>
        <w:spacing w:after="0" w:line="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Plan and the Grant</w:t>
      </w:r>
    </w:p>
    <w:p>
      <w:pPr>
        <w:spacing w:after="0"/>
        <w:rPr>
          <w:sz w:val="20"/>
          <w:szCs w:val="20"/>
          <w:color w:val="auto"/>
        </w:rPr>
      </w:pPr>
      <w:r>
        <w:rPr>
          <w:rFonts w:ascii="Arial" w:cs="Arial" w:eastAsia="Arial" w:hAnsi="Arial"/>
          <w:sz w:val="20"/>
          <w:szCs w:val="20"/>
          <w:color w:val="auto"/>
        </w:rPr>
        <w:t>Notice.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Option is subject to the terms and conditions of the Plan which are incorporated herein</w:t>
      </w:r>
    </w:p>
    <w:p>
      <w:pPr>
        <w:spacing w:after="0" w:line="226" w:lineRule="auto"/>
        <w:rPr>
          <w:sz w:val="20"/>
          <w:szCs w:val="20"/>
          <w:color w:val="auto"/>
        </w:rPr>
      </w:pPr>
      <w:r>
        <w:rPr>
          <w:rFonts w:ascii="Arial" w:cs="Arial" w:eastAsia="Arial" w:hAnsi="Arial"/>
          <w:sz w:val="18"/>
          <w:szCs w:val="18"/>
          <w:color w:val="auto"/>
        </w:rPr>
        <w:t>by reference. In the event of any inconsistency between the Plan and this Agreement, the terms of the Plan shall control. If the Country Provisions apply to Participant, in the event of a conflict between the terms of this Agreement, the Grant Notice or the Plan and the Country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Provisions, the terms of the Country Provisions shall control.</w:t>
      </w:r>
    </w:p>
    <w:p>
      <w:pPr>
        <w:spacing w:after="0" w:line="302"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OPTION</w:t>
      </w:r>
    </w:p>
    <w:p>
      <w:pPr>
        <w:spacing w:after="0" w:line="10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Grant of Option</w:t>
      </w:r>
      <w:r>
        <w:rPr>
          <w:rFonts w:ascii="Arial" w:cs="Arial" w:eastAsia="Arial" w:hAnsi="Arial"/>
          <w:sz w:val="18"/>
          <w:szCs w:val="18"/>
          <w:color w:val="auto"/>
        </w:rPr>
        <w:t>. In consideration of Participant commencing employment with the Company or any Subsidiary and for other good and valuable consideration, effective as of the Grant Date set forth in the Grant Notice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the Company irrevocably</w:t>
      </w:r>
    </w:p>
    <w:p>
      <w:pPr>
        <w:spacing w:after="0" w:line="235" w:lineRule="auto"/>
        <w:rPr>
          <w:sz w:val="20"/>
          <w:szCs w:val="20"/>
          <w:color w:val="auto"/>
        </w:rPr>
      </w:pPr>
      <w:r>
        <w:rPr>
          <w:rFonts w:ascii="Arial" w:cs="Arial" w:eastAsia="Arial" w:hAnsi="Arial"/>
          <w:sz w:val="18"/>
          <w:szCs w:val="18"/>
          <w:color w:val="auto"/>
        </w:rPr>
        <w:t>grants to Participant the Option to purchase any part or all of an aggregate of the number of Shares set forth in the Grant Notice, upon the</w:t>
      </w:r>
    </w:p>
    <w:p>
      <w:pPr>
        <w:spacing w:after="0" w:line="220" w:lineRule="auto"/>
        <w:rPr>
          <w:sz w:val="20"/>
          <w:szCs w:val="20"/>
          <w:color w:val="auto"/>
        </w:rPr>
      </w:pPr>
      <w:r>
        <w:rPr>
          <w:rFonts w:ascii="Arial" w:cs="Arial" w:eastAsia="Arial" w:hAnsi="Arial"/>
          <w:sz w:val="20"/>
          <w:szCs w:val="20"/>
          <w:color w:val="auto"/>
        </w:rPr>
        <w:t>terms and conditions set forth in the Plan, this Agreement, and the Country Provisions (if applicable), subject to adjustments as provided in Article IX of the Plan. This Option shall be treated as a Nonqualified Stock Option.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u w:val="single" w:color="auto"/>
          <w:color w:val="auto"/>
        </w:rPr>
        <w:t>Exercise Price</w:t>
      </w:r>
      <w:r>
        <w:rPr>
          <w:rFonts w:ascii="Arial" w:cs="Arial" w:eastAsia="Arial" w:hAnsi="Arial"/>
          <w:sz w:val="19"/>
          <w:szCs w:val="19"/>
          <w:color w:val="auto"/>
        </w:rPr>
        <w:t>. The exercise price of the Shares subject to the Option shall be as set forth in the Grant Notice, without</w:t>
      </w:r>
    </w:p>
    <w:p>
      <w:pPr>
        <w:spacing w:after="0" w:line="220" w:lineRule="auto"/>
        <w:rPr>
          <w:sz w:val="20"/>
          <w:szCs w:val="20"/>
          <w:color w:val="auto"/>
        </w:rPr>
      </w:pPr>
      <w:r>
        <w:rPr>
          <w:rFonts w:ascii="Arial" w:cs="Arial" w:eastAsia="Arial" w:hAnsi="Arial"/>
          <w:sz w:val="20"/>
          <w:szCs w:val="20"/>
          <w:color w:val="auto"/>
        </w:rPr>
        <w:t xml:space="preserve">commission or other charge;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exercise price per share of the Shares subject to the Option shall not be less than 100% of the Fair Market Value of a Share on the Grant Date.</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Consideration to the Company</w:t>
      </w:r>
      <w:r>
        <w:rPr>
          <w:rFonts w:ascii="Arial" w:cs="Arial" w:eastAsia="Arial" w:hAnsi="Arial"/>
          <w:sz w:val="20"/>
          <w:szCs w:val="20"/>
          <w:color w:val="auto"/>
        </w:rPr>
        <w:t>. In consideration of the grant of the Option by the Company, Participant agrees to render faithful and efficient services to the Company and its Subsidiaries, as applicable.</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PERIOD OF EXERCISABILITY</w:t>
      </w:r>
    </w:p>
    <w:p>
      <w:pPr>
        <w:spacing w:after="0" w:line="1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u w:val="single" w:color="auto"/>
          <w:color w:val="auto"/>
        </w:rPr>
        <w:t>Commencement of Exercisability</w:t>
      </w:r>
      <w:r>
        <w:rPr>
          <w:rFonts w:ascii="Arial" w:cs="Arial" w:eastAsia="Arial" w:hAnsi="Arial"/>
          <w:sz w:val="18"/>
          <w:szCs w:val="18"/>
          <w:color w:val="auto"/>
        </w:rPr>
        <w:t>.</w:t>
      </w:r>
    </w:p>
    <w:p>
      <w:pPr>
        <w:spacing w:after="0" w:line="189" w:lineRule="exact"/>
        <w:rPr>
          <w:sz w:val="20"/>
          <w:szCs w:val="20"/>
          <w:color w:val="auto"/>
        </w:rPr>
      </w:pPr>
    </w:p>
    <w:p>
      <w:pPr>
        <w:ind w:firstLine="1304"/>
        <w:spacing w:after="0" w:line="236" w:lineRule="auto"/>
        <w:tabs>
          <w:tab w:leader="none" w:pos="1934" w:val="left"/>
        </w:tabs>
        <w:numPr>
          <w:ilvl w:val="0"/>
          <w:numId w:val="154"/>
        </w:numPr>
        <w:rPr>
          <w:rFonts w:ascii="Arial" w:cs="Arial" w:eastAsia="Arial" w:hAnsi="Arial"/>
          <w:sz w:val="20"/>
          <w:szCs w:val="20"/>
          <w:color w:val="auto"/>
        </w:rPr>
      </w:pPr>
      <w:r>
        <w:rPr>
          <w:rFonts w:ascii="Arial" w:cs="Arial" w:eastAsia="Arial" w:hAnsi="Arial"/>
          <w:sz w:val="20"/>
          <w:szCs w:val="20"/>
          <w:color w:val="auto"/>
        </w:rPr>
        <w:t>Subject to this Section 3.1 and Sections 3.2, 3.3, 5.11 and 5.16 hereof, the Option shall become vested and exercisable in such amounts and at such times as are set forth in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394" w:right="339" w:bottom="1440" w:gutter="0" w:footer="0" w:header="0"/>
        </w:sectPr>
      </w:pPr>
    </w:p>
    <w:bookmarkStart w:id="147" w:name="page148"/>
    <w:bookmarkEnd w:id="147"/>
    <w:p>
      <w:pPr>
        <w:jc w:val="both"/>
        <w:ind w:firstLine="1304"/>
        <w:spacing w:after="0" w:line="235" w:lineRule="auto"/>
        <w:tabs>
          <w:tab w:leader="none" w:pos="193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(or any Subsidiary that is the employer of Participant) and Participant.</w:t>
      </w:r>
    </w:p>
    <w:p>
      <w:pPr>
        <w:spacing w:after="0" w:line="168" w:lineRule="exact"/>
        <w:rPr>
          <w:rFonts w:ascii="Arial" w:cs="Arial" w:eastAsia="Arial" w:hAnsi="Arial"/>
          <w:sz w:val="19"/>
          <w:szCs w:val="19"/>
          <w:color w:val="auto"/>
        </w:rPr>
      </w:pPr>
    </w:p>
    <w:p>
      <w:pPr>
        <w:ind w:firstLine="1304"/>
        <w:spacing w:after="0" w:line="236" w:lineRule="auto"/>
        <w:tabs>
          <w:tab w:leader="none" w:pos="1934" w:val="left"/>
        </w:tabs>
        <w:numPr>
          <w:ilvl w:val="0"/>
          <w:numId w:val="155"/>
        </w:numPr>
        <w:rPr>
          <w:rFonts w:ascii="Arial" w:cs="Arial" w:eastAsia="Arial" w:hAnsi="Arial"/>
          <w:sz w:val="20"/>
          <w:szCs w:val="20"/>
          <w:color w:val="auto"/>
        </w:rPr>
      </w:pPr>
      <w:r>
        <w:rPr>
          <w:rFonts w:ascii="Arial" w:cs="Arial" w:eastAsia="Arial" w:hAnsi="Arial"/>
          <w:sz w:val="20"/>
          <w:szCs w:val="20"/>
          <w:color w:val="auto"/>
        </w:rPr>
        <w:t>Notwithstanding Section 3.1(a) hereof and the Grant Notice, but subject to Section 3.1(b) hereof, in the event of a Change in Control the Option shall be treated pursuant to Sections 9.2 and 9.3 of the Plan.</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Duration of Exercisability</w:t>
      </w:r>
      <w:r>
        <w:rPr>
          <w:rFonts w:ascii="Arial" w:cs="Arial" w:eastAsia="Arial" w:hAnsi="Arial"/>
          <w:sz w:val="20"/>
          <w:szCs w:val="20"/>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9"/>
          <w:szCs w:val="19"/>
          <w:u w:val="single" w:color="auto"/>
          <w:color w:val="auto"/>
        </w:rPr>
        <w:t>Expiration of Option</w:t>
      </w:r>
      <w:r>
        <w:rPr>
          <w:rFonts w:ascii="Arial" w:cs="Arial" w:eastAsia="Arial" w:hAnsi="Arial"/>
          <w:sz w:val="19"/>
          <w:szCs w:val="19"/>
          <w:color w:val="auto"/>
        </w:rPr>
        <w:t>. The Option may not be exercised to any extent by anyone after the first to occur of the following</w:t>
      </w:r>
    </w:p>
    <w:p>
      <w:pPr>
        <w:spacing w:after="0"/>
        <w:rPr>
          <w:sz w:val="20"/>
          <w:szCs w:val="20"/>
          <w:color w:val="auto"/>
        </w:rPr>
      </w:pPr>
      <w:r>
        <w:rPr>
          <w:rFonts w:ascii="Arial" w:cs="Arial" w:eastAsia="Arial" w:hAnsi="Arial"/>
          <w:sz w:val="20"/>
          <w:szCs w:val="20"/>
          <w:color w:val="auto"/>
        </w:rPr>
        <w:t>events:</w:t>
      </w:r>
    </w:p>
    <w:p>
      <w:pPr>
        <w:spacing w:after="0" w:line="171" w:lineRule="exact"/>
        <w:rPr>
          <w:sz w:val="20"/>
          <w:szCs w:val="20"/>
          <w:color w:val="auto"/>
        </w:rPr>
      </w:pPr>
    </w:p>
    <w:p>
      <w:pPr>
        <w:ind w:left="1940" w:hanging="636"/>
        <w:spacing w:after="0"/>
        <w:tabs>
          <w:tab w:leader="none" w:pos="19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Expiration Date set forth in the Grant Notice, which shall in no event be more than ten years from the Grant</w:t>
      </w:r>
    </w:p>
    <w:p>
      <w:pPr>
        <w:spacing w:after="0"/>
        <w:rPr>
          <w:sz w:val="20"/>
          <w:szCs w:val="20"/>
          <w:color w:val="auto"/>
        </w:rPr>
      </w:pPr>
      <w:r>
        <w:rPr>
          <w:rFonts w:ascii="Arial" w:cs="Arial" w:eastAsia="Arial" w:hAnsi="Arial"/>
          <w:sz w:val="20"/>
          <w:szCs w:val="20"/>
          <w:color w:val="auto"/>
        </w:rPr>
        <w:t>Date;</w:t>
      </w:r>
    </w:p>
    <w:p>
      <w:pPr>
        <w:spacing w:after="0" w:line="173" w:lineRule="exact"/>
        <w:rPr>
          <w:sz w:val="20"/>
          <w:szCs w:val="20"/>
          <w:color w:val="auto"/>
        </w:rPr>
      </w:pPr>
    </w:p>
    <w:p>
      <w:pPr>
        <w:ind w:firstLine="1304"/>
        <w:spacing w:after="0" w:line="236" w:lineRule="auto"/>
        <w:tabs>
          <w:tab w:leader="none" w:pos="1932"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expiration of three months from the date of Participant’s Termination of Service, unless such termination occurs by reason of Participant’s death or Disability or Cause;</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expiration of one year from the date of Participant’s Termination of Service by reason of Participant’s death or</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Disability; or</w:t>
      </w:r>
    </w:p>
    <w:p>
      <w:pPr>
        <w:spacing w:after="0" w:line="172" w:lineRule="exact"/>
        <w:rPr>
          <w:rFonts w:ascii="Arial" w:cs="Arial" w:eastAsia="Arial" w:hAnsi="Arial"/>
          <w:sz w:val="18"/>
          <w:szCs w:val="18"/>
          <w:color w:val="auto"/>
        </w:rPr>
      </w:pPr>
    </w:p>
    <w:p>
      <w:pPr>
        <w:ind w:left="1940" w:hanging="636"/>
        <w:spacing w:after="0"/>
        <w:tabs>
          <w:tab w:leader="none" w:pos="194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Participant’s Termination of Service for Cause.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u w:val="single" w:color="auto"/>
          <w:color w:val="auto"/>
        </w:rPr>
        <w:t>Tax Indemnity</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20" w:lineRule="auto"/>
        <w:tabs>
          <w:tab w:leader="none" w:pos="1932" w:val="left"/>
        </w:tabs>
        <w:numPr>
          <w:ilvl w:val="0"/>
          <w:numId w:val="158"/>
        </w:numPr>
        <w:rPr>
          <w:rFonts w:ascii="Arial" w:cs="Arial" w:eastAsia="Arial" w:hAnsi="Arial"/>
          <w:sz w:val="20"/>
          <w:szCs w:val="20"/>
          <w:color w:val="auto"/>
        </w:rPr>
      </w:pPr>
      <w:r>
        <w:rPr>
          <w:rFonts w:ascii="Arial" w:cs="Arial" w:eastAsia="Arial" w:hAnsi="Arial"/>
          <w:sz w:val="20"/>
          <w:szCs w:val="20"/>
          <w:color w:val="auto"/>
        </w:rPr>
        <w:t>Participant agrees to hold harmless, indemnify and keep indemnified the Company, any Subsidiary and Participant’s employing company, if different, from and against any liability for or obligation to pay any Tax-Related Items that is attributable to (1) the grant or exercise of, or any benefit derived by Participant from, the Option, (2) the acquisition by Participant of the Shares on exercise of the Option or (3) the disposal of any Shares.</w:t>
      </w:r>
    </w:p>
    <w:p>
      <w:pPr>
        <w:spacing w:after="0" w:line="155" w:lineRule="exact"/>
        <w:rPr>
          <w:rFonts w:ascii="Arial" w:cs="Arial" w:eastAsia="Arial" w:hAnsi="Arial"/>
          <w:sz w:val="20"/>
          <w:szCs w:val="20"/>
          <w:color w:val="auto"/>
        </w:rPr>
      </w:pPr>
    </w:p>
    <w:p>
      <w:pPr>
        <w:jc w:val="both"/>
        <w:ind w:firstLine="1304"/>
        <w:spacing w:after="0" w:line="259" w:lineRule="auto"/>
        <w:tabs>
          <w:tab w:leader="none" w:pos="193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Option cannot be exercised until Participant has made such arrangements as the Company may require for the satisfaction of any Tax-Related Items that may arise in connection with the exercise of the Option or the acquisition of the Shares by Participant. The Company shall not be required to issue, allot or transfer Shares until Participant has satisfied this obligation.</w:t>
      </w:r>
    </w:p>
    <w:p>
      <w:pPr>
        <w:spacing w:after="0" w:line="139" w:lineRule="exact"/>
        <w:rPr>
          <w:rFonts w:ascii="Arial" w:cs="Arial" w:eastAsia="Arial" w:hAnsi="Arial"/>
          <w:sz w:val="18"/>
          <w:szCs w:val="18"/>
          <w:color w:val="auto"/>
        </w:rPr>
      </w:pPr>
    </w:p>
    <w:p>
      <w:pPr>
        <w:jc w:val="both"/>
        <w:ind w:firstLine="1304"/>
        <w:spacing w:after="0" w:line="228" w:lineRule="auto"/>
        <w:tabs>
          <w:tab w:leader="none" w:pos="193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Participant hereby acknowledges that the Company (i) makes no representations or undertakings regarding the treatment of any Tax-Related Items in connection with any aspect of the Option and (ii) does not commit to and is under no obligation to structure the terms of the grant or any aspect of any Award, including the Option, to reduce or eliminate Participant’s liability for Tax-Related Items or achieve any particular tax result. Furthermore, if Participant becomes subject to tax in more than one jurisdiction between the date of grant of an Award, including the Option, and the date of any relevant taxable event, Participant acknowledges that the Company may be required to withhold or account for Tax-Related Items in more than one jurisdiction.</w:t>
      </w: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OF OPTION</w:t>
      </w:r>
    </w:p>
    <w:p>
      <w:pPr>
        <w:spacing w:after="0" w:line="10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Person Eligible to Exercise</w:t>
      </w:r>
      <w:r>
        <w:rPr>
          <w:rFonts w:ascii="Arial" w:cs="Arial" w:eastAsia="Arial" w:hAnsi="Arial"/>
          <w:sz w:val="20"/>
          <w:szCs w:val="20"/>
          <w:color w:val="auto"/>
        </w:rPr>
        <w:t>. Except as provided in Section 5.3 hereof, during the lifetime of Participant, only Participant may exercise the Option or any portion thereof, unless it has been disposed of pursuant to a DRO. After the death of Participant, any exercisable portion of the Option may,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405" w:right="339" w:bottom="1440" w:gutter="0" w:footer="0" w:header="0"/>
        </w:sectPr>
      </w:pPr>
    </w:p>
    <w:bookmarkStart w:id="148" w:name="page149"/>
    <w:bookmarkEnd w:id="148"/>
    <w:p>
      <w:pPr>
        <w:jc w:val="both"/>
        <w:spacing w:after="0" w:line="350" w:lineRule="auto"/>
        <w:rPr>
          <w:sz w:val="20"/>
          <w:szCs w:val="20"/>
          <w:color w:val="auto"/>
        </w:rPr>
      </w:pPr>
      <w:r>
        <w:rPr>
          <w:rFonts w:ascii="Arial" w:cs="Arial" w:eastAsia="Arial" w:hAnsi="Arial"/>
          <w:sz w:val="16"/>
          <w:szCs w:val="16"/>
          <w:color w:val="auto"/>
        </w:rPr>
        <w:t>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spacing w:after="0" w:line="7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Partial Exercise</w:t>
      </w:r>
      <w:r>
        <w:rPr>
          <w:rFonts w:ascii="Arial" w:cs="Arial" w:eastAsia="Arial" w:hAnsi="Arial"/>
          <w:sz w:val="20"/>
          <w:szCs w:val="20"/>
          <w:color w:val="auto"/>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Manner of Exercise</w:t>
      </w:r>
      <w:r>
        <w:rPr>
          <w:rFonts w:ascii="Arial" w:cs="Arial" w:eastAsia="Arial" w:hAnsi="Arial"/>
          <w:sz w:val="18"/>
          <w:szCs w:val="18"/>
          <w:color w:val="auto"/>
        </w:rPr>
        <w:t>. The Option, or any exercisable portion thereof, may be exercised solely by delivery to the Secretary of the Company (or any third party administrator or other person or entity designated by the Company; for the avoidance of doubt, delivery</w:t>
      </w:r>
    </w:p>
    <w:p>
      <w:pPr>
        <w:jc w:val="both"/>
        <w:ind w:right="20"/>
        <w:spacing w:after="0" w:line="220" w:lineRule="auto"/>
        <w:rPr>
          <w:sz w:val="20"/>
          <w:szCs w:val="20"/>
          <w:color w:val="auto"/>
        </w:rPr>
      </w:pPr>
      <w:r>
        <w:rPr>
          <w:rFonts w:ascii="Arial" w:cs="Arial" w:eastAsia="Arial" w:hAnsi="Arial"/>
          <w:sz w:val="20"/>
          <w:szCs w:val="20"/>
          <w:color w:val="auto"/>
        </w:rPr>
        <w:t>shall include electronic delivery), during regular business hours, of all of the following prior to the time when the Option or such portion thereof becomes unexercisable under Section 3.3 hereof:</w:t>
      </w:r>
    </w:p>
    <w:p>
      <w:pPr>
        <w:spacing w:after="0" w:line="170" w:lineRule="exact"/>
        <w:rPr>
          <w:sz w:val="20"/>
          <w:szCs w:val="20"/>
          <w:color w:val="auto"/>
        </w:rPr>
      </w:pPr>
    </w:p>
    <w:p>
      <w:pPr>
        <w:jc w:val="both"/>
        <w:ind w:firstLine="1304"/>
        <w:spacing w:after="0" w:line="223" w:lineRule="auto"/>
        <w:tabs>
          <w:tab w:leader="none" w:pos="193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An exercise notice in a form specified by the Administrator, stating that the Option or portion thereof is thereby exercised, such notice complying with all applicable rules established by the Administrator. The notice shall be signed by Participant or other person then entitled to exercise the Option or such portion of the Option;</w:t>
      </w:r>
    </w:p>
    <w:p>
      <w:pPr>
        <w:spacing w:after="0" w:line="168" w:lineRule="exact"/>
        <w:rPr>
          <w:rFonts w:ascii="Arial" w:cs="Arial" w:eastAsia="Arial" w:hAnsi="Arial"/>
          <w:sz w:val="20"/>
          <w:szCs w:val="20"/>
          <w:color w:val="auto"/>
        </w:rPr>
      </w:pPr>
    </w:p>
    <w:p>
      <w:pPr>
        <w:jc w:val="both"/>
        <w:ind w:firstLine="1304"/>
        <w:spacing w:after="0" w:line="235" w:lineRule="auto"/>
        <w:tabs>
          <w:tab w:leader="none" w:pos="1932"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receipt by the Company of full payment for the Shares with respect to which the Option or portion thereof is exercised, including payment of any applicable Tax-Related Items, which shall be made by deduction from other compensation payable to Participant or in such other form of consideration permitted under Section 4.4 hereof that is acceptable to the Company;</w:t>
      </w:r>
    </w:p>
    <w:p>
      <w:pPr>
        <w:spacing w:after="0" w:line="168" w:lineRule="exact"/>
        <w:rPr>
          <w:rFonts w:ascii="Arial" w:cs="Arial" w:eastAsia="Arial" w:hAnsi="Arial"/>
          <w:sz w:val="19"/>
          <w:szCs w:val="19"/>
          <w:color w:val="auto"/>
        </w:rPr>
      </w:pPr>
    </w:p>
    <w:p>
      <w:pPr>
        <w:ind w:right="20" w:firstLine="1304"/>
        <w:spacing w:after="0" w:line="236" w:lineRule="auto"/>
        <w:tabs>
          <w:tab w:leader="none" w:pos="193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Any other written representations or documents as may be required in the Administrator’s sole discretion to evidence compliance with the Securities Act, the Exchange Act or any other Applicable Law; and</w:t>
      </w:r>
    </w:p>
    <w:p>
      <w:pPr>
        <w:spacing w:after="0" w:line="155" w:lineRule="exact"/>
        <w:rPr>
          <w:rFonts w:ascii="Arial" w:cs="Arial" w:eastAsia="Arial" w:hAnsi="Arial"/>
          <w:sz w:val="20"/>
          <w:szCs w:val="20"/>
          <w:color w:val="auto"/>
        </w:rPr>
      </w:pPr>
    </w:p>
    <w:p>
      <w:pPr>
        <w:ind w:right="20" w:firstLine="1304"/>
        <w:spacing w:after="0" w:line="236" w:lineRule="auto"/>
        <w:tabs>
          <w:tab w:leader="none" w:pos="1932"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 the event the Option or portion thereof shall be exercised pursuant to Section 4.1 hereof by any person or persons other than Participant, appropriate proof of the right of such person or persons to exercise the Option.</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Notwithstanding any of the foregoing, the Company shall have the right to specify all conditions of the manner of exercise, which conditions may vary by country and which may be subject to change from time to time.</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Method of Payment</w:t>
      </w:r>
      <w:r>
        <w:rPr>
          <w:rFonts w:ascii="Arial" w:cs="Arial" w:eastAsia="Arial" w:hAnsi="Arial"/>
          <w:sz w:val="20"/>
          <w:szCs w:val="20"/>
          <w:color w:val="auto"/>
        </w:rPr>
        <w:t>. Payment of the exercise price shall be by any of the following, or a combination thereof, at the election of Participant:</w:t>
      </w:r>
    </w:p>
    <w:p>
      <w:pPr>
        <w:spacing w:after="0" w:line="169" w:lineRule="exact"/>
        <w:rPr>
          <w:sz w:val="20"/>
          <w:szCs w:val="20"/>
          <w:color w:val="auto"/>
        </w:rPr>
      </w:pPr>
    </w:p>
    <w:p>
      <w:pPr>
        <w:ind w:left="1940" w:hanging="636"/>
        <w:spacing w:after="0"/>
        <w:tabs>
          <w:tab w:leader="none" w:pos="194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Cash or check;</w:t>
      </w:r>
    </w:p>
    <w:p>
      <w:pPr>
        <w:spacing w:after="0" w:line="188" w:lineRule="exact"/>
        <w:rPr>
          <w:rFonts w:ascii="Arial" w:cs="Arial" w:eastAsia="Arial" w:hAnsi="Arial"/>
          <w:sz w:val="20"/>
          <w:szCs w:val="20"/>
          <w:color w:val="auto"/>
        </w:rPr>
      </w:pPr>
    </w:p>
    <w:p>
      <w:pPr>
        <w:jc w:val="both"/>
        <w:ind w:firstLine="1304"/>
        <w:spacing w:after="0" w:line="220" w:lineRule="auto"/>
        <w:tabs>
          <w:tab w:leader="none" w:pos="1939" w:val="left"/>
        </w:tabs>
        <w:numPr>
          <w:ilvl w:val="0"/>
          <w:numId w:val="160"/>
        </w:numPr>
        <w:rPr>
          <w:rFonts w:ascii="Arial" w:cs="Arial" w:eastAsia="Arial" w:hAnsi="Arial"/>
          <w:sz w:val="20"/>
          <w:szCs w:val="20"/>
          <w:color w:val="auto"/>
        </w:rPr>
      </w:pPr>
      <w:r>
        <w:rPr>
          <w:rFonts w:ascii="Arial" w:cs="Arial" w:eastAsia="Arial" w:hAnsi="Arial"/>
          <w:sz w:val="20"/>
          <w:szCs w:val="20"/>
          <w:color w:val="auto"/>
        </w:rPr>
        <w:t>With the consent of the Administrator, surrender of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spacing w:after="0" w:line="155" w:lineRule="exact"/>
        <w:rPr>
          <w:rFonts w:ascii="Arial" w:cs="Arial" w:eastAsia="Arial" w:hAnsi="Arial"/>
          <w:sz w:val="20"/>
          <w:szCs w:val="20"/>
          <w:color w:val="auto"/>
        </w:rPr>
      </w:pPr>
    </w:p>
    <w:p>
      <w:pPr>
        <w:jc w:val="both"/>
        <w:ind w:firstLine="1304"/>
        <w:spacing w:after="0" w:line="218" w:lineRule="auto"/>
        <w:tabs>
          <w:tab w:leader="none" w:pos="1932" w:val="left"/>
        </w:tabs>
        <w:numPr>
          <w:ilvl w:val="0"/>
          <w:numId w:val="160"/>
        </w:numPr>
        <w:rPr>
          <w:rFonts w:ascii="Arial" w:cs="Arial" w:eastAsia="Arial" w:hAnsi="Arial"/>
          <w:sz w:val="20"/>
          <w:szCs w:val="20"/>
          <w:color w:val="auto"/>
        </w:rPr>
      </w:pPr>
      <w:r>
        <w:rPr>
          <w:rFonts w:ascii="Arial" w:cs="Arial" w:eastAsia="Arial" w:hAnsi="Arial"/>
          <w:sz w:val="20"/>
          <w:szCs w:val="20"/>
          <w:color w:val="auto"/>
        </w:rPr>
        <w:t xml:space="preserve">Other legal consideration acceptable to the Administrator (including, without limitation, through the delivery of a notice that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at such time as may be required by the Company, but in any event not later than the settlement of such sale).</w:t>
      </w:r>
    </w:p>
    <w:p>
      <w:pPr>
        <w:spacing w:after="0" w:line="171"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Conditions to Issuance of Shares</w:t>
      </w:r>
      <w:r>
        <w:rPr>
          <w:rFonts w:ascii="Arial" w:cs="Arial" w:eastAsia="Arial" w:hAnsi="Arial"/>
          <w:sz w:val="20"/>
          <w:szCs w:val="20"/>
          <w:color w:val="auto"/>
        </w:rPr>
        <w:t>. The Shares deliverable upon the exercise of the Option, or any portion thereof, may be either previously authorized but unissued Shares or issued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405" w:right="3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color w:val="auto"/>
        </w:rPr>
        <w:t>which have then been reacquired by the Company. Such Shares shall be fully paid and nonassessable. The Company shall not be required to</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issue or deliver any Shares purchased upon the exercise of the Option or portion thereof prior to fulfillment of all of the conditions in Section 10.7 of the Plan.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u w:val="single" w:color="auto"/>
          <w:color w:val="auto"/>
        </w:rPr>
        <w:t>Participant’s Representations</w:t>
      </w:r>
      <w:r>
        <w:rPr>
          <w:rFonts w:ascii="Arial" w:cs="Arial" w:eastAsia="Arial" w:hAnsi="Arial"/>
          <w:sz w:val="18"/>
          <w:szCs w:val="18"/>
          <w:color w:val="auto"/>
        </w:rPr>
        <w:t>. If the Shares issuable hereunder have not been registered under the Securities Act or any</w:t>
      </w:r>
    </w:p>
    <w:p>
      <w:pPr>
        <w:spacing w:after="0" w:line="250" w:lineRule="auto"/>
        <w:rPr>
          <w:sz w:val="20"/>
          <w:szCs w:val="20"/>
          <w:color w:val="auto"/>
        </w:rPr>
      </w:pPr>
      <w:r>
        <w:rPr>
          <w:rFonts w:ascii="Arial" w:cs="Arial" w:eastAsia="Arial" w:hAnsi="Arial"/>
          <w:sz w:val="18"/>
          <w:szCs w:val="18"/>
          <w:color w:val="auto"/>
        </w:rPr>
        <w:t>applicable state laws on an effective registration statement at the time of exercise, Participant shall, if required by the Company, concurrently with such exercise, make such written representations as are deemed necessary or appropriate by the Company or its counsel.</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u w:val="single" w:color="auto"/>
          <w:color w:val="auto"/>
        </w:rPr>
        <w:t>Rights as Stockholder</w:t>
      </w:r>
      <w:r>
        <w:rPr>
          <w:rFonts w:ascii="Arial" w:cs="Arial" w:eastAsia="Arial" w:hAnsi="Arial"/>
          <w:sz w:val="18"/>
          <w:szCs w:val="18"/>
          <w:color w:val="auto"/>
        </w:rPr>
        <w:t>. The holder of the Option shall not be, nor have any of the rights or privileges of, a stockholder of the</w:t>
      </w:r>
    </w:p>
    <w:p>
      <w:pPr>
        <w:spacing w:after="0" w:line="226" w:lineRule="auto"/>
        <w:rPr>
          <w:sz w:val="20"/>
          <w:szCs w:val="20"/>
          <w:color w:val="auto"/>
        </w:rPr>
      </w:pPr>
      <w:r>
        <w:rPr>
          <w:rFonts w:ascii="Arial" w:cs="Arial" w:eastAsia="Arial" w:hAnsi="Arial"/>
          <w:sz w:val="18"/>
          <w:szCs w:val="18"/>
          <w:color w:val="auto"/>
        </w:rPr>
        <w:t>Company, including, without limitation, voting rights and rights to dividends, in respect of any Shares purchasable upon the exercise of any part of the Option unless and until such Shares shall have been issued by the Company and held of record by such holder (as evidenced by</w:t>
      </w:r>
    </w:p>
    <w:p>
      <w:pPr>
        <w:spacing w:after="0" w:line="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appropriate entry on the books of the Company or of a duly authorized transfer agent of the Company). No adjustment shall be made for a dividend or other right for which the record date is prior to the date the Shares are issued, except as provided in Article IX of the Plan.</w:t>
      </w:r>
    </w:p>
    <w:p>
      <w:pPr>
        <w:spacing w:after="0" w:line="262"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10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w:t>
      </w:r>
    </w:p>
    <w:p>
      <w:pPr>
        <w:jc w:val="both"/>
        <w:ind w:right="20"/>
        <w:spacing w:after="0" w:line="226" w:lineRule="auto"/>
        <w:rPr>
          <w:sz w:val="20"/>
          <w:szCs w:val="20"/>
          <w:color w:val="auto"/>
        </w:rPr>
      </w:pPr>
      <w:r>
        <w:rPr>
          <w:rFonts w:ascii="Arial" w:cs="Arial" w:eastAsia="Arial" w:hAnsi="Arial"/>
          <w:sz w:val="18"/>
          <w:szCs w:val="18"/>
          <w:color w:val="auto"/>
        </w:rPr>
        <w:t>actions taken and all interpretations and determinations made by the Administrator in good faith shall be final and binding upon Participant, the Company and all other interested persons. No member of the Committee or the Board shall be personally liable for any action,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determination or interpretation made in good faith with respect to the Plan, this Agreement or the Option.</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u w:val="single" w:color="auto"/>
          <w:color w:val="auto"/>
        </w:rPr>
        <w:t>Whole Shares</w:t>
      </w:r>
      <w:r>
        <w:rPr>
          <w:rFonts w:ascii="Arial" w:cs="Arial" w:eastAsia="Arial" w:hAnsi="Arial"/>
          <w:sz w:val="16"/>
          <w:szCs w:val="16"/>
          <w:color w:val="auto"/>
        </w:rPr>
        <w:t>. The Option may only be exercised for whole Shares.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u w:val="single" w:color="auto"/>
          <w:color w:val="auto"/>
        </w:rPr>
        <w:t>Transferability</w:t>
      </w:r>
      <w:r>
        <w:rPr>
          <w:rFonts w:ascii="Arial" w:cs="Arial" w:eastAsia="Arial" w:hAnsi="Arial"/>
          <w:sz w:val="18"/>
          <w:szCs w:val="18"/>
          <w:color w:val="auto"/>
        </w:rPr>
        <w:t>. The Option shall be subject to the restrictions on transferability set forth in Section 10.1 of the Plan.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understands that Participant may suffer adverse tax consequences as a result of the grant,</w:t>
      </w:r>
    </w:p>
    <w:p>
      <w:pPr>
        <w:spacing w:after="0" w:line="226" w:lineRule="auto"/>
        <w:rPr>
          <w:sz w:val="20"/>
          <w:szCs w:val="20"/>
          <w:color w:val="auto"/>
        </w:rPr>
      </w:pPr>
      <w:r>
        <w:rPr>
          <w:rFonts w:ascii="Arial" w:cs="Arial" w:eastAsia="Arial" w:hAnsi="Arial"/>
          <w:sz w:val="18"/>
          <w:szCs w:val="18"/>
          <w:color w:val="auto"/>
        </w:rPr>
        <w:t>vesting or exercise of the Option, or with the purchase or disposition of the Shares subject to the Option. Participant represents that Participant has consulted with any tax consultants Participant deems advisable in connection with the purchase or disposition of such Shares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that Participant is not relying on the Company for any tax advice.</w:t>
      </w:r>
    </w:p>
    <w:p>
      <w:pPr>
        <w:spacing w:after="0" w:line="159"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Binding Agreement</w:t>
      </w:r>
      <w:r>
        <w:rPr>
          <w:rFonts w:ascii="Arial" w:cs="Arial" w:eastAsia="Arial" w:hAnsi="Arial"/>
          <w:sz w:val="19"/>
          <w:szCs w:val="19"/>
          <w:color w:val="auto"/>
        </w:rPr>
        <w:t>. Subject to the limitation on the transferability of the Option contained herein, this Agreement will be binding upon and inure to the benefit of the heirs, legatees, legal representatives, successors and assigns of the parties hereto.</w:t>
      </w:r>
    </w:p>
    <w:p>
      <w:pPr>
        <w:spacing w:after="0" w:line="15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Adjustments Upon Specified Events</w:t>
      </w:r>
      <w:r>
        <w:rPr>
          <w:rFonts w:ascii="Arial" w:cs="Arial" w:eastAsia="Arial" w:hAnsi="Arial"/>
          <w:sz w:val="18"/>
          <w:szCs w:val="18"/>
          <w:color w:val="auto"/>
        </w:rPr>
        <w:t>. The Administrator may accelerate the vesting of the Option in such circumstances as it, in its sole discretion, may determine. Participant acknowledges that the Option is subject to adjustment, modification and termination in</w:t>
      </w:r>
    </w:p>
    <w:p>
      <w:pPr>
        <w:spacing w:after="0"/>
        <w:rPr>
          <w:sz w:val="20"/>
          <w:szCs w:val="20"/>
          <w:color w:val="auto"/>
        </w:rPr>
      </w:pPr>
      <w:r>
        <w:rPr>
          <w:rFonts w:ascii="Arial" w:cs="Arial" w:eastAsia="Arial" w:hAnsi="Arial"/>
          <w:sz w:val="20"/>
          <w:szCs w:val="20"/>
          <w:color w:val="auto"/>
        </w:rPr>
        <w:t>certain events as provided in this Agreement and Article IX of the Plan.</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shall be addressed to the Company in care of the Secretary of the Company at the Company’s principal office, and any notice to be given to Participant shall be addressed to</w:t>
      </w:r>
    </w:p>
    <w:p>
      <w:pPr>
        <w:spacing w:after="0" w:line="235" w:lineRule="auto"/>
        <w:rPr>
          <w:sz w:val="20"/>
          <w:szCs w:val="20"/>
          <w:color w:val="auto"/>
        </w:rPr>
      </w:pPr>
      <w:r>
        <w:rPr>
          <w:rFonts w:ascii="Arial" w:cs="Arial" w:eastAsia="Arial" w:hAnsi="Arial"/>
          <w:sz w:val="18"/>
          <w:szCs w:val="18"/>
          <w:color w:val="auto"/>
        </w:rPr>
        <w:t>Participant at Participant’s last address reflected on the Company’s records. By a notice given pursuant to this Section 5.7, either party may</w:t>
      </w:r>
    </w:p>
    <w:p>
      <w:pPr>
        <w:spacing w:after="0" w:line="226" w:lineRule="auto"/>
        <w:rPr>
          <w:sz w:val="20"/>
          <w:szCs w:val="20"/>
          <w:color w:val="auto"/>
        </w:rPr>
      </w:pPr>
      <w:r>
        <w:rPr>
          <w:rFonts w:ascii="Arial" w:cs="Arial" w:eastAsia="Arial" w:hAnsi="Arial"/>
          <w:sz w:val="18"/>
          <w:szCs w:val="18"/>
          <w:color w:val="auto"/>
        </w:rPr>
        <w:t>hereafter designate a different address for notices to be given to that party. Any notice which is required to be given to Participant shall, if Participant is then deceased, be given to the person entitled to exercise his or her Option pursuant to Section 4.1 hereof by written notice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under this Section 5.7. Any notice shall be deemed duly given when sent via email or when sent by certified mail (return receipt requested)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405" w:right="339" w:bottom="1440" w:gutter="0" w:footer="0" w:header="0"/>
        </w:sectPr>
      </w:pPr>
    </w:p>
    <w:bookmarkStart w:id="150" w:name="page151"/>
    <w:bookmarkEnd w:id="150"/>
    <w:p>
      <w:pPr>
        <w:spacing w:after="0" w:line="236" w:lineRule="auto"/>
        <w:rPr>
          <w:sz w:val="20"/>
          <w:szCs w:val="20"/>
          <w:color w:val="auto"/>
        </w:rPr>
      </w:pPr>
      <w:r>
        <w:rPr>
          <w:rFonts w:ascii="Arial" w:cs="Arial" w:eastAsia="Arial" w:hAnsi="Arial"/>
          <w:sz w:val="20"/>
          <w:szCs w:val="20"/>
          <w:color w:val="auto"/>
        </w:rPr>
        <w:t>deposited (with postage prepaid) in a post office or branch post office regularly maintained by the United States Postal Service (or similar non-U.S. entity).</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1.8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 By entering into</w:t>
      </w:r>
    </w:p>
    <w:p>
      <w:pPr>
        <w:spacing w:after="0" w:line="222" w:lineRule="auto"/>
        <w:rPr>
          <w:sz w:val="20"/>
          <w:szCs w:val="20"/>
          <w:color w:val="auto"/>
        </w:rPr>
      </w:pPr>
      <w:r>
        <w:rPr>
          <w:rFonts w:ascii="Arial" w:cs="Arial" w:eastAsia="Arial" w:hAnsi="Arial"/>
          <w:sz w:val="19"/>
          <w:szCs w:val="19"/>
          <w:color w:val="auto"/>
        </w:rPr>
        <w:t>this Agreement, Participant irrevocably and unconditionally consents to submit to the exclusive jurisdiction of the courts of the State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Delaware and of the United States of America, in each case located in the State of Delaware, for any action arising out of or relating to this Agreement and the Plan (and agrees not to commence any litigation relating thereto except in such courts), and further agrees that service of</w:t>
      </w:r>
    </w:p>
    <w:p>
      <w:pPr>
        <w:spacing w:after="0" w:line="236" w:lineRule="auto"/>
        <w:rPr>
          <w:sz w:val="20"/>
          <w:szCs w:val="20"/>
          <w:color w:val="auto"/>
        </w:rPr>
      </w:pPr>
      <w:r>
        <w:rPr>
          <w:rFonts w:ascii="Arial" w:cs="Arial" w:eastAsia="Arial" w:hAnsi="Arial"/>
          <w:sz w:val="18"/>
          <w:szCs w:val="18"/>
          <w:color w:val="auto"/>
        </w:rPr>
        <w:t>any process, summons, notice or document by U.S. registered mail to the address contained in the records of the Company shall be effective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service of process for any litigation brought against it in any such court. By entering into this Agreement, Participant irrevocably and unconditionally waives any objection to the laying of venue of any litigation arising out of the Plan or this Agreement in the courts of the</w:t>
      </w:r>
    </w:p>
    <w:p>
      <w:pPr>
        <w:spacing w:after="0" w:line="236" w:lineRule="auto"/>
        <w:rPr>
          <w:sz w:val="20"/>
          <w:szCs w:val="20"/>
          <w:color w:val="auto"/>
        </w:rPr>
      </w:pPr>
      <w:r>
        <w:rPr>
          <w:rFonts w:ascii="Arial" w:cs="Arial" w:eastAsia="Arial" w:hAnsi="Arial"/>
          <w:sz w:val="18"/>
          <w:szCs w:val="18"/>
          <w:color w:val="auto"/>
        </w:rPr>
        <w:t>State of Delaware or the United States of America, in each case located in the State of Delaware, and further irrevocably and unconditionally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waives and agrees not to plead or claim in any such court that any such litigation brought in any such court has been brought in an inconvenient forum. By entering into this Agreement, Participant irrevocably and unconditionally waives, to the fullest extent permitted by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applicable law, any and all rights to trial by jury in connection with any litigation arising out of or relating to the Plan or this Agreement.</w:t>
      </w:r>
    </w:p>
    <w:p>
      <w:pPr>
        <w:spacing w:after="0" w:line="18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Plan and this Agreement are intended to conform to the extent necessary with all provisions of the Securities Act and the Exchange Act and any other Applicable Law. Notwithstanding anything</w:t>
      </w:r>
    </w:p>
    <w:p>
      <w:pPr>
        <w:spacing w:after="0" w:line="226" w:lineRule="auto"/>
        <w:rPr>
          <w:sz w:val="20"/>
          <w:szCs w:val="20"/>
          <w:color w:val="auto"/>
        </w:rPr>
      </w:pPr>
      <w:r>
        <w:rPr>
          <w:rFonts w:ascii="Arial" w:cs="Arial" w:eastAsia="Arial" w:hAnsi="Arial"/>
          <w:sz w:val="18"/>
          <w:szCs w:val="18"/>
          <w:color w:val="auto"/>
        </w:rPr>
        <w:t>herein to the contrary, the Plan shall be administered, and the Option is granted and may be exercised, only in such a manner as to conform to such Applicable Law. To the extent permitted by Applicable Law, the Plan and this Agreement shall be deemed amended to the extent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necessary to conform to such Applicable Law.</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xml:space="preserve">. To the extent permitted by the Plan, this Agreement may be wholly or partially amended or otherwise modified, suspended or terminated at any time or from time to time by the Administrator or the Board; </w:t>
      </w:r>
      <w:r>
        <w:rPr>
          <w:rFonts w:ascii="Arial" w:cs="Arial" w:eastAsia="Arial" w:hAnsi="Arial"/>
          <w:sz w:val="18"/>
          <w:szCs w:val="18"/>
          <w:i w:val="1"/>
          <w:iCs w:val="1"/>
          <w:color w:val="auto"/>
        </w:rPr>
        <w:t>provided,</w:t>
      </w:r>
    </w:p>
    <w:p>
      <w:pPr>
        <w:spacing w:after="0" w:line="227" w:lineRule="auto"/>
        <w:rPr>
          <w:sz w:val="20"/>
          <w:szCs w:val="20"/>
          <w:color w:val="auto"/>
        </w:rPr>
      </w:pPr>
      <w:r>
        <w:rPr>
          <w:rFonts w:ascii="Arial" w:cs="Arial" w:eastAsia="Arial" w:hAnsi="Arial"/>
          <w:sz w:val="20"/>
          <w:szCs w:val="20"/>
          <w:i w:val="1"/>
          <w:iCs w:val="1"/>
          <w:color w:val="auto"/>
        </w:rPr>
        <w:t xml:space="preserve">however, </w:t>
      </w:r>
      <w:r>
        <w:rPr>
          <w:rFonts w:ascii="Arial" w:cs="Arial" w:eastAsia="Arial" w:hAnsi="Arial"/>
          <w:sz w:val="20"/>
          <w:szCs w:val="20"/>
          <w:color w:val="auto"/>
        </w:rPr>
        <w:t>that, except as may otherwise be provided by the Plan, no amendment, modification, suspension or termination of this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shall adversely affect the Option in any material way without the prior written consent of Participant.</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and delegate any of its obligations under this Agreement to single or multiple assignees, and this Agreement shall inure to the benefit of the successors and assigns of the Company. Subject to the</w:t>
      </w:r>
    </w:p>
    <w:p>
      <w:pPr>
        <w:spacing w:after="0" w:line="220" w:lineRule="auto"/>
        <w:rPr>
          <w:sz w:val="20"/>
          <w:szCs w:val="20"/>
          <w:color w:val="auto"/>
        </w:rPr>
      </w:pPr>
      <w:r>
        <w:rPr>
          <w:rFonts w:ascii="Arial" w:cs="Arial" w:eastAsia="Arial" w:hAnsi="Arial"/>
          <w:sz w:val="20"/>
          <w:szCs w:val="20"/>
          <w:color w:val="auto"/>
        </w:rPr>
        <w:t>restrictions on transfer herein set forth in Section 5.3 hereof, this Agreement shall be binding upon Participant and his or her heirs, executors, administrators, successors and assigns.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w:t>
      </w:r>
    </w:p>
    <w:p>
      <w:pPr>
        <w:spacing w:after="0" w:line="226" w:lineRule="auto"/>
        <w:rPr>
          <w:sz w:val="20"/>
          <w:szCs w:val="20"/>
          <w:color w:val="auto"/>
        </w:rPr>
      </w:pPr>
      <w:r>
        <w:rPr>
          <w:rFonts w:ascii="Arial" w:cs="Arial" w:eastAsia="Arial" w:hAnsi="Arial"/>
          <w:sz w:val="18"/>
          <w:szCs w:val="18"/>
          <w:color w:val="auto"/>
        </w:rPr>
        <w:t>Participant is subject to Section 16 of the Exchange Act, then the Plan, the Option and this Agreement shall be subject to any additional limitations set forth in any applicable exemptive rule under Section 16 of the Exchange Act (including any amendment to Rule 16b-3 of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Exchange Act) that are requirements for the application of such exemptive rule. To the extent permitted by Applicable Law, this Agreement shall be deemed amended to the extent necessary to conform to such applicable exemptive rule.</w:t>
      </w:r>
    </w:p>
    <w:p>
      <w:pPr>
        <w:spacing w:after="0" w:line="156"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Not a Contract of Service Relationship</w:t>
      </w:r>
      <w:r>
        <w:rPr>
          <w:rFonts w:ascii="Arial" w:cs="Arial" w:eastAsia="Arial" w:hAnsi="Arial"/>
          <w:sz w:val="18"/>
          <w:szCs w:val="18"/>
          <w:color w:val="auto"/>
        </w:rPr>
        <w:t>. Nothing in this Agreement or in the Plan shall confer upon Participant any right to commence or continue to serve as an Employee or shall interfere with or restrict in any way the rights of the Company and its Subsidiaries,</w:t>
      </w:r>
    </w:p>
    <w:p>
      <w:pPr>
        <w:spacing w:after="0" w:line="226" w:lineRule="auto"/>
        <w:rPr>
          <w:sz w:val="20"/>
          <w:szCs w:val="20"/>
          <w:color w:val="auto"/>
        </w:rPr>
      </w:pPr>
      <w:r>
        <w:rPr>
          <w:rFonts w:ascii="Arial" w:cs="Arial" w:eastAsia="Arial" w:hAnsi="Arial"/>
          <w:sz w:val="18"/>
          <w:szCs w:val="18"/>
          <w:color w:val="auto"/>
        </w:rPr>
        <w:t>which rights are hereby expressly reserved, to discharge or terminate the services of Participant at any time for any reason whatsoever, with or without Cause, except to the extent expressly provided otherwise by Applicable Law or in a written agreement between the Company or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Subsidiary (as applicable) and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240"/>
          </w:cols>
          <w:pgMar w:left="320" w:top="1405" w:right="339" w:bottom="1440" w:gutter="0" w:footer="0" w:header="0"/>
        </w:sectPr>
      </w:pPr>
    </w:p>
    <w:bookmarkStart w:id="151" w:name="page152"/>
    <w:bookmarkEnd w:id="151"/>
    <w:p>
      <w:pPr>
        <w:ind w:left="660"/>
        <w:spacing w:after="0"/>
        <w:tabs>
          <w:tab w:leader="none" w:pos="128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the Grant Notice and this Agreement (including the Country Provisions) constitute the entire</w:t>
      </w:r>
    </w:p>
    <w:p>
      <w:pPr>
        <w:spacing w:after="0" w:line="255" w:lineRule="auto"/>
        <w:rPr>
          <w:sz w:val="20"/>
          <w:szCs w:val="20"/>
          <w:color w:val="auto"/>
        </w:rPr>
      </w:pPr>
      <w:r>
        <w:rPr>
          <w:rFonts w:ascii="Arial" w:cs="Arial" w:eastAsia="Arial" w:hAnsi="Arial"/>
          <w:sz w:val="16"/>
          <w:szCs w:val="16"/>
          <w:color w:val="auto"/>
        </w:rPr>
        <w:t xml:space="preserve">agreement of the parties and supersede in their entirety all prior undertakings and agreements of the Company and Participant with respect to the subject matter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Option shall be subject to any accelerated vesting provisions in any written agreement between</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Participant and the Company (or any Subsidiary who is the employer of Participant) or a Company plan pursuant to which Participant is eligible to participate, in each case, in accordance with the terms therein.</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 This Option is not intended to constitute “nonqualified deferred compensation” within the meaning of Section</w:t>
      </w:r>
    </w:p>
    <w:p>
      <w:pPr>
        <w:spacing w:after="0" w:line="234" w:lineRule="auto"/>
        <w:rPr>
          <w:sz w:val="20"/>
          <w:szCs w:val="20"/>
          <w:color w:val="auto"/>
        </w:rPr>
      </w:pPr>
      <w:r>
        <w:rPr>
          <w:rFonts w:ascii="Arial" w:cs="Arial" w:eastAsia="Arial" w:hAnsi="Arial"/>
          <w:sz w:val="18"/>
          <w:szCs w:val="18"/>
          <w:color w:val="auto"/>
        </w:rPr>
        <w:t>409A of the Code (together with any Department of Treasury regulations and other interpretive guidance issued thereunder, including without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limitation any such regulations or other guidance that may be issued after the date hereof,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However, notwithstanding any other provision of the Plan, the Grant Notice or this Agreement, if at any time the Administrator determines that the Option (or any portion</w:t>
      </w:r>
    </w:p>
    <w:p>
      <w:pPr>
        <w:spacing w:after="0" w:line="236" w:lineRule="auto"/>
        <w:rPr>
          <w:sz w:val="20"/>
          <w:szCs w:val="20"/>
          <w:color w:val="auto"/>
        </w:rPr>
      </w:pPr>
      <w:r>
        <w:rPr>
          <w:rFonts w:ascii="Arial" w:cs="Arial" w:eastAsia="Arial" w:hAnsi="Arial"/>
          <w:sz w:val="18"/>
          <w:szCs w:val="18"/>
          <w:color w:val="auto"/>
        </w:rPr>
        <w:t>thereof) may be subject to Section 409A, the Administrator shall have the right in its sole discretion (without any obligation to do so or to</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indemnify Participant or any other person for failure to do so) to adopt such amendments to the Plan, the Grant Notice or this Agreement, or adopt other policies and procedures (including amendments, policies and procedures with retroactive effect), or take any other actions, as the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Administrator determines are necessary or appropriate either for the Option to be exempt from the application of Section 409A or to comply with the requirements of Section 409A.</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shall not be construed as creating a</w:t>
      </w:r>
    </w:p>
    <w:p>
      <w:pPr>
        <w:spacing w:after="0" w:line="226" w:lineRule="auto"/>
        <w:rPr>
          <w:sz w:val="20"/>
          <w:szCs w:val="20"/>
          <w:color w:val="auto"/>
        </w:rPr>
      </w:pPr>
      <w:r>
        <w:rPr>
          <w:rFonts w:ascii="Arial" w:cs="Arial" w:eastAsia="Arial" w:hAnsi="Arial"/>
          <w:sz w:val="18"/>
          <w:szCs w:val="18"/>
          <w:color w:val="auto"/>
        </w:rPr>
        <w:t>trust. Neither the Plan nor any underlying program, in and of itself, has any assets. Participant shall have only the rights of a general unsecured creditor of the Company and its Subsidiaries with respect to amounts credited and benefits payable, if any, with respect to the</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Option, and rights no greater than the right to receive the Shares as a general unsecured creditor with respect to the Option, as and when exercised pursuant to the terms hereof.</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u w:val="single" w:color="auto"/>
          <w:color w:val="auto"/>
        </w:rPr>
        <w:t>Rules Particular To Specific Countries</w:t>
      </w:r>
      <w:r>
        <w:rPr>
          <w:rFonts w:ascii="Arial" w:cs="Arial" w:eastAsia="Arial" w:hAnsi="Arial"/>
          <w:sz w:val="18"/>
          <w:szCs w:val="18"/>
          <w:color w:val="auto"/>
        </w:rPr>
        <w:t>.</w:t>
      </w:r>
    </w:p>
    <w:p>
      <w:pPr>
        <w:spacing w:after="0" w:line="189" w:lineRule="exact"/>
        <w:rPr>
          <w:sz w:val="20"/>
          <w:szCs w:val="20"/>
          <w:color w:val="auto"/>
        </w:rPr>
      </w:pPr>
    </w:p>
    <w:p>
      <w:pPr>
        <w:jc w:val="both"/>
        <w:ind w:left="180" w:firstLine="1286"/>
        <w:spacing w:after="0" w:line="220" w:lineRule="auto"/>
        <w:tabs>
          <w:tab w:leader="none" w:pos="1952" w:val="left"/>
        </w:tabs>
        <w:numPr>
          <w:ilvl w:val="0"/>
          <w:numId w:val="161"/>
        </w:numPr>
        <w:rPr>
          <w:rFonts w:ascii="Arial" w:cs="Arial" w:eastAsia="Arial" w:hAnsi="Arial"/>
          <w:sz w:val="20"/>
          <w:szCs w:val="20"/>
          <w:color w:val="auto"/>
        </w:rPr>
      </w:pPr>
      <w:r>
        <w:rPr>
          <w:rFonts w:ascii="Arial" w:cs="Arial" w:eastAsia="Arial" w:hAnsi="Arial"/>
          <w:sz w:val="20"/>
          <w:szCs w:val="20"/>
          <w:i w:val="1"/>
          <w:iCs w:val="1"/>
          <w:color w:val="auto"/>
        </w:rPr>
        <w:t>Generally</w:t>
      </w:r>
      <w:r>
        <w:rPr>
          <w:rFonts w:ascii="Arial" w:cs="Arial" w:eastAsia="Arial" w:hAnsi="Arial"/>
          <w:sz w:val="20"/>
          <w:szCs w:val="20"/>
          <w:color w:val="auto"/>
        </w:rPr>
        <w:t>. Participant shall, if required by the Administrator, enter into an election with the Company or a</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Subsidiary (in a form approved by the Company) under which any liability to the Company’s (or a Subsidiary’s) Tax-Related Items, including, but not limited to, National Insurance Contributions (“</w:t>
      </w:r>
      <w:r>
        <w:rPr>
          <w:rFonts w:ascii="Arial" w:cs="Arial" w:eastAsia="Arial" w:hAnsi="Arial"/>
          <w:sz w:val="20"/>
          <w:szCs w:val="20"/>
          <w:b w:val="1"/>
          <w:bCs w:val="1"/>
          <w:i w:val="1"/>
          <w:iCs w:val="1"/>
          <w:color w:val="auto"/>
        </w:rPr>
        <w:t>NICs</w:t>
      </w:r>
      <w:r>
        <w:rPr>
          <w:rFonts w:ascii="Arial" w:cs="Arial" w:eastAsia="Arial" w:hAnsi="Arial"/>
          <w:sz w:val="20"/>
          <w:szCs w:val="20"/>
          <w:color w:val="auto"/>
        </w:rPr>
        <w:t>”) and the Fringe Benefit Tax, is transferred to and met by Participant.</w:t>
      </w:r>
    </w:p>
    <w:p>
      <w:pPr>
        <w:spacing w:after="0" w:line="155" w:lineRule="exact"/>
        <w:rPr>
          <w:rFonts w:ascii="Arial" w:cs="Arial" w:eastAsia="Arial" w:hAnsi="Arial"/>
          <w:sz w:val="20"/>
          <w:szCs w:val="20"/>
          <w:color w:val="auto"/>
        </w:rPr>
      </w:pPr>
    </w:p>
    <w:p>
      <w:pPr>
        <w:ind w:left="180" w:firstLine="1286"/>
        <w:spacing w:after="0" w:line="236" w:lineRule="auto"/>
        <w:tabs>
          <w:tab w:leader="none" w:pos="1950" w:val="left"/>
        </w:tabs>
        <w:numPr>
          <w:ilvl w:val="0"/>
          <w:numId w:val="161"/>
        </w:numPr>
        <w:rPr>
          <w:rFonts w:ascii="Arial" w:cs="Arial" w:eastAsia="Arial" w:hAnsi="Arial"/>
          <w:sz w:val="20"/>
          <w:szCs w:val="20"/>
          <w:color w:val="auto"/>
        </w:rPr>
      </w:pPr>
      <w:r>
        <w:rPr>
          <w:rFonts w:ascii="Arial" w:cs="Arial" w:eastAsia="Arial" w:hAnsi="Arial"/>
          <w:sz w:val="20"/>
          <w:szCs w:val="20"/>
          <w:i w:val="1"/>
          <w:iCs w:val="1"/>
          <w:color w:val="auto"/>
        </w:rPr>
        <w:t>Tax Indemnity</w:t>
      </w:r>
      <w:r>
        <w:rPr>
          <w:rFonts w:ascii="Arial" w:cs="Arial" w:eastAsia="Arial" w:hAnsi="Arial"/>
          <w:sz w:val="20"/>
          <w:szCs w:val="20"/>
          <w:color w:val="auto"/>
        </w:rPr>
        <w:t>. Participant shall indemnify and keep indemnified the Company and any of its subsidiaries from and</w:t>
      </w:r>
      <w:r>
        <w:rPr>
          <w:rFonts w:ascii="Arial" w:cs="Arial" w:eastAsia="Arial" w:hAnsi="Arial"/>
          <w:sz w:val="20"/>
          <w:szCs w:val="20"/>
          <w:i w:val="1"/>
          <w:iCs w:val="1"/>
          <w:color w:val="auto"/>
        </w:rPr>
        <w:t xml:space="preserve"> </w:t>
      </w:r>
      <w:r>
        <w:rPr>
          <w:rFonts w:ascii="Arial" w:cs="Arial" w:eastAsia="Arial" w:hAnsi="Arial"/>
          <w:sz w:val="20"/>
          <w:szCs w:val="20"/>
          <w:color w:val="auto"/>
        </w:rPr>
        <w:t>against any Tax-Related Items.</w:t>
      </w:r>
    </w:p>
    <w:p>
      <w:pPr>
        <w:spacing w:after="0" w:line="169" w:lineRule="exact"/>
        <w:rPr>
          <w:sz w:val="20"/>
          <w:szCs w:val="20"/>
          <w:color w:val="auto"/>
        </w:rPr>
      </w:pPr>
    </w:p>
    <w:p>
      <w:pPr>
        <w:ind w:left="180" w:firstLine="648"/>
        <w:spacing w:after="0" w:line="236"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Special Country Provisions for Options Granted to Participants</w:t>
      </w:r>
      <w:r>
        <w:rPr>
          <w:rFonts w:ascii="Arial" w:cs="Arial" w:eastAsia="Arial" w:hAnsi="Arial"/>
          <w:sz w:val="18"/>
          <w:szCs w:val="18"/>
          <w:color w:val="auto"/>
        </w:rPr>
        <w:t>. This Option shall be subject to the Country Provisions, if any, for Participant’s country of residence, as set forth in the Country Provisions. If Participant relocates to one of the countries included in</w:t>
      </w:r>
    </w:p>
    <w:p>
      <w:pPr>
        <w:ind w:left="180"/>
        <w:spacing w:after="0" w:line="235" w:lineRule="auto"/>
        <w:rPr>
          <w:sz w:val="20"/>
          <w:szCs w:val="20"/>
          <w:color w:val="auto"/>
        </w:rPr>
      </w:pPr>
      <w:r>
        <w:rPr>
          <w:rFonts w:ascii="Arial" w:cs="Arial" w:eastAsia="Arial" w:hAnsi="Arial"/>
          <w:sz w:val="18"/>
          <w:szCs w:val="18"/>
          <w:color w:val="auto"/>
        </w:rPr>
        <w:t>the Country Provisions during the life of this Option, the special provisions for such country shall apply to Participant, to the extent the</w:t>
      </w:r>
    </w:p>
    <w:p>
      <w:pPr>
        <w:ind w:left="180"/>
        <w:spacing w:after="0" w:line="226" w:lineRule="auto"/>
        <w:rPr>
          <w:sz w:val="20"/>
          <w:szCs w:val="20"/>
          <w:color w:val="auto"/>
        </w:rPr>
      </w:pPr>
      <w:r>
        <w:rPr>
          <w:rFonts w:ascii="Arial" w:cs="Arial" w:eastAsia="Arial" w:hAnsi="Arial"/>
          <w:sz w:val="18"/>
          <w:szCs w:val="18"/>
          <w:color w:val="auto"/>
        </w:rPr>
        <w:t>Company determines that the application of such provisions is necessary or advisable in order to comply with local law or facilitate the administration of the Plan. The Company reserves the right to impose other requirements on this Option and the Shares purchased upon</w:t>
      </w:r>
    </w:p>
    <w:p>
      <w:pPr>
        <w:ind w:left="180"/>
        <w:spacing w:after="0" w:line="236" w:lineRule="auto"/>
        <w:rPr>
          <w:sz w:val="20"/>
          <w:szCs w:val="20"/>
          <w:color w:val="auto"/>
        </w:rPr>
      </w:pPr>
      <w:r>
        <w:rPr>
          <w:rFonts w:ascii="Arial" w:cs="Arial" w:eastAsia="Arial" w:hAnsi="Arial"/>
          <w:sz w:val="18"/>
          <w:szCs w:val="18"/>
          <w:color w:val="auto"/>
        </w:rPr>
        <w:t>exercise of this Option, to the extent the Company determines it is necessary or advisable in order to comply with local laws or facilitate</w:t>
      </w:r>
    </w:p>
    <w:p>
      <w:pPr>
        <w:spacing w:after="0" w:line="1" w:lineRule="exact"/>
        <w:rPr>
          <w:sz w:val="20"/>
          <w:szCs w:val="20"/>
          <w:color w:val="auto"/>
        </w:rPr>
      </w:pPr>
    </w:p>
    <w:p>
      <w:pPr>
        <w:ind w:left="180"/>
        <w:spacing w:after="0" w:line="220" w:lineRule="auto"/>
        <w:rPr>
          <w:sz w:val="20"/>
          <w:szCs w:val="20"/>
          <w:color w:val="auto"/>
        </w:rPr>
      </w:pPr>
      <w:r>
        <w:rPr>
          <w:rFonts w:ascii="Arial" w:cs="Arial" w:eastAsia="Arial" w:hAnsi="Arial"/>
          <w:sz w:val="20"/>
          <w:szCs w:val="20"/>
          <w:color w:val="auto"/>
        </w:rPr>
        <w:t>the administration of the Plan, and to require Participant to sign any additional agreements or undertakings that may be necessary to accomplish the foregoing.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240"/>
          </w:cols>
          <w:pgMar w:left="320" w:top="1394" w:right="339" w:bottom="1440" w:gutter="0" w:footer="0" w:header="0"/>
        </w:sectPr>
      </w:pPr>
    </w:p>
    <w:bookmarkStart w:id="152" w:name="page153"/>
    <w:bookmarkEnd w:id="152"/>
    <w:p>
      <w:pPr>
        <w:ind w:left="5120"/>
        <w:spacing w:after="0"/>
        <w:rPr>
          <w:sz w:val="20"/>
          <w:szCs w:val="20"/>
          <w:color w:val="auto"/>
        </w:rPr>
      </w:pPr>
      <w:r>
        <w:rPr>
          <w:rFonts w:ascii="Arial" w:cs="Arial" w:eastAsia="Arial" w:hAnsi="Arial"/>
          <w:sz w:val="20"/>
          <w:szCs w:val="20"/>
          <w:b w:val="1"/>
          <w:bCs w:val="1"/>
          <w:color w:val="auto"/>
        </w:rPr>
        <w:t>APPENDIX</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Country Provisions for Options for Participants</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Appendix includes special terms and conditions applicable to Participants in the countries below. These terms and conditions are in addition to those set forth in the Stock Option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 and to the extent there are any inconsistencies</w:t>
      </w:r>
    </w:p>
    <w:p>
      <w:pPr>
        <w:spacing w:after="0" w:line="266" w:lineRule="auto"/>
        <w:rPr>
          <w:sz w:val="20"/>
          <w:szCs w:val="20"/>
          <w:color w:val="auto"/>
        </w:rPr>
      </w:pPr>
      <w:r>
        <w:rPr>
          <w:rFonts w:ascii="Arial" w:cs="Arial" w:eastAsia="Arial" w:hAnsi="Arial"/>
          <w:sz w:val="18"/>
          <w:szCs w:val="18"/>
          <w:color w:val="auto"/>
        </w:rPr>
        <w:t>between these terms and conditions and those set forth in the Agreement, these terms and conditions shall prevail. Any capitalized term used in this Appendix without definition shall have the meaning ascribed to such term in the Plan or the Agreement, as applicable.</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accepting the Option, Participant acknowledges, understands and agrees that:</w:t>
      </w:r>
    </w:p>
    <w:p>
      <w:pPr>
        <w:spacing w:after="0" w:line="189" w:lineRule="exact"/>
        <w:rPr>
          <w:sz w:val="20"/>
          <w:szCs w:val="20"/>
          <w:color w:val="auto"/>
        </w:rPr>
      </w:pPr>
    </w:p>
    <w:p>
      <w:pPr>
        <w:ind w:right="20" w:firstLine="646"/>
        <w:spacing w:after="0" w:line="236" w:lineRule="auto"/>
        <w:tabs>
          <w:tab w:leader="none" w:pos="1077"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may be amended, suspended or terminated by the Company at any time, to the extent permitted by the Plan;</w:t>
      </w:r>
    </w:p>
    <w:p>
      <w:pPr>
        <w:spacing w:after="0" w:line="155" w:lineRule="exact"/>
        <w:rPr>
          <w:rFonts w:ascii="Arial" w:cs="Arial" w:eastAsia="Arial" w:hAnsi="Arial"/>
          <w:sz w:val="20"/>
          <w:szCs w:val="20"/>
          <w:color w:val="auto"/>
        </w:rPr>
      </w:pPr>
    </w:p>
    <w:p>
      <w:pPr>
        <w:ind w:right="20" w:firstLine="646"/>
        <w:spacing w:after="0" w:line="236" w:lineRule="auto"/>
        <w:tabs>
          <w:tab w:leader="none" w:pos="1085"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grant of the Option is voluntary and occasional and does not create any contractual or other right to receive future grants of options, or benefits in lieu of options, even if options have been granted in the past;</w:t>
      </w:r>
    </w:p>
    <w:p>
      <w:pPr>
        <w:spacing w:after="0" w:line="168" w:lineRule="exact"/>
        <w:rPr>
          <w:rFonts w:ascii="Arial" w:cs="Arial" w:eastAsia="Arial" w:hAnsi="Arial"/>
          <w:sz w:val="20"/>
          <w:szCs w:val="20"/>
          <w:color w:val="auto"/>
        </w:rPr>
      </w:pPr>
    </w:p>
    <w:p>
      <w:pPr>
        <w:ind w:left="1060" w:hanging="414"/>
        <w:spacing w:after="0"/>
        <w:tabs>
          <w:tab w:leader="none" w:pos="106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all decisions with respect to future option or other grants, if any, will be at the sole discretion of the Company;</w:t>
      </w:r>
    </w:p>
    <w:p>
      <w:pPr>
        <w:spacing w:after="0" w:line="175" w:lineRule="exact"/>
        <w:rPr>
          <w:rFonts w:ascii="Arial" w:cs="Arial" w:eastAsia="Arial" w:hAnsi="Arial"/>
          <w:sz w:val="20"/>
          <w:szCs w:val="20"/>
          <w:color w:val="auto"/>
        </w:rPr>
      </w:pPr>
    </w:p>
    <w:p>
      <w:pPr>
        <w:jc w:val="both"/>
        <w:ind w:firstLine="646"/>
        <w:spacing w:after="0" w:line="220" w:lineRule="auto"/>
        <w:tabs>
          <w:tab w:leader="none" w:pos="1067"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Option grant and Participant’s participation in the Plan shall not create a right to employment or be interpreted as forming an employment contract with the Company, or, if different, Participant’s employer, or any Subsidiary or parent or affiliate of the Company, and shall not interfere with the ability of the Company, the employer or any Subsidiary or parent or affiliate of the Company, as applicable, to provide for a termination of Participant’s service;</w:t>
      </w:r>
    </w:p>
    <w:p>
      <w:pPr>
        <w:spacing w:after="0" w:line="169" w:lineRule="exact"/>
        <w:rPr>
          <w:rFonts w:ascii="Arial" w:cs="Arial" w:eastAsia="Arial" w:hAnsi="Arial"/>
          <w:sz w:val="20"/>
          <w:szCs w:val="20"/>
          <w:color w:val="auto"/>
        </w:rPr>
      </w:pPr>
    </w:p>
    <w:p>
      <w:pPr>
        <w:ind w:left="1060" w:hanging="414"/>
        <w:spacing w:after="0"/>
        <w:tabs>
          <w:tab w:leader="none" w:pos="106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175" w:lineRule="exact"/>
        <w:rPr>
          <w:rFonts w:ascii="Arial" w:cs="Arial" w:eastAsia="Arial" w:hAnsi="Arial"/>
          <w:sz w:val="20"/>
          <w:szCs w:val="20"/>
          <w:color w:val="auto"/>
        </w:rPr>
      </w:pPr>
    </w:p>
    <w:p>
      <w:pPr>
        <w:ind w:left="1040" w:hanging="394"/>
        <w:spacing w:after="0"/>
        <w:tabs>
          <w:tab w:leader="none" w:pos="104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the Option and any Shares acquired under the Plan are not intended to replace any pension rights or compensation;</w:t>
      </w:r>
    </w:p>
    <w:p>
      <w:pPr>
        <w:spacing w:after="0" w:line="200" w:lineRule="exact"/>
        <w:rPr>
          <w:rFonts w:ascii="Arial" w:cs="Arial" w:eastAsia="Arial" w:hAnsi="Arial"/>
          <w:sz w:val="19"/>
          <w:szCs w:val="19"/>
          <w:color w:val="auto"/>
        </w:rPr>
      </w:pPr>
    </w:p>
    <w:p>
      <w:pPr>
        <w:jc w:val="both"/>
        <w:ind w:firstLine="646"/>
        <w:spacing w:after="0" w:line="252" w:lineRule="auto"/>
        <w:tabs>
          <w:tab w:leader="none" w:pos="116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Option and any Shares acquired under the Plan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57" w:lineRule="exact"/>
        <w:rPr>
          <w:rFonts w:ascii="Arial" w:cs="Arial" w:eastAsia="Arial" w:hAnsi="Arial"/>
          <w:sz w:val="18"/>
          <w:szCs w:val="18"/>
          <w:color w:val="auto"/>
        </w:rPr>
      </w:pPr>
    </w:p>
    <w:p>
      <w:pPr>
        <w:ind w:left="1080" w:hanging="434"/>
        <w:spacing w:after="0"/>
        <w:tabs>
          <w:tab w:leader="none" w:pos="108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the future value of the Shares underlying the Option is unknown, indeterminable, and cannot be predicted with certainty;</w:t>
      </w:r>
    </w:p>
    <w:p>
      <w:pPr>
        <w:spacing w:after="0" w:line="200" w:lineRule="exact"/>
        <w:rPr>
          <w:rFonts w:ascii="Arial" w:cs="Arial" w:eastAsia="Arial" w:hAnsi="Arial"/>
          <w:sz w:val="19"/>
          <w:szCs w:val="19"/>
          <w:color w:val="auto"/>
        </w:rPr>
      </w:pPr>
    </w:p>
    <w:p>
      <w:pPr>
        <w:ind w:left="1040" w:hanging="394"/>
        <w:spacing w:after="0"/>
        <w:tabs>
          <w:tab w:leader="none" w:pos="104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if the underlying Shares do not increase in value, the Option will have no value;</w:t>
      </w:r>
    </w:p>
    <w:p>
      <w:pPr>
        <w:spacing w:after="0" w:line="175" w:lineRule="exact"/>
        <w:rPr>
          <w:rFonts w:ascii="Arial" w:cs="Arial" w:eastAsia="Arial" w:hAnsi="Arial"/>
          <w:sz w:val="20"/>
          <w:szCs w:val="20"/>
          <w:color w:val="auto"/>
        </w:rPr>
      </w:pPr>
    </w:p>
    <w:p>
      <w:pPr>
        <w:ind w:firstLine="646"/>
        <w:spacing w:after="0" w:line="236" w:lineRule="auto"/>
        <w:tabs>
          <w:tab w:leader="none" w:pos="1047" w:val="left"/>
        </w:tabs>
        <w:numPr>
          <w:ilvl w:val="1"/>
          <w:numId w:val="162"/>
        </w:numPr>
        <w:rPr>
          <w:rFonts w:ascii="Arial" w:cs="Arial" w:eastAsia="Arial" w:hAnsi="Arial"/>
          <w:sz w:val="20"/>
          <w:szCs w:val="20"/>
          <w:color w:val="auto"/>
        </w:rPr>
      </w:pPr>
      <w:r>
        <w:rPr>
          <w:rFonts w:ascii="Arial" w:cs="Arial" w:eastAsia="Arial" w:hAnsi="Arial"/>
          <w:sz w:val="20"/>
          <w:szCs w:val="20"/>
          <w:color w:val="auto"/>
        </w:rPr>
        <w:t>if Participant exercises the Option and acquires Shares, the value of such Shares may increase or decrease in value, even below the exercise price; and</w:t>
      </w:r>
    </w:p>
    <w:p>
      <w:pPr>
        <w:spacing w:after="0" w:line="168" w:lineRule="exact"/>
        <w:rPr>
          <w:rFonts w:ascii="Arial" w:cs="Arial" w:eastAsia="Arial" w:hAnsi="Arial"/>
          <w:sz w:val="20"/>
          <w:szCs w:val="20"/>
          <w:color w:val="auto"/>
        </w:rPr>
      </w:pPr>
    </w:p>
    <w:p>
      <w:pPr>
        <w:jc w:val="both"/>
        <w:ind w:firstLine="248"/>
        <w:spacing w:after="0" w:line="252" w:lineRule="auto"/>
        <w:tabs>
          <w:tab w:leader="none" w:pos="71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neither the Company, the employer nor any parent, Subsidiary or affiliate of the Company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79"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b w:val="1"/>
          <w:bCs w:val="1"/>
          <w:u w:val="single" w:color="auto"/>
          <w:color w:val="auto"/>
        </w:rPr>
        <w:t>Securities Law Notice</w:t>
      </w:r>
      <w:r>
        <w:rPr>
          <w:rFonts w:ascii="Arial" w:cs="Arial" w:eastAsia="Arial" w:hAnsi="Arial"/>
          <w:sz w:val="20"/>
          <w:szCs w:val="20"/>
          <w:b w:val="1"/>
          <w:bCs w:val="1"/>
          <w:color w:val="auto"/>
        </w:rPr>
        <w:t xml:space="preserve">: </w:t>
      </w:r>
      <w:r>
        <w:rPr>
          <w:rFonts w:ascii="Arial" w:cs="Arial" w:eastAsia="Arial" w:hAnsi="Arial"/>
          <w:sz w:val="20"/>
          <w:szCs w:val="20"/>
          <w:color w:val="auto"/>
        </w:rPr>
        <w:t>Unless otherwise noted, neither the Company nor the Shares are registered with any local stock exchange or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control of any local securities regulator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Appendix-1</w:t>
      </w:r>
    </w:p>
    <w:p>
      <w:pPr>
        <w:sectPr>
          <w:pgSz w:w="11900" w:h="16838" w:orient="portrait"/>
          <w:cols w:equalWidth="0" w:num="1">
            <w:col w:w="11240"/>
          </w:cols>
          <w:pgMar w:left="320" w:top="1399" w:right="339"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color w:val="auto"/>
        </w:rPr>
        <w:t>The Agreement (of which this Appendix is a part), the Plan, and any other communications or materials that Participant may receive</w:t>
      </w:r>
    </w:p>
    <w:p>
      <w:pPr>
        <w:spacing w:after="0" w:line="232" w:lineRule="auto"/>
        <w:rPr>
          <w:sz w:val="20"/>
          <w:szCs w:val="20"/>
          <w:color w:val="auto"/>
        </w:rPr>
      </w:pPr>
      <w:r>
        <w:rPr>
          <w:rFonts w:ascii="Arial" w:cs="Arial" w:eastAsia="Arial" w:hAnsi="Arial"/>
          <w:sz w:val="19"/>
          <w:szCs w:val="19"/>
          <w:color w:val="auto"/>
        </w:rPr>
        <w:t>regarding participation in the Plan do not constitute advertising or an offering of securities outside the United States, and the issuance of securities described in any Plan-related documents is not intended for public offering or circulation in Participant’s jurisdiction.</w:t>
      </w:r>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 Provisions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Data Privacy</w:t>
      </w:r>
      <w:r>
        <w:rPr>
          <w:rFonts w:ascii="Arial" w:cs="Arial" w:eastAsia="Arial" w:hAnsi="Arial"/>
          <w:sz w:val="20"/>
          <w:szCs w:val="20"/>
          <w:color w:val="auto"/>
        </w:rPr>
        <w:t>:</w:t>
      </w:r>
      <w:r>
        <w:rPr>
          <w:rFonts w:ascii="Arial" w:cs="Arial" w:eastAsia="Arial" w:hAnsi="Arial"/>
          <w:sz w:val="20"/>
          <w:szCs w:val="20"/>
          <w:b w:val="1"/>
          <w:bCs w:val="1"/>
          <w:color w:val="auto"/>
        </w:rPr>
        <w:t xml:space="preserve"> Participant acknowledges and agrees to the data privacy provisions set forth in Section 11.8 of the Plan.</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u w:val="single" w:color="auto"/>
          <w:color w:val="auto"/>
        </w:rPr>
        <w:t>Notifications</w:t>
      </w:r>
      <w:r>
        <w:rPr>
          <w:rFonts w:ascii="Arial" w:cs="Arial" w:eastAsia="Arial" w:hAnsi="Arial"/>
          <w:sz w:val="18"/>
          <w:szCs w:val="18"/>
          <w:color w:val="auto"/>
        </w:rPr>
        <w:t>: This Appendix also includes information relating to exchange control and other issues of which Participant should be 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his or her participation in the Plan. The information is based on the exchange control, securities and other laws in effect in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respective countries as of September 2021. Such laws are often complex and change frequently. As a result, the Company strongly recommends that Participant not rely on the information herein as the only source of information relating to the consequences of participation</w:t>
      </w:r>
    </w:p>
    <w:p>
      <w:pPr>
        <w:spacing w:after="0" w:line="236" w:lineRule="auto"/>
        <w:rPr>
          <w:sz w:val="20"/>
          <w:szCs w:val="20"/>
          <w:color w:val="auto"/>
        </w:rPr>
      </w:pPr>
      <w:r>
        <w:rPr>
          <w:rFonts w:ascii="Arial" w:cs="Arial" w:eastAsia="Arial" w:hAnsi="Arial"/>
          <w:sz w:val="18"/>
          <w:szCs w:val="18"/>
          <w:color w:val="auto"/>
        </w:rPr>
        <w:t>in the Plan because the information may be out of date at the time the Option is exercised or Shares acquired under the Plan are sold. 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addition, the information contained in this Appendix is general in nature and may not apply to Participant’s particular situation, and the Company is not in a position to assure Participant of any particular result. Accordingly, Participant is advised to seek appropriate professional</w:t>
      </w:r>
    </w:p>
    <w:p>
      <w:pPr>
        <w:spacing w:after="0" w:line="236" w:lineRule="auto"/>
        <w:rPr>
          <w:sz w:val="20"/>
          <w:szCs w:val="20"/>
          <w:color w:val="auto"/>
        </w:rPr>
      </w:pPr>
      <w:r>
        <w:rPr>
          <w:rFonts w:ascii="Arial" w:cs="Arial" w:eastAsia="Arial" w:hAnsi="Arial"/>
          <w:sz w:val="18"/>
          <w:szCs w:val="18"/>
          <w:color w:val="auto"/>
        </w:rPr>
        <w:t>advice as to how the relevant laws in his or her country may apply to his or her situation. Finally, Participant understands that if Participant is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 citizen or resident of a country other than the one in which he or she is currently residing or working, the information contained herein may not be applicable to Participant.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English Language</w:t>
      </w:r>
      <w:r>
        <w:rPr>
          <w:rFonts w:ascii="Arial" w:cs="Arial" w:eastAsia="Arial" w:hAnsi="Arial"/>
          <w:sz w:val="18"/>
          <w:szCs w:val="18"/>
          <w:color w:val="auto"/>
        </w:rPr>
        <w:t>: By participating in the Plan, Participant acknowledges that Participant is proficient in the English language, or has</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consulted with an advisor who is sufficiently proficient in English, so as to allow him or her to understand the terms and conditions of the Plan and the Agreement applicable to Participant’s country of residence. If Participant has received the Agreement and the Plan applicably to</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his or her country of residence or any other document related to the Plan translated into a language other than English and if the meaning of the translated version is different than the English version, the English version will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Currency</w:t>
      </w:r>
      <w:r>
        <w:rPr>
          <w:rFonts w:ascii="Arial" w:cs="Arial" w:eastAsia="Arial" w:hAnsi="Arial"/>
          <w:sz w:val="18"/>
          <w:szCs w:val="18"/>
          <w:color w:val="auto"/>
        </w:rPr>
        <w:t>: Participant understands that, any amounts related to the Option will be denominated in U.S. dollars and will be converted to any</w:t>
      </w:r>
    </w:p>
    <w:p>
      <w:pPr>
        <w:spacing w:after="0" w:line="1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local currency using a prevailing exchange rate in effect at the time such conversion is performed, as determined by the Company. Participant understands and agrees that neither the Company nor any affiliate shall be liable for any foreign exchange rate fluctuation between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Participant’s local currency and the U.S. dollar that may affect the value of the Option, or of any amounts due to Participant or as a result of the subsequent sale of any Shares acquired under the Option.</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u w:val="single" w:color="auto"/>
          <w:color w:val="auto"/>
        </w:rPr>
        <w:t>Foreign Asset/Account Reporting; Exchange Controls</w:t>
      </w:r>
      <w:r>
        <w:rPr>
          <w:rFonts w:ascii="Arial" w:cs="Arial" w:eastAsia="Arial" w:hAnsi="Arial"/>
          <w:sz w:val="18"/>
          <w:szCs w:val="18"/>
          <w:color w:val="auto"/>
        </w:rPr>
        <w:t>: Participant’s country of residence may have certain foreign asset and/or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or exchange control requirements which may affect his or her ability to acquire or hold Shares under the Agreement or cash</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received (including proceeds arising from the sale of Shares) in a brokerage or bank account outside Participant’s country. Participant may be required to report such accounts, assets or transactions to the tax or other authorities in his or her country. Participant may also be required to</w:t>
      </w:r>
    </w:p>
    <w:p>
      <w:pPr>
        <w:spacing w:after="0" w:line="235" w:lineRule="auto"/>
        <w:rPr>
          <w:sz w:val="20"/>
          <w:szCs w:val="20"/>
          <w:color w:val="auto"/>
        </w:rPr>
      </w:pPr>
      <w:r>
        <w:rPr>
          <w:rFonts w:ascii="Arial" w:cs="Arial" w:eastAsia="Arial" w:hAnsi="Arial"/>
          <w:sz w:val="18"/>
          <w:szCs w:val="18"/>
          <w:color w:val="auto"/>
        </w:rPr>
        <w:t>repatriate sale proceeds or other funds received as a result of his/her participation in the Plan to his or her country through a designated</w:t>
      </w:r>
    </w:p>
    <w:p>
      <w:pPr>
        <w:spacing w:after="0" w:line="220" w:lineRule="auto"/>
        <w:rPr>
          <w:sz w:val="20"/>
          <w:szCs w:val="20"/>
          <w:color w:val="auto"/>
        </w:rPr>
      </w:pPr>
      <w:r>
        <w:rPr>
          <w:rFonts w:ascii="Arial" w:cs="Arial" w:eastAsia="Arial" w:hAnsi="Arial"/>
          <w:sz w:val="20"/>
          <w:szCs w:val="20"/>
          <w:color w:val="auto"/>
        </w:rPr>
        <w:t>broker or bank and/or within a certain time after receipt. Participant is responsible for ensuring compliance with such regulations and should consult with his or her personal legal advisor for any details.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w:t>
      </w:r>
    </w:p>
    <w:p>
      <w:pPr>
        <w:spacing w:after="0" w:line="226" w:lineRule="auto"/>
        <w:rPr>
          <w:sz w:val="20"/>
          <w:szCs w:val="20"/>
          <w:color w:val="auto"/>
        </w:rPr>
      </w:pPr>
      <w:r>
        <w:rPr>
          <w:rFonts w:ascii="Arial" w:cs="Arial" w:eastAsia="Arial" w:hAnsi="Arial"/>
          <w:sz w:val="18"/>
          <w:szCs w:val="18"/>
          <w:color w:val="auto"/>
        </w:rPr>
        <w:t>recommendations regarding Participant’s participation in the Plan or the Agreement or any receipt of the Option or sale of Shares acquired upon exercise of the Option. Participant should consult his or her own personal tax, legal and financial advisors regarding his or 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participation in the Plan and the Agreement before taking any action related to the Option or the Shares.</w:t>
      </w:r>
    </w:p>
    <w:p>
      <w:pPr>
        <w:spacing w:after="0" w:line="194"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Participant, on the Option and/or any</w:t>
      </w:r>
      <w:r>
        <w:rPr>
          <w:rFonts w:ascii="Arial" w:cs="Arial" w:eastAsia="Arial" w:hAnsi="Arial"/>
          <w:sz w:val="20"/>
          <w:szCs w:val="20"/>
          <w:b w:val="1"/>
          <w:bCs w:val="1"/>
          <w:color w:val="auto"/>
        </w:rPr>
        <w:t xml:space="preserve"> </w:t>
      </w:r>
      <w:r>
        <w:rPr>
          <w:rFonts w:ascii="Arial" w:cs="Arial" w:eastAsia="Arial" w:hAnsi="Arial"/>
          <w:sz w:val="20"/>
          <w:szCs w:val="20"/>
          <w:color w:val="auto"/>
        </w:rPr>
        <w:t>Shares issuable upon exercise of the Option, to the extent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Appendix-2</w:t>
      </w:r>
    </w:p>
    <w:p>
      <w:pPr>
        <w:sectPr>
          <w:pgSz w:w="11900" w:h="16838" w:orient="portrait"/>
          <w:cols w:equalWidth="0" w:num="1">
            <w:col w:w="11240"/>
          </w:cols>
          <w:pgMar w:left="320" w:top="1405" w:right="339" w:bottom="1440" w:gutter="0" w:footer="0" w:header="0"/>
        </w:sectPr>
      </w:pPr>
    </w:p>
    <w:bookmarkStart w:id="154" w:name="page155"/>
    <w:bookmarkEnd w:id="154"/>
    <w:p>
      <w:pPr>
        <w:spacing w:after="0" w:line="209" w:lineRule="auto"/>
        <w:rPr>
          <w:sz w:val="20"/>
          <w:szCs w:val="20"/>
          <w:color w:val="auto"/>
        </w:rPr>
      </w:pPr>
      <w:r>
        <w:rPr>
          <w:rFonts w:ascii="Arial" w:cs="Arial" w:eastAsia="Arial" w:hAnsi="Arial"/>
          <w:sz w:val="20"/>
          <w:szCs w:val="20"/>
          <w:color w:val="auto"/>
        </w:rPr>
        <w:t>Company determines it is necessary or advisable for legal or administrative reasons, and to require Participant to sign any additional agreements or undertakings that may be necessary to accomplish the foregoing.</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20"/>
          <w:szCs w:val="20"/>
          <w:b w:val="1"/>
          <w:bCs w:val="1"/>
          <w:u w:val="single" w:color="auto"/>
          <w:color w:val="auto"/>
        </w:rPr>
        <w:t>France</w:t>
      </w:r>
      <w:r>
        <w:rPr>
          <w:rFonts w:ascii="Arial" w:cs="Arial" w:eastAsia="Arial" w:hAnsi="Arial"/>
          <w:sz w:val="25"/>
          <w:szCs w:val="25"/>
          <w:b w:val="1"/>
          <w:bCs w:val="1"/>
          <w:u w:val="single" w:color="auto"/>
          <w:color w:val="auto"/>
          <w:vertAlign w:val="superscript"/>
        </w:rPr>
        <w:t>1</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France</w:t>
      </w:r>
      <w:r>
        <w:rPr>
          <w:rFonts w:ascii="Arial" w:cs="Arial" w:eastAsia="Arial" w:hAnsi="Arial"/>
          <w:sz w:val="18"/>
          <w:szCs w:val="18"/>
          <w:color w:val="auto"/>
        </w:rPr>
        <w:t xml:space="preserve"> provide additional clarifications for the purpose of granting Options which are</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intended to qualify for specific French personal income tax and social security treatment in France applicable to stock options granted under Articles L. 225-177 to L. 225-186 and L. 22-10-56 et seq.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for qualifying employees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and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who are residents in France for French tax purposes and/or subject to the French social security regime.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 xml:space="preserve">This Option is subject to the terms and conditions of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to the Plan for the grant of stock options to French participants, the terms of which are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The Options shall not be transferable otherwise than the laws of descent and distribution.</w:t>
      </w:r>
    </w:p>
    <w:p>
      <w:pPr>
        <w:spacing w:after="0" w:line="183" w:lineRule="exact"/>
        <w:rPr>
          <w:sz w:val="20"/>
          <w:szCs w:val="20"/>
          <w:color w:val="auto"/>
        </w:rPr>
      </w:pPr>
    </w:p>
    <w:p>
      <w:pPr>
        <w:ind w:left="5360"/>
        <w:spacing w:after="0"/>
        <w:rPr>
          <w:sz w:val="20"/>
          <w:szCs w:val="20"/>
          <w:color w:val="auto"/>
        </w:rPr>
      </w:pPr>
      <w:r>
        <w:rPr>
          <w:rFonts w:ascii="Arial" w:cs="Arial" w:eastAsia="Arial" w:hAnsi="Arial"/>
          <w:sz w:val="20"/>
          <w:szCs w:val="20"/>
          <w:b w:val="1"/>
          <w:bCs w:val="1"/>
          <w:u w:val="single" w:color="auto"/>
          <w:color w:val="auto"/>
        </w:rPr>
        <w:t>Japan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Option has not been and will not be registered under the Financial Instruments and Exchange Act of Japan (Act No. 25 of 1948, as amended), or the FIEA. Accordingly, the Option may not be offered or sold, directly or indirectly, in Japan or to or</w:t>
      </w:r>
    </w:p>
    <w:p>
      <w:pPr>
        <w:spacing w:after="0" w:line="226" w:lineRule="auto"/>
        <w:rPr>
          <w:sz w:val="20"/>
          <w:szCs w:val="20"/>
          <w:color w:val="auto"/>
        </w:rPr>
      </w:pPr>
      <w:r>
        <w:rPr>
          <w:rFonts w:ascii="Arial" w:cs="Arial" w:eastAsia="Arial" w:hAnsi="Arial"/>
          <w:sz w:val="18"/>
          <w:szCs w:val="18"/>
          <w:color w:val="auto"/>
        </w:rPr>
        <w:t>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 exemption from the registration requirements of the FIEA and otherwise in compliance with any relevant laws and regulations of Japan.</w:t>
      </w:r>
    </w:p>
    <w:p>
      <w:pPr>
        <w:spacing w:after="0" w:line="182" w:lineRule="exact"/>
        <w:rPr>
          <w:sz w:val="20"/>
          <w:szCs w:val="20"/>
          <w:color w:val="auto"/>
        </w:rPr>
      </w:pPr>
    </w:p>
    <w:p>
      <w:pPr>
        <w:spacing w:after="0" w:line="244"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acquires shares of Common Stock valued at more than ¥100,000,000 in a single transaction, Participant must file a Securities Acquisition Report with the Ministry of Finance (“</w:t>
      </w:r>
      <w:r>
        <w:rPr>
          <w:rFonts w:ascii="Arial" w:cs="Arial" w:eastAsia="Arial" w:hAnsi="Arial"/>
          <w:sz w:val="18"/>
          <w:szCs w:val="18"/>
          <w:b w:val="1"/>
          <w:bCs w:val="1"/>
          <w:i w:val="1"/>
          <w:iCs w:val="1"/>
          <w:color w:val="auto"/>
        </w:rPr>
        <w:t>MOF</w:t>
      </w:r>
      <w:r>
        <w:rPr>
          <w:rFonts w:ascii="Arial" w:cs="Arial" w:eastAsia="Arial" w:hAnsi="Arial"/>
          <w:sz w:val="18"/>
          <w:szCs w:val="18"/>
          <w:color w:val="auto"/>
        </w:rPr>
        <w:t>”) through the Bank of Japan within 20 days of the</w:t>
      </w:r>
    </w:p>
    <w:p>
      <w:pPr>
        <w:spacing w:after="0" w:line="226" w:lineRule="auto"/>
        <w:rPr>
          <w:sz w:val="20"/>
          <w:szCs w:val="20"/>
          <w:color w:val="auto"/>
        </w:rPr>
      </w:pPr>
      <w:r>
        <w:rPr>
          <w:rFonts w:ascii="Arial" w:cs="Arial" w:eastAsia="Arial" w:hAnsi="Arial"/>
          <w:sz w:val="18"/>
          <w:szCs w:val="18"/>
          <w:color w:val="auto"/>
        </w:rPr>
        <w:t>exercise of the Option. In addition, if Participant pays more than ¥30,000,000 in a single transaction for the shares at exercise, Participant must file a Payment Report with the MOF through the Bank of Japan by the 20th day of the month following the month in which the payment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was made. The precise reporting requirements vary depending on whether the relevant payment is made through a bank in Japan. A Payment Report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14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7" w:lineRule="exact"/>
        <w:rPr>
          <w:sz w:val="20"/>
          <w:szCs w:val="20"/>
          <w:color w:val="auto"/>
        </w:rPr>
      </w:pPr>
    </w:p>
    <w:p>
      <w:pPr>
        <w:jc w:val="both"/>
        <w:ind w:firstLine="8"/>
        <w:spacing w:after="0" w:line="221" w:lineRule="auto"/>
        <w:tabs>
          <w:tab w:leader="none" w:pos="124" w:val="left"/>
        </w:tabs>
        <w:numPr>
          <w:ilvl w:val="0"/>
          <w:numId w:val="164"/>
        </w:numPr>
        <w:rPr>
          <w:rFonts w:ascii="Arial" w:cs="Arial" w:eastAsia="Arial" w:hAnsi="Arial"/>
          <w:sz w:val="22"/>
          <w:szCs w:val="22"/>
          <w:color w:val="auto"/>
          <w:vertAlign w:val="superscript"/>
        </w:rPr>
      </w:pPr>
      <w:r>
        <w:rPr>
          <w:rFonts w:ascii="Arial" w:cs="Arial" w:eastAsia="Arial" w:hAnsi="Arial"/>
          <w:sz w:val="17"/>
          <w:szCs w:val="17"/>
          <w:color w:val="auto"/>
        </w:rPr>
        <w:t>NTD: It results arguably from French Supreme Court decisions (Employment Chamber) that stock option plans (or similar), issued by a non-French company, can be drafted in English and are enforceable against a French employee, if it can be established that the French employee (i) has received a copy of the relevant plan documents and (ii) has a sufficient knowledge of English to understand the provisions of these documents.</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 xml:space="preserve">Recommendation: </w:t>
      </w:r>
      <w:r>
        <w:rPr>
          <w:rFonts w:ascii="Arial" w:cs="Arial" w:eastAsia="Arial" w:hAnsi="Arial"/>
          <w:sz w:val="18"/>
          <w:szCs w:val="18"/>
          <w:color w:val="auto"/>
        </w:rPr>
        <w:t>Establishing a French translation would nonetheless be prudent. As an alternative, it could be considered to ask the French employee to</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 sign the following statement, for example as a cover letter or side document:</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 have received a copy of the attached [identify plan documents] and read and understood the provisions, terms and conditions contained therein. I have sufficient knowledge of English to understand their meaning and consequences.</w:t>
      </w:r>
    </w:p>
    <w:p>
      <w:pPr>
        <w:spacing w:after="0" w:line="1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i w:val="1"/>
          <w:iCs w:val="1"/>
          <w:color w:val="auto"/>
        </w:rPr>
        <w:t xml:space="preserve">Je déclare avoir reçu un exemplaire des documents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identify plan documents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joints, lu et compris leurs dispositions, termes et conditions. Je maîtrise suffisamment la langue anglaise pour en comprendre le contenu et les conséquences.</w:t>
      </w:r>
      <w:r>
        <w:rPr>
          <w:rFonts w:ascii="Arial" w:cs="Arial" w:eastAsia="Arial" w:hAnsi="Arial"/>
          <w:sz w:val="18"/>
          <w:szCs w:val="18"/>
          <w:color w:val="auto"/>
        </w:rPr>
        <w:t>”</w:t>
      </w:r>
    </w:p>
    <w:p>
      <w:pPr>
        <w:spacing w:after="0" w:line="29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 xml:space="preserve">Exception to this recommendation : </w:t>
      </w:r>
      <w:r>
        <w:rPr>
          <w:rFonts w:ascii="Arial" w:cs="Arial" w:eastAsia="Arial" w:hAnsi="Arial"/>
          <w:sz w:val="18"/>
          <w:szCs w:val="18"/>
          <w:color w:val="auto"/>
        </w:rPr>
        <w:t>If the plan or agreement implements specific obligations on the beneficiary, such as covenants, then it will have to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translated in full into French. Otherwise, any such covenants will be unenforceable.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Appendix-3</w:t>
      </w:r>
    </w:p>
    <w:p>
      <w:pPr>
        <w:sectPr>
          <w:pgSz w:w="11900" w:h="16838" w:orient="portrait"/>
          <w:cols w:equalWidth="0" w:num="1">
            <w:col w:w="11240"/>
          </w:cols>
          <w:pgMar w:left="320" w:top="1405" w:right="339" w:bottom="1440" w:gutter="0" w:footer="0" w:header="0"/>
        </w:sectPr>
      </w:pPr>
    </w:p>
    <w:bookmarkStart w:id="155" w:name="page156"/>
    <w:bookmarkEnd w:id="155"/>
    <w:p>
      <w:pPr>
        <w:spacing w:after="0" w:line="257" w:lineRule="auto"/>
        <w:rPr>
          <w:sz w:val="20"/>
          <w:szCs w:val="20"/>
          <w:color w:val="auto"/>
        </w:rPr>
      </w:pPr>
      <w:r>
        <w:rPr>
          <w:rFonts w:ascii="Arial" w:cs="Arial" w:eastAsia="Arial" w:hAnsi="Arial"/>
          <w:sz w:val="19"/>
          <w:szCs w:val="19"/>
          <w:color w:val="auto"/>
        </w:rPr>
        <w:t>required independently of a Securities Acquisition Report. Consequently, if the total amount that Participant pays on a one-time basis at exercise of the Option exceeds ¥100,000,000, Participant must file both a Payment Report and a Securities Acquisition Report.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South Korea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To remit funds out of Korea to exercise the Option by a cash-settlement method, the Participant must obtain a confirmation of the remittance by a foreign exchange bank in Korea. This is an automatic procedure, (i.e., the bank does not need to</w:t>
      </w:r>
    </w:p>
    <w:p>
      <w:pPr>
        <w:spacing w:after="0" w:line="222" w:lineRule="auto"/>
        <w:rPr>
          <w:sz w:val="20"/>
          <w:szCs w:val="20"/>
          <w:color w:val="auto"/>
        </w:rPr>
      </w:pPr>
      <w:r>
        <w:rPr>
          <w:rFonts w:ascii="Arial" w:cs="Arial" w:eastAsia="Arial" w:hAnsi="Arial"/>
          <w:sz w:val="19"/>
          <w:szCs w:val="19"/>
          <w:color w:val="auto"/>
        </w:rPr>
        <w:t>approve the remittance and the process should not take more than a single day). The Participant likely will need to present the bank</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processing the transaction supporting documentation evidencing the nature of the remittance. If the Participant realizes U.S.$500,000 or more from the sale of shares of Common Stock, Korean exchange control laws require the Participant to repatriate the proceeds to Korea within 18</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months of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Appendix-4</w:t>
      </w:r>
    </w:p>
    <w:p>
      <w:pPr>
        <w:sectPr>
          <w:pgSz w:w="11900" w:h="16838" w:orient="portrait"/>
          <w:cols w:equalWidth="0" w:num="1">
            <w:col w:w="11240"/>
          </w:cols>
          <w:pgMar w:left="320" w:top="1405" w:right="33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20"/>
          <w:szCs w:val="20"/>
          <w:b w:val="1"/>
          <w:bCs w:val="1"/>
          <w:color w:val="auto"/>
        </w:rPr>
        <w:t>ARTERIS INC.</w:t>
      </w:r>
    </w:p>
    <w:p>
      <w:pPr>
        <w:jc w:val="center"/>
        <w:ind w:right="-19"/>
        <w:spacing w:after="0"/>
        <w:rPr>
          <w:sz w:val="20"/>
          <w:szCs w:val="20"/>
          <w:color w:val="auto"/>
        </w:rPr>
      </w:pPr>
      <w:r>
        <w:rPr>
          <w:rFonts w:ascii="Arial" w:cs="Arial" w:eastAsia="Arial" w:hAnsi="Arial"/>
          <w:sz w:val="20"/>
          <w:szCs w:val="20"/>
          <w:b w:val="1"/>
          <w:bCs w:val="1"/>
          <w:color w:val="auto"/>
        </w:rPr>
        <w:t>2022 EMPLOYMENT INDUCEMENT INCENTIVE PLAN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UNIT AWARD GRANT NOTICE</w:t>
      </w:r>
    </w:p>
    <w:p>
      <w:pPr>
        <w:spacing w:after="0" w:line="195"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Arteris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its 2022 Employment Inducement Incentive Plan, as may be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hereby grants to the holder listed below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an award of restricted stock units</w:t>
      </w: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Each vested Restricted Stock Unit represents the right to receive, in accordance with the Restricted</w:t>
      </w:r>
    </w:p>
    <w:p>
      <w:pPr>
        <w:jc w:val="both"/>
        <w:spacing w:after="0" w:line="226" w:lineRule="auto"/>
        <w:rPr>
          <w:sz w:val="20"/>
          <w:szCs w:val="20"/>
          <w:color w:val="auto"/>
        </w:rPr>
      </w:pPr>
      <w:r>
        <w:rPr>
          <w:rFonts w:ascii="Arial" w:cs="Arial" w:eastAsia="Arial" w:hAnsi="Arial"/>
          <w:sz w:val="18"/>
          <w:szCs w:val="18"/>
          <w:color w:val="auto"/>
        </w:rPr>
        <w:t xml:space="preserve">Stock Unit Award Agreement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including any special provisions for Participant’s country of residence, if any, set forth in the Appendix for Participant’s Country (the “</w:t>
      </w:r>
      <w:r>
        <w:rPr>
          <w:rFonts w:ascii="Arial" w:cs="Arial" w:eastAsia="Arial" w:hAnsi="Arial"/>
          <w:sz w:val="18"/>
          <w:szCs w:val="18"/>
          <w:b w:val="1"/>
          <w:bCs w:val="1"/>
          <w:i w:val="1"/>
          <w:iCs w:val="1"/>
          <w:color w:val="auto"/>
        </w:rPr>
        <w:t>Country Provisions</w:t>
      </w:r>
      <w:r>
        <w:rPr>
          <w:rFonts w:ascii="Arial" w:cs="Arial" w:eastAsia="Arial" w:hAnsi="Arial"/>
          <w:sz w:val="18"/>
          <w:szCs w:val="18"/>
          <w:color w:val="auto"/>
        </w:rPr>
        <w:t>”), one share of Common Stock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w:t>
      </w:r>
    </w:p>
    <w:p>
      <w:pPr>
        <w:spacing w:after="0" w:line="224" w:lineRule="auto"/>
        <w:rPr>
          <w:sz w:val="20"/>
          <w:szCs w:val="20"/>
          <w:color w:val="auto"/>
        </w:rPr>
      </w:pPr>
      <w:r>
        <w:rPr>
          <w:rFonts w:ascii="Arial" w:cs="Arial" w:eastAsia="Arial" w:hAnsi="Arial"/>
          <w:sz w:val="19"/>
          <w:szCs w:val="19"/>
          <w:color w:val="auto"/>
        </w:rPr>
        <w:t>This award of Restricted Stock Units is subject to all of the terms and conditions set forth herein and in the Agreement, the Country</w:t>
      </w:r>
    </w:p>
    <w:p>
      <w:pPr>
        <w:spacing w:after="0" w:line="226" w:lineRule="auto"/>
        <w:rPr>
          <w:sz w:val="20"/>
          <w:szCs w:val="20"/>
          <w:color w:val="auto"/>
        </w:rPr>
      </w:pPr>
      <w:r>
        <w:rPr>
          <w:rFonts w:ascii="Arial" w:cs="Arial" w:eastAsia="Arial" w:hAnsi="Arial"/>
          <w:sz w:val="18"/>
          <w:szCs w:val="18"/>
          <w:color w:val="auto"/>
        </w:rPr>
        <w:t>Provisions (if applicable) and the Plan, each of which are incorporated herein by reference. Unless otherwise defined herein, the terms defined in the Plan shall have the same defined meanings in this Restricted Stock Unit Award Grant Notice, the Country Provisions and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ectPr>
          <w:pgSz w:w="11900" w:h="16838" w:orient="portrait"/>
          <w:cols w:equalWidth="0" w:num="1">
            <w:col w:w="11240"/>
          </w:cols>
          <w:pgMar w:left="320" w:top="867" w:right="339" w:bottom="1440" w:gutter="0" w:footer="0" w:header="0"/>
        </w:sect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Participant:</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Grant Date:</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Total Number of RSUs: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Vesting Commencement Date: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Termination:</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[__________________________]</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[__________________________]</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w:t>
      </w:r>
    </w:p>
    <w:p>
      <w:pPr>
        <w:spacing w:after="0" w:line="135" w:lineRule="exact"/>
        <w:rPr>
          <w:sz w:val="20"/>
          <w:szCs w:val="20"/>
          <w:color w:val="auto"/>
        </w:rPr>
      </w:pPr>
    </w:p>
    <w:p>
      <w:pPr>
        <w:jc w:val="both"/>
        <w:ind w:right="60" w:hanging="3"/>
        <w:spacing w:after="0" w:line="227" w:lineRule="auto"/>
        <w:rPr>
          <w:sz w:val="20"/>
          <w:szCs w:val="20"/>
          <w:color w:val="auto"/>
        </w:rPr>
      </w:pPr>
      <w:r>
        <w:rPr>
          <w:rFonts w:ascii="Arial" w:cs="Arial" w:eastAsia="Arial" w:hAnsi="Arial"/>
          <w:sz w:val="20"/>
          <w:szCs w:val="20"/>
          <w:color w:val="auto"/>
        </w:rPr>
        <w:t>If Participant experiences a Termination of Service, all RSUs that have not become vested on or prior to the date of such Termination of Service will thereupon be automatically forfeited by Participant without payment of any consideration therefor.</w:t>
      </w:r>
    </w:p>
    <w:p>
      <w:pPr>
        <w:spacing w:after="0" w:line="278" w:lineRule="exact"/>
        <w:rPr>
          <w:sz w:val="20"/>
          <w:szCs w:val="20"/>
          <w:color w:val="auto"/>
        </w:rPr>
      </w:pPr>
    </w:p>
    <w:p>
      <w:pPr>
        <w:sectPr>
          <w:pgSz w:w="11900" w:h="16838" w:orient="portrait"/>
          <w:cols w:equalWidth="0" w:num="2">
            <w:col w:w="3080" w:space="720"/>
            <w:col w:w="7440"/>
          </w:cols>
          <w:pgMar w:left="320" w:top="867" w:right="3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If the Company uses an electronic capitalization table system (such as Shareworks, Carta or Equity Edge) and the fields in this Grant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Notice are blank or the information is otherwise provided in a different format electronically, the blank fields and other information will be deemed to come from the electronic capitalization system and is considered part of this Grant Notice. In addition, the Company’s signature</w:t>
      </w:r>
    </w:p>
    <w:p>
      <w:pPr>
        <w:spacing w:after="0" w:line="224" w:lineRule="auto"/>
        <w:rPr>
          <w:sz w:val="20"/>
          <w:szCs w:val="20"/>
          <w:color w:val="auto"/>
        </w:rPr>
      </w:pPr>
      <w:r>
        <w:rPr>
          <w:rFonts w:ascii="Arial" w:cs="Arial" w:eastAsia="Arial" w:hAnsi="Arial"/>
          <w:sz w:val="19"/>
          <w:szCs w:val="19"/>
          <w:color w:val="auto"/>
        </w:rPr>
        <w:t>below shall be deemed to have occurred by the Company’s input of the RSUs in such electronic capitalization table system and the</w:t>
      </w:r>
    </w:p>
    <w:p>
      <w:pPr>
        <w:ind w:right="20"/>
        <w:spacing w:after="0" w:line="220" w:lineRule="auto"/>
        <w:rPr>
          <w:sz w:val="20"/>
          <w:szCs w:val="20"/>
          <w:color w:val="auto"/>
        </w:rPr>
      </w:pPr>
      <w:r>
        <w:rPr>
          <w:rFonts w:ascii="Arial" w:cs="Arial" w:eastAsia="Arial" w:hAnsi="Arial"/>
          <w:sz w:val="20"/>
          <w:szCs w:val="20"/>
          <w:color w:val="auto"/>
        </w:rPr>
        <w:t>Participant’s signature below shall be deemed to have occurred by the Participant’s online acceptance of the RSUs through such electronic capitalization table system.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his or her signature and the Company’s signature below, Participant agrees to be bound by the terms and conditions of the Plan,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Agreement and this Grant Notice. Participant has reviewed the Plan, the Agreement and this Grant Notice in their entirety, has had an opportunity to obtain the advice of counsel prior to executing this Grant Notice and fully understands all provisions of the Plan, the</w:t>
      </w:r>
    </w:p>
    <w:p>
      <w:pPr>
        <w:spacing w:after="0" w:line="236" w:lineRule="auto"/>
        <w:rPr>
          <w:sz w:val="20"/>
          <w:szCs w:val="20"/>
          <w:color w:val="auto"/>
        </w:rPr>
      </w:pPr>
      <w:r>
        <w:rPr>
          <w:rFonts w:ascii="Arial" w:cs="Arial" w:eastAsia="Arial" w:hAnsi="Arial"/>
          <w:sz w:val="18"/>
          <w:szCs w:val="18"/>
          <w:color w:val="auto"/>
        </w:rPr>
        <w:t>Agreement and this Grant Notice. Participant hereby agrees to accept as binding, conclusive and final all decisions or interpretations of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Administrator upon any questions arising under the Plan, the Agreement or this Grant Notice. In addition, by signing below, Participant also agrees that the Company, in its sole discretion, may satisfy any withholding obligations in accordance with Section 2.6(b) of the Agreement</w:t>
      </w:r>
    </w:p>
    <w:p>
      <w:pPr>
        <w:spacing w:after="0" w:line="224" w:lineRule="auto"/>
        <w:rPr>
          <w:sz w:val="20"/>
          <w:szCs w:val="20"/>
          <w:color w:val="auto"/>
        </w:rPr>
      </w:pPr>
      <w:r>
        <w:rPr>
          <w:rFonts w:ascii="Arial" w:cs="Arial" w:eastAsia="Arial" w:hAnsi="Arial"/>
          <w:sz w:val="19"/>
          <w:szCs w:val="19"/>
          <w:color w:val="auto"/>
        </w:rPr>
        <w:t>by (i) withholding shares of Common Stock otherwise issuable to Participant upon vesting of the RSUs, (ii) instructing a broker on</w:t>
      </w:r>
    </w:p>
    <w:p>
      <w:pPr>
        <w:spacing w:after="0" w:line="232" w:lineRule="auto"/>
        <w:rPr>
          <w:sz w:val="20"/>
          <w:szCs w:val="20"/>
          <w:color w:val="auto"/>
        </w:rPr>
      </w:pPr>
      <w:r>
        <w:rPr>
          <w:rFonts w:ascii="Arial" w:cs="Arial" w:eastAsia="Arial" w:hAnsi="Arial"/>
          <w:sz w:val="19"/>
          <w:szCs w:val="19"/>
          <w:color w:val="auto"/>
        </w:rPr>
        <w:t>Participant’s behalf to sell shares of Common Stock otherwise issuable to Participant upon vesting of the RSUs and submit the proceeds of such sale to the Company, or (iii) using any other method permitted by Section 2.6(b) of the Agreement or the Plan.</w:t>
      </w:r>
    </w:p>
    <w:p>
      <w:pPr>
        <w:sectPr>
          <w:pgSz w:w="11900" w:h="16838" w:orient="portrait"/>
          <w:cols w:equalWidth="0" w:num="1">
            <w:col w:w="11240"/>
          </w:cols>
          <w:pgMar w:left="320" w:top="867" w:right="339" w:bottom="1440" w:gutter="0" w:footer="0" w:header="0"/>
          <w:type w:val="continuous"/>
        </w:sectPr>
      </w:pPr>
    </w:p>
    <w:bookmarkStart w:id="157" w:name="page158"/>
    <w:bookmarkEnd w:id="157"/>
    <w:p>
      <w:pPr>
        <w:ind w:left="60"/>
        <w:spacing w:after="0"/>
        <w:tabs>
          <w:tab w:leader="none" w:pos="1560" w:val="left"/>
        </w:tabs>
        <w:rPr>
          <w:sz w:val="20"/>
          <w:szCs w:val="20"/>
          <w:color w:val="auto"/>
        </w:rPr>
      </w:pPr>
      <w:r>
        <w:rPr>
          <w:rFonts w:ascii="Arial" w:cs="Arial" w:eastAsia="Arial" w:hAnsi="Arial"/>
          <w:sz w:val="20"/>
          <w:szCs w:val="20"/>
          <w:color w:val="auto"/>
        </w:rPr>
        <w:t>ARTERIS INC</w:t>
      </w:r>
      <w:r>
        <w:rPr>
          <w:rFonts w:ascii="Arial" w:cs="Arial" w:eastAsia="Arial" w:hAnsi="Arial"/>
          <w:sz w:val="20"/>
          <w:szCs w:val="20"/>
          <w:b w:val="1"/>
          <w:bCs w:val="1"/>
          <w:color w:val="auto"/>
        </w:rPr>
        <w:t>.:</w:t>
      </w:r>
      <w:r>
        <w:rPr>
          <w:sz w:val="20"/>
          <w:szCs w:val="20"/>
          <w:color w:val="auto"/>
        </w:rPr>
        <w:tab/>
      </w: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br w:type="column"/>
      </w:r>
    </w:p>
    <w:p>
      <w:pPr>
        <w:jc w:val="center"/>
        <w:ind w:right="3139"/>
        <w:spacing w:after="0"/>
        <w:rPr>
          <w:sz w:val="20"/>
          <w:szCs w:val="20"/>
          <w:color w:val="auto"/>
        </w:rPr>
      </w:pPr>
      <w:r>
        <w:rPr>
          <w:rFonts w:ascii="Arial" w:cs="Arial" w:eastAsia="Arial" w:hAnsi="Arial"/>
          <w:sz w:val="19"/>
          <w:szCs w:val="19"/>
          <w:b w:val="1"/>
          <w:bCs w:val="1"/>
          <w:color w:val="auto"/>
        </w:rPr>
        <w:t>PARTICIPANT:</w:t>
      </w:r>
    </w:p>
    <w:p>
      <w:pPr>
        <w:spacing w:after="0" w:line="152" w:lineRule="exact"/>
        <w:rPr>
          <w:sz w:val="20"/>
          <w:szCs w:val="20"/>
          <w:color w:val="auto"/>
        </w:rPr>
      </w:pPr>
    </w:p>
    <w:p>
      <w:pPr>
        <w:sectPr>
          <w:pgSz w:w="11900" w:h="16838" w:orient="portrait"/>
          <w:cols w:equalWidth="0" w:num="2">
            <w:col w:w="4860" w:space="720"/>
            <w:col w:w="4539"/>
          </w:cols>
          <w:pgMar w:left="340" w:top="940" w:right="1440" w:bottom="1440" w:gutter="0" w:footer="0" w:header="0"/>
        </w:sectPr>
      </w:pPr>
    </w:p>
    <w:p>
      <w:pPr>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50" w:lineRule="exact"/>
        <w:rPr>
          <w:sz w:val="20"/>
          <w:szCs w:val="20"/>
          <w:color w:val="auto"/>
        </w:rPr>
      </w:pPr>
    </w:p>
    <w:p>
      <w:pPr>
        <w:sectPr>
          <w:pgSz w:w="11900" w:h="16838" w:orient="portrait"/>
          <w:cols w:equalWidth="0" w:num="2">
            <w:col w:w="4860" w:space="720"/>
            <w:col w:w="4539"/>
          </w:cols>
          <w:pgMar w:left="340" w:top="940" w:right="1440" w:bottom="1440" w:gutter="0" w:footer="0" w:header="0"/>
          <w:type w:val="continuous"/>
        </w:sectPr>
      </w:pPr>
    </w:p>
    <w:p>
      <w:pPr>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0119"/>
          </w:cols>
          <w:pgMar w:left="340" w:top="940" w:right="1440"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ectPr>
          <w:pgSz w:w="11900" w:h="16838" w:orient="portrait"/>
          <w:cols w:equalWidth="0" w:num="2">
            <w:col w:w="4860" w:space="720"/>
            <w:col w:w="4539"/>
          </w:cols>
          <w:pgMar w:left="340" w:top="940" w:right="1440"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auto"/>
        </w:rPr>
        <w:t>EXHIBIT A</w:t>
      </w:r>
    </w:p>
    <w:p>
      <w:pPr>
        <w:jc w:val="center"/>
        <w:spacing w:after="0"/>
        <w:rPr>
          <w:sz w:val="20"/>
          <w:szCs w:val="20"/>
          <w:color w:val="auto"/>
        </w:rPr>
      </w:pPr>
      <w:r>
        <w:rPr>
          <w:rFonts w:ascii="Arial" w:cs="Arial" w:eastAsia="Arial" w:hAnsi="Arial"/>
          <w:sz w:val="20"/>
          <w:szCs w:val="20"/>
          <w:b w:val="1"/>
          <w:bCs w:val="1"/>
          <w:color w:val="auto"/>
        </w:rPr>
        <w:t>TO RESTRICTED STOCK UNIT AWARD GRANT NOTICE</w:t>
      </w:r>
    </w:p>
    <w:p>
      <w:pPr>
        <w:spacing w:after="0" w:line="153" w:lineRule="exact"/>
        <w:rPr>
          <w:sz w:val="20"/>
          <w:szCs w:val="20"/>
          <w:color w:val="auto"/>
        </w:rPr>
      </w:pPr>
    </w:p>
    <w:p>
      <w:pPr>
        <w:ind w:left="3280"/>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the Restricted Stock Unit Award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to which this Restricted Stock Unit Award</w:t>
      </w:r>
    </w:p>
    <w:p>
      <w:pPr>
        <w:spacing w:after="0" w:line="226"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Arteris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Participant the number of restricted stock units (“</w:t>
      </w: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set forth in the Grant Notice under the Company’s 2022 Employment Inducement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Incentive Plan, as may be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Each Restricted Stock Unit represents the right to receive one share of Common Stock (a “</w:t>
      </w:r>
      <w:r>
        <w:rPr>
          <w:rFonts w:ascii="Arial" w:cs="Arial" w:eastAsia="Arial" w:hAnsi="Arial"/>
          <w:sz w:val="20"/>
          <w:szCs w:val="20"/>
          <w:b w:val="1"/>
          <w:bCs w:val="1"/>
          <w:i w:val="1"/>
          <w:iCs w:val="1"/>
          <w:color w:val="auto"/>
        </w:rPr>
        <w:t>Share</w:t>
      </w:r>
      <w:r>
        <w:rPr>
          <w:rFonts w:ascii="Arial" w:cs="Arial" w:eastAsia="Arial" w:hAnsi="Arial"/>
          <w:sz w:val="20"/>
          <w:szCs w:val="20"/>
          <w:color w:val="auto"/>
        </w:rPr>
        <w:t>”) upon vesting.</w:t>
      </w:r>
    </w:p>
    <w:p>
      <w:pPr>
        <w:spacing w:after="0" w:line="312"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w:t>
      </w:r>
    </w:p>
    <w:p>
      <w:pPr>
        <w:spacing w:after="0" w:line="243"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w:t>
      </w:r>
    </w:p>
    <w:p>
      <w:pPr>
        <w:spacing w:after="0" w:line="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Plan and the Grant</w:t>
      </w:r>
    </w:p>
    <w:p>
      <w:pPr>
        <w:spacing w:after="0"/>
        <w:rPr>
          <w:sz w:val="20"/>
          <w:szCs w:val="20"/>
          <w:color w:val="auto"/>
        </w:rPr>
      </w:pPr>
      <w:r>
        <w:rPr>
          <w:rFonts w:ascii="Arial" w:cs="Arial" w:eastAsia="Arial" w:hAnsi="Arial"/>
          <w:sz w:val="20"/>
          <w:szCs w:val="20"/>
          <w:color w:val="auto"/>
        </w:rPr>
        <w:t>Notice.</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RSUs are subject to the terms and conditions of the Plan, which are incorporated herein by reference. In the event of any inconsistency between the Plan and this Agreement, the terms of the Plan shall control. If the Country</w:t>
      </w:r>
    </w:p>
    <w:p>
      <w:pPr>
        <w:spacing w:after="0" w:line="227" w:lineRule="auto"/>
        <w:rPr>
          <w:sz w:val="20"/>
          <w:szCs w:val="20"/>
          <w:color w:val="auto"/>
        </w:rPr>
      </w:pPr>
      <w:r>
        <w:rPr>
          <w:rFonts w:ascii="Arial" w:cs="Arial" w:eastAsia="Arial" w:hAnsi="Arial"/>
          <w:sz w:val="20"/>
          <w:szCs w:val="20"/>
          <w:color w:val="auto"/>
        </w:rPr>
        <w:t>Provisions apply to Participant, in the event of a conflict between the terms of this Agreement, the Grant Notice or the Plan and the Country Provisions, the terms of the Country Provisions shall control.</w:t>
      </w:r>
    </w:p>
    <w:p>
      <w:pPr>
        <w:spacing w:after="0" w:line="285"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RESTRICTED STOCK UNITS</w:t>
      </w:r>
    </w:p>
    <w:p>
      <w:pPr>
        <w:spacing w:after="0" w:line="10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Grant of RSUs</w:t>
      </w:r>
      <w:r>
        <w:rPr>
          <w:rFonts w:ascii="Arial" w:cs="Arial" w:eastAsia="Arial" w:hAnsi="Arial"/>
          <w:sz w:val="18"/>
          <w:szCs w:val="18"/>
          <w:color w:val="auto"/>
        </w:rPr>
        <w:t>. Pursuant to the Grant Notice and upon the terms and conditions set forth in the Plan, this Agreement and the Country Provisions (if applicable), effective as of the Grant Date set forth in the Grant Notice, the Company hereby grants to Participant an</w:t>
      </w:r>
    </w:p>
    <w:p>
      <w:pPr>
        <w:ind w:right="20"/>
        <w:spacing w:after="0" w:line="220" w:lineRule="auto"/>
        <w:rPr>
          <w:sz w:val="20"/>
          <w:szCs w:val="20"/>
          <w:color w:val="auto"/>
        </w:rPr>
      </w:pPr>
      <w:r>
        <w:rPr>
          <w:rFonts w:ascii="Arial" w:cs="Arial" w:eastAsia="Arial" w:hAnsi="Arial"/>
          <w:sz w:val="20"/>
          <w:szCs w:val="20"/>
          <w:color w:val="auto"/>
        </w:rPr>
        <w:t>award of RSUs under the Plan in consideration of Participant commencing employment with the Company or any Subsidiary and for other good and valuable consideration, subject to adjustments as provided in Article IX of the Plan.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u w:val="single" w:color="auto"/>
          <w:color w:val="auto"/>
        </w:rPr>
        <w:t>Unsecured Obligation to RSUs</w:t>
      </w:r>
      <w:r>
        <w:rPr>
          <w:rFonts w:ascii="Arial" w:cs="Arial" w:eastAsia="Arial" w:hAnsi="Arial"/>
          <w:sz w:val="19"/>
          <w:szCs w:val="19"/>
          <w:color w:val="auto"/>
        </w:rPr>
        <w:t>. Unless and until the RSUs have vested in the manner set forth in Article II hereof,</w:t>
      </w:r>
    </w:p>
    <w:p>
      <w:pPr>
        <w:spacing w:after="0" w:line="250" w:lineRule="auto"/>
        <w:rPr>
          <w:sz w:val="20"/>
          <w:szCs w:val="20"/>
          <w:color w:val="auto"/>
        </w:rPr>
      </w:pPr>
      <w:r>
        <w:rPr>
          <w:rFonts w:ascii="Arial" w:cs="Arial" w:eastAsia="Arial" w:hAnsi="Arial"/>
          <w:sz w:val="18"/>
          <w:szCs w:val="18"/>
          <w:color w:val="auto"/>
        </w:rPr>
        <w:t>Participant will have no right to receive Common Stock or other property under any such RSUs. Prior to actual payment of any vested RSUs, such RSUs will represent an unsecured obligation of the Company, payable (if at all) only from the general assets of the Company.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u w:val="single" w:color="auto"/>
          <w:color w:val="auto"/>
        </w:rPr>
        <w:t>Vesting Schedule</w:t>
      </w:r>
      <w:r>
        <w:rPr>
          <w:rFonts w:ascii="Arial" w:cs="Arial" w:eastAsia="Arial" w:hAnsi="Arial"/>
          <w:sz w:val="19"/>
          <w:szCs w:val="19"/>
          <w:color w:val="auto"/>
        </w:rPr>
        <w:t>. Subject to Section 2.5 hereof, the RSUs shall vest and become nonforfeitable with respect to the</w:t>
      </w:r>
    </w:p>
    <w:p>
      <w:pPr>
        <w:spacing w:after="0" w:line="226" w:lineRule="auto"/>
        <w:rPr>
          <w:sz w:val="20"/>
          <w:szCs w:val="20"/>
          <w:color w:val="auto"/>
        </w:rPr>
      </w:pPr>
      <w:r>
        <w:rPr>
          <w:rFonts w:ascii="Arial" w:cs="Arial" w:eastAsia="Arial" w:hAnsi="Arial"/>
          <w:sz w:val="18"/>
          <w:szCs w:val="18"/>
          <w:color w:val="auto"/>
        </w:rPr>
        <w:t>applicable portion thereof according to the vesting schedule set forth in the Grant Notice (rounding down to the nearest whole Share). Notwithstanding the foregoing and the Grant Notice, but subject to Section 2.5 hereof, in the event of a Change in Control, the RSUs shall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treated pursuant to Section 9.2 and 9.3 of the Plan.</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Consideration to the Company</w:t>
      </w:r>
      <w:r>
        <w:rPr>
          <w:rFonts w:ascii="Arial" w:cs="Arial" w:eastAsia="Arial" w:hAnsi="Arial"/>
          <w:sz w:val="20"/>
          <w:szCs w:val="20"/>
          <w:color w:val="auto"/>
        </w:rPr>
        <w:t>. In consideration of the grant of the award of RSUs pursuant hereto, Participant agrees to render faithful and efficient services to the Company and its Subsidiaries, as applicable.</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9"/>
          <w:szCs w:val="19"/>
          <w:u w:val="single" w:color="auto"/>
          <w:color w:val="auto"/>
        </w:rPr>
        <w:t>Forfeiture, Termination and Cancellation upon Termination of Service</w:t>
      </w:r>
      <w:r>
        <w:rPr>
          <w:rFonts w:ascii="Arial" w:cs="Arial" w:eastAsia="Arial" w:hAnsi="Arial"/>
          <w:sz w:val="19"/>
          <w:szCs w:val="19"/>
          <w:color w:val="auto"/>
        </w:rPr>
        <w:t>. Notwithstanding any contrary provision of this</w:t>
      </w:r>
    </w:p>
    <w:p>
      <w:pPr>
        <w:spacing w:after="0" w:line="226" w:lineRule="auto"/>
        <w:rPr>
          <w:sz w:val="20"/>
          <w:szCs w:val="20"/>
          <w:color w:val="auto"/>
        </w:rPr>
      </w:pPr>
      <w:r>
        <w:rPr>
          <w:rFonts w:ascii="Arial" w:cs="Arial" w:eastAsia="Arial" w:hAnsi="Arial"/>
          <w:sz w:val="18"/>
          <w:szCs w:val="18"/>
          <w:color w:val="auto"/>
        </w:rPr>
        <w:t>Agreement or the Plan, upon Participant’s Termination of Service for any or no reason, all Restricted Stock Units which have not vested prior to or in connection with such Termination of Service shall thereupon automatically be forfeited, terminated and cancelled as of the applicable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termination date without payment of any consideration by the Company, and Participant, or Participant’s beneficiary or personal representative, as the case may be, shall have no further rights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394"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hereunder. No portion of the RSUs which has not become vested as of the date on which Participant incurs a Termination of Service shall</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thereafter become vested, except as may otherwise be provided by the Administrator or as set forth in a written agreement between the Company (or any Subsidiary that is the employer of Participant) and Participant.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u w:val="single" w:color="auto"/>
          <w:color w:val="auto"/>
        </w:rPr>
        <w:t>Issuance of Common Stock upon Vesting</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3" w:lineRule="auto"/>
        <w:tabs>
          <w:tab w:leader="none" w:pos="193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As soon as administratively practicable following the vesting of any Restricted Stock Units pursuant to Section 2.3 hereof, but in no event later than 30 days after such vesting date (for the avoidance of doubt, this deadline is intended to comply with the “short term deferral” exemption from Section 409A of the Code), the Company shall deliver to Participant (or any transferee permitted under Section 3.2 hereof) either, as determined by the Company, in its sole discretion, (i) a number of Shares or (ii) a cash payment in the amount equal to the Fair Market Value, as of the date of vesting, of a number of Shares equal to the number of RSUs subject to this Award that vest on the applicable vesting date. Notwithstanding the foregoing, in the event Shares are not issued pursuant to Section 10.7 of the Plan, the Shares shall be issued pursuant to the preceding sentence as soon as administratively practicable after the Administrator determines that Shares can again be issued in accordance with such Section.</w:t>
      </w:r>
    </w:p>
    <w:p>
      <w:pPr>
        <w:spacing w:after="0" w:line="171" w:lineRule="exact"/>
        <w:rPr>
          <w:rFonts w:ascii="Arial" w:cs="Arial" w:eastAsia="Arial" w:hAnsi="Arial"/>
          <w:sz w:val="19"/>
          <w:szCs w:val="19"/>
          <w:color w:val="auto"/>
        </w:rPr>
      </w:pPr>
    </w:p>
    <w:p>
      <w:pPr>
        <w:jc w:val="both"/>
        <w:ind w:firstLine="1304"/>
        <w:spacing w:after="0" w:line="226" w:lineRule="auto"/>
        <w:tabs>
          <w:tab w:leader="none" w:pos="1932"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As set forth in Section 10.5 of the Plan, the Company shall have the authority and the right to deduct or withhold, or to require Participant to remit to the Company, an amount sufficient to satisfy all applicable Tax-Related Items required by law to be withheld with respect to any taxable event arising in connection with the Restricted Stock Units. The Company shall not be obligated to deliver any Shares to Participant or Participant’s legal representative unless and until Participant or Participant’s legal representative shall have paid or otherwise satisfied in full the amount of all Tax-Related Items applicable to the taxable income of Participant resulting from the grant or vesting of the Restricted Stock Units or the issuance of Shares.</w:t>
      </w:r>
    </w:p>
    <w:p>
      <w:pPr>
        <w:spacing w:after="0" w:line="170"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Conditions to Delivery of Shares</w:t>
      </w:r>
      <w:r>
        <w:rPr>
          <w:rFonts w:ascii="Arial" w:cs="Arial" w:eastAsia="Arial" w:hAnsi="Arial"/>
          <w:sz w:val="16"/>
          <w:szCs w:val="16"/>
          <w:color w:val="auto"/>
        </w:rPr>
        <w:t>. The Shares deliverable hereunder may be either previously authorized but unissued Shares, treasury Shares or issued Shares which have then been reacquired by the Company. Such Shares shall be fully paid and nonassessable. The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Company shall not be required to issue Shares deliverable hereunder prior to fulfillment of the conditions set forth in Section 10.7 of the Plan.</w:t>
      </w:r>
    </w:p>
    <w:p>
      <w:pPr>
        <w:spacing w:after="0" w:line="15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The holder of the RSUs shall not be, nor have any of the rights or privileges of, a stockholder of the Company, including, without limitation, voting rights and rights to dividends, in respect of the RSUs and any Shares underlying the RSUs</w:t>
      </w:r>
    </w:p>
    <w:p>
      <w:pPr>
        <w:spacing w:after="0" w:line="226" w:lineRule="auto"/>
        <w:rPr>
          <w:sz w:val="20"/>
          <w:szCs w:val="20"/>
          <w:color w:val="auto"/>
        </w:rPr>
      </w:pPr>
      <w:r>
        <w:rPr>
          <w:rFonts w:ascii="Arial" w:cs="Arial" w:eastAsia="Arial" w:hAnsi="Arial"/>
          <w:sz w:val="18"/>
          <w:szCs w:val="18"/>
          <w:color w:val="auto"/>
        </w:rPr>
        <w:t>and deliverable hereunder unless and until such Shares shall have been issued by the Company and held of record by such holder (as evidenced by the appropriate entry on the books of the Company or of a duly authorized transfer agent of the Company). No adjustment shall</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be made for a dividend or other right for which the record date is prior to the date the Shares are issued, except as provided in Article IX of the Plan.</w:t>
      </w: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10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w:t>
      </w:r>
    </w:p>
    <w:p>
      <w:pPr>
        <w:jc w:val="both"/>
        <w:ind w:right="20"/>
        <w:spacing w:after="0" w:line="226" w:lineRule="auto"/>
        <w:rPr>
          <w:sz w:val="20"/>
          <w:szCs w:val="20"/>
          <w:color w:val="auto"/>
        </w:rPr>
      </w:pPr>
      <w:r>
        <w:rPr>
          <w:rFonts w:ascii="Arial" w:cs="Arial" w:eastAsia="Arial" w:hAnsi="Arial"/>
          <w:sz w:val="18"/>
          <w:szCs w:val="18"/>
          <w:color w:val="auto"/>
        </w:rPr>
        <w:t>actions taken and all interpretations and determinations made by the Administrator in good faith shall be final and binding upon Participant, the Company and all other interested persons. No member of the Committee or the Board shall be personally liable for any action,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determination or interpretation made in good faith with respect to the Plan, this Agreement or the RSUs.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shall be subject to the restrictions on transferability set forth in Section 10.1 of the Plan.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405" w:right="339" w:bottom="1440" w:gutter="0" w:footer="0" w:header="0"/>
        </w:sectPr>
      </w:pPr>
    </w:p>
    <w:bookmarkStart w:id="160" w:name="page161"/>
    <w:bookmarkEnd w:id="160"/>
    <w:p>
      <w:pPr>
        <w:ind w:left="660"/>
        <w:spacing w:after="0"/>
        <w:tabs>
          <w:tab w:leader="none" w:pos="128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u w:val="single" w:color="auto"/>
          <w:color w:val="auto"/>
        </w:rPr>
        <w:t>Tax Consultation</w:t>
      </w:r>
      <w:r>
        <w:rPr>
          <w:rFonts w:ascii="Arial" w:cs="Arial" w:eastAsia="Arial" w:hAnsi="Arial"/>
          <w:sz w:val="16"/>
          <w:szCs w:val="16"/>
          <w:color w:val="auto"/>
        </w:rPr>
        <w:t>. Participant understands that Participant may suffer adverse tax consequences in connection with the RSUs</w:t>
      </w:r>
    </w:p>
    <w:p>
      <w:pPr>
        <w:spacing w:after="0" w:line="226" w:lineRule="auto"/>
        <w:rPr>
          <w:sz w:val="20"/>
          <w:szCs w:val="20"/>
          <w:color w:val="auto"/>
        </w:rPr>
      </w:pPr>
      <w:r>
        <w:rPr>
          <w:rFonts w:ascii="Arial" w:cs="Arial" w:eastAsia="Arial" w:hAnsi="Arial"/>
          <w:sz w:val="18"/>
          <w:szCs w:val="18"/>
          <w:color w:val="auto"/>
        </w:rPr>
        <w:t>granted pursuant to this Agreement (and the Shares issuable with respect thereto). Participant represents that Participant has consulted with any tax consultants Participant deems advisable in connection with the RSUs and the issuance of Shares with respect thereto and that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Participant is not relying on the Company for any tax advice.</w:t>
      </w:r>
    </w:p>
    <w:p>
      <w:pPr>
        <w:spacing w:after="0" w:line="173"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Binding Agreement</w:t>
      </w:r>
      <w:r>
        <w:rPr>
          <w:rFonts w:ascii="Arial" w:cs="Arial" w:eastAsia="Arial" w:hAnsi="Arial"/>
          <w:sz w:val="19"/>
          <w:szCs w:val="19"/>
          <w:color w:val="auto"/>
        </w:rPr>
        <w:t>. Subject to the limitation on the transferability of the RSUs contained herein, this Agreement will be binding upon and inure to the benefit of the heirs, legatees, legal representatives, successors and assigns of the parties hereto.</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u w:val="single" w:color="auto"/>
          <w:color w:val="auto"/>
        </w:rPr>
        <w:t>Adjustments Upon Specified Events</w:t>
      </w:r>
      <w:r>
        <w:rPr>
          <w:rFonts w:ascii="Arial" w:cs="Arial" w:eastAsia="Arial" w:hAnsi="Arial"/>
          <w:sz w:val="18"/>
          <w:szCs w:val="18"/>
          <w:color w:val="auto"/>
        </w:rPr>
        <w:t>. The Administrator may accelerate the vesting of the RSUs in such circumstances as it,</w:t>
      </w:r>
    </w:p>
    <w:p>
      <w:pPr>
        <w:ind w:right="20"/>
        <w:spacing w:after="0" w:line="220" w:lineRule="auto"/>
        <w:rPr>
          <w:sz w:val="20"/>
          <w:szCs w:val="20"/>
          <w:color w:val="auto"/>
        </w:rPr>
      </w:pPr>
      <w:r>
        <w:rPr>
          <w:rFonts w:ascii="Arial" w:cs="Arial" w:eastAsia="Arial" w:hAnsi="Arial"/>
          <w:sz w:val="20"/>
          <w:szCs w:val="20"/>
          <w:color w:val="auto"/>
        </w:rPr>
        <w:t>in its sole discretion, may determine. Participant acknowledges that the RSUs are subject to adjustment, modification and termination in certain events as provided in this Agreement and Article IX of the Plan.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shall be addressed to the Company in</w:t>
      </w:r>
    </w:p>
    <w:p>
      <w:pPr>
        <w:spacing w:after="0" w:line="226" w:lineRule="auto"/>
        <w:rPr>
          <w:sz w:val="20"/>
          <w:szCs w:val="20"/>
          <w:color w:val="auto"/>
        </w:rPr>
      </w:pPr>
      <w:r>
        <w:rPr>
          <w:rFonts w:ascii="Arial" w:cs="Arial" w:eastAsia="Arial" w:hAnsi="Arial"/>
          <w:sz w:val="18"/>
          <w:szCs w:val="18"/>
          <w:color w:val="auto"/>
        </w:rPr>
        <w:t>care of the Secretary of the Company at the Company’s principal office, and any notice to be given to Participant shall be addressed to Participant at Participant’s last address reflected on the Company’s records. By a notice given pursuant to this Section 3.6, either party may</w:t>
      </w:r>
    </w:p>
    <w:p>
      <w:pPr>
        <w:spacing w:after="0" w:line="236" w:lineRule="auto"/>
        <w:rPr>
          <w:sz w:val="20"/>
          <w:szCs w:val="20"/>
          <w:color w:val="auto"/>
        </w:rPr>
      </w:pPr>
      <w:r>
        <w:rPr>
          <w:rFonts w:ascii="Arial" w:cs="Arial" w:eastAsia="Arial" w:hAnsi="Arial"/>
          <w:sz w:val="18"/>
          <w:szCs w:val="18"/>
          <w:color w:val="auto"/>
        </w:rPr>
        <w:t>hereafter designate a different address for notices to be given to that party. Any notice shall be deemed duly given when sent via email or</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when sent by certified mail (return receipt requested) and deposited (with postage prepaid) in a post office or branch post office regularly maintained by the United States Postal Service (or similar non-U.S. entity).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u w:val="single" w:color="auto"/>
          <w:color w:val="auto"/>
        </w:rPr>
        <w:t>Participant’s Representations</w:t>
      </w:r>
      <w:r>
        <w:rPr>
          <w:rFonts w:ascii="Arial" w:cs="Arial" w:eastAsia="Arial" w:hAnsi="Arial"/>
          <w:sz w:val="18"/>
          <w:szCs w:val="18"/>
          <w:color w:val="auto"/>
        </w:rPr>
        <w:t>. If the Shares issuable hereunder have not been registered under the Securities Act or any</w:t>
      </w:r>
    </w:p>
    <w:p>
      <w:pPr>
        <w:spacing w:after="0" w:line="250" w:lineRule="auto"/>
        <w:rPr>
          <w:sz w:val="20"/>
          <w:szCs w:val="20"/>
          <w:color w:val="auto"/>
        </w:rPr>
      </w:pPr>
      <w:r>
        <w:rPr>
          <w:rFonts w:ascii="Arial" w:cs="Arial" w:eastAsia="Arial" w:hAnsi="Arial"/>
          <w:sz w:val="18"/>
          <w:szCs w:val="18"/>
          <w:color w:val="auto"/>
        </w:rPr>
        <w:t>applicable state laws on an effective registration statement at the time of such issuance, Participant shall, if required by the Company, concurrently with such issuance, make such written representations as are deemed necessary or appropriate by the Company or its counsel.</w:t>
      </w:r>
    </w:p>
    <w:p>
      <w:pPr>
        <w:spacing w:after="0" w:line="160"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 xml:space="preserve">1.18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w:t>
      </w:r>
    </w:p>
    <w:p>
      <w:pPr>
        <w:spacing w:after="0" w:line="226" w:lineRule="auto"/>
        <w:rPr>
          <w:sz w:val="20"/>
          <w:szCs w:val="20"/>
          <w:color w:val="auto"/>
        </w:rPr>
      </w:pPr>
      <w:r>
        <w:rPr>
          <w:rFonts w:ascii="Arial" w:cs="Arial" w:eastAsia="Arial" w:hAnsi="Arial"/>
          <w:sz w:val="18"/>
          <w:szCs w:val="18"/>
          <w:color w:val="auto"/>
        </w:rPr>
        <w:t>performance of the terms of this Agreement regardless of the law that might be applied under principles of conflicts of laws. By entering into this Agreement, Participant irrevocably and unconditionally consents to submit to the exclusive jurisdiction of the courts of the State of</w:t>
      </w:r>
    </w:p>
    <w:p>
      <w:pPr>
        <w:spacing w:after="0" w:line="236" w:lineRule="auto"/>
        <w:rPr>
          <w:sz w:val="20"/>
          <w:szCs w:val="20"/>
          <w:color w:val="auto"/>
        </w:rPr>
      </w:pPr>
      <w:r>
        <w:rPr>
          <w:rFonts w:ascii="Arial" w:cs="Arial" w:eastAsia="Arial" w:hAnsi="Arial"/>
          <w:sz w:val="18"/>
          <w:szCs w:val="18"/>
          <w:color w:val="auto"/>
        </w:rPr>
        <w:t>Delaware and of the United States of America, in each case located in the State of Delaware, for any action arising out of or relating to this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and the Plan (and agrees not to commence any litigation relating thereto except in such courts), and further agrees that service of any process, summons, notice or document by U.S. registered mail to the address contained in the records of the Company shall be effective</w:t>
      </w:r>
    </w:p>
    <w:p>
      <w:pPr>
        <w:spacing w:after="0" w:line="224" w:lineRule="auto"/>
        <w:rPr>
          <w:sz w:val="20"/>
          <w:szCs w:val="20"/>
          <w:color w:val="auto"/>
        </w:rPr>
      </w:pPr>
      <w:r>
        <w:rPr>
          <w:rFonts w:ascii="Arial" w:cs="Arial" w:eastAsia="Arial" w:hAnsi="Arial"/>
          <w:sz w:val="19"/>
          <w:szCs w:val="19"/>
          <w:color w:val="auto"/>
        </w:rPr>
        <w:t>service of process for any litigation brought against it in any such court. By entering into this Agreement, Participant irrevocably and</w:t>
      </w:r>
    </w:p>
    <w:p>
      <w:pPr>
        <w:spacing w:after="0" w:line="226" w:lineRule="auto"/>
        <w:rPr>
          <w:sz w:val="20"/>
          <w:szCs w:val="20"/>
          <w:color w:val="auto"/>
        </w:rPr>
      </w:pPr>
      <w:r>
        <w:rPr>
          <w:rFonts w:ascii="Arial" w:cs="Arial" w:eastAsia="Arial" w:hAnsi="Arial"/>
          <w:sz w:val="18"/>
          <w:szCs w:val="18"/>
          <w:color w:val="auto"/>
        </w:rPr>
        <w:t>unconditionally waives any objection to the laying of venue of any litigation arising out of the Plan or this Agreement in the courts of the State of Delaware or the United States of America, in each case located in the State of Delaware, and further irrevocably and unconditionally</w:t>
      </w:r>
    </w:p>
    <w:p>
      <w:pPr>
        <w:spacing w:after="0" w:line="224" w:lineRule="auto"/>
        <w:rPr>
          <w:sz w:val="20"/>
          <w:szCs w:val="20"/>
          <w:color w:val="auto"/>
        </w:rPr>
      </w:pPr>
      <w:r>
        <w:rPr>
          <w:rFonts w:ascii="Arial" w:cs="Arial" w:eastAsia="Arial" w:hAnsi="Arial"/>
          <w:sz w:val="19"/>
          <w:szCs w:val="19"/>
          <w:color w:val="auto"/>
        </w:rPr>
        <w:t>waives and agrees not to plead or claim in any such court that any such litigation brought in any such court has been brought in an</w:t>
      </w:r>
    </w:p>
    <w:p>
      <w:pPr>
        <w:spacing w:after="0" w:line="250" w:lineRule="auto"/>
        <w:rPr>
          <w:sz w:val="20"/>
          <w:szCs w:val="20"/>
          <w:color w:val="auto"/>
        </w:rPr>
      </w:pPr>
      <w:r>
        <w:rPr>
          <w:rFonts w:ascii="Arial" w:cs="Arial" w:eastAsia="Arial" w:hAnsi="Arial"/>
          <w:sz w:val="18"/>
          <w:szCs w:val="18"/>
          <w:color w:val="auto"/>
        </w:rPr>
        <w:t>inconvenient forum. By entering into this Agreement, Participant irrevocably and unconditionally waives, to the fullest extent permitted by applicable law, any and all rights to trial by jury in connection with any litigation arising out of or relating to the Plan or this Agreement.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Plan and this Agreement are intended to conform to the</w:t>
      </w:r>
    </w:p>
    <w:p>
      <w:pPr>
        <w:spacing w:after="0" w:line="226" w:lineRule="auto"/>
        <w:rPr>
          <w:sz w:val="20"/>
          <w:szCs w:val="20"/>
          <w:color w:val="auto"/>
        </w:rPr>
      </w:pPr>
      <w:r>
        <w:rPr>
          <w:rFonts w:ascii="Arial" w:cs="Arial" w:eastAsia="Arial" w:hAnsi="Arial"/>
          <w:sz w:val="18"/>
          <w:szCs w:val="18"/>
          <w:color w:val="auto"/>
        </w:rPr>
        <w:t>extent necessary with all provisions of the Securities Act and the Exchange Act and any other Applicable Law. Notwithstanding anything herein to the contrary, the Plan shall be administered, and the RSUs are granted, only in such a manner as to conform to Applicable Law. To</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extent permitted by Applicable Law, the Plan and this Agreement shall be deemed amended to the extent necessary to conform to such Applicable Law.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394" w:right="339" w:bottom="1440" w:gutter="0" w:footer="0" w:header="0"/>
        </w:sectPr>
      </w:pPr>
    </w:p>
    <w:bookmarkStart w:id="161" w:name="page162"/>
    <w:bookmarkEnd w:id="161"/>
    <w:p>
      <w:pPr>
        <w:ind w:left="660"/>
        <w:spacing w:after="0"/>
        <w:tabs>
          <w:tab w:leader="none" w:pos="12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To the extent permitted by the Plan, this Agreement may be wholly or partially</w:t>
      </w:r>
    </w:p>
    <w:p>
      <w:pPr>
        <w:spacing w:after="0" w:line="226" w:lineRule="auto"/>
        <w:rPr>
          <w:sz w:val="20"/>
          <w:szCs w:val="20"/>
          <w:color w:val="auto"/>
        </w:rPr>
      </w:pPr>
      <w:r>
        <w:rPr>
          <w:rFonts w:ascii="Arial" w:cs="Arial" w:eastAsia="Arial" w:hAnsi="Arial"/>
          <w:sz w:val="18"/>
          <w:szCs w:val="18"/>
          <w:color w:val="auto"/>
        </w:rPr>
        <w:t xml:space="preserve">amended or otherwise modified, suspended or terminated at any time or from time to time by the Administrator or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except as may otherwise be provided by the Plan, no amendment, modification, suspension or termination of this Agreement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adversely affect the RSUs in any material way without the prior written consent of Participant.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and delegate any of its obligations under this Agreement to single or multiple assignees, and this Agreement shall inure to the benefit of the successors and assigns of the Company. Subject to the</w:t>
      </w:r>
    </w:p>
    <w:p>
      <w:pPr>
        <w:spacing w:after="0" w:line="227" w:lineRule="auto"/>
        <w:rPr>
          <w:sz w:val="20"/>
          <w:szCs w:val="20"/>
          <w:color w:val="auto"/>
        </w:rPr>
      </w:pPr>
      <w:r>
        <w:rPr>
          <w:rFonts w:ascii="Arial" w:cs="Arial" w:eastAsia="Arial" w:hAnsi="Arial"/>
          <w:sz w:val="20"/>
          <w:szCs w:val="20"/>
          <w:color w:val="auto"/>
        </w:rPr>
        <w:t>restrictions on transfer herein set forth in Section 3.2 hereof, this Agreement shall be binding upon Participant and his or her heirs, executors, administrators, successors and assigns.</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then the Plan, the RSUs and this Agreement shall be subject to any additional</w:t>
      </w:r>
    </w:p>
    <w:p>
      <w:pPr>
        <w:spacing w:after="0" w:line="226" w:lineRule="auto"/>
        <w:rPr>
          <w:sz w:val="20"/>
          <w:szCs w:val="20"/>
          <w:color w:val="auto"/>
        </w:rPr>
      </w:pPr>
      <w:r>
        <w:rPr>
          <w:rFonts w:ascii="Arial" w:cs="Arial" w:eastAsia="Arial" w:hAnsi="Arial"/>
          <w:sz w:val="18"/>
          <w:szCs w:val="18"/>
          <w:color w:val="auto"/>
        </w:rPr>
        <w:t>limitations set forth in any applicable exemptive rule under Section 16 of the Exchange Act (including any amendment to Rule 16b-3 of the Exchange Act) that are requirements for the application of such exemptive rule. To the extent permitted by Applicable Law, this Agreement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be deemed amended to the extent necessary to conform to such applicable exemptive rule.</w:t>
      </w:r>
    </w:p>
    <w:p>
      <w:pPr>
        <w:spacing w:after="0" w:line="173"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Not a Contract of Service Relationship</w:t>
      </w:r>
      <w:r>
        <w:rPr>
          <w:rFonts w:ascii="Arial" w:cs="Arial" w:eastAsia="Arial" w:hAnsi="Arial"/>
          <w:sz w:val="18"/>
          <w:szCs w:val="18"/>
          <w:color w:val="auto"/>
        </w:rPr>
        <w:t>. Nothing in this Agreement or in the Plan shall confer upon Participant any right to commence or continue to serve as an Employee or shall interfere with or restrict in any way the rights of the Company and its Subsidiaries,</w:t>
      </w:r>
    </w:p>
    <w:p>
      <w:pPr>
        <w:spacing w:after="0" w:line="235" w:lineRule="auto"/>
        <w:rPr>
          <w:sz w:val="20"/>
          <w:szCs w:val="20"/>
          <w:color w:val="auto"/>
        </w:rPr>
      </w:pPr>
      <w:r>
        <w:rPr>
          <w:rFonts w:ascii="Arial" w:cs="Arial" w:eastAsia="Arial" w:hAnsi="Arial"/>
          <w:sz w:val="18"/>
          <w:szCs w:val="18"/>
          <w:color w:val="auto"/>
        </w:rPr>
        <w:t>which rights are hereby expressly reserved, to discharge or terminate the services of Participant at any time for any reason whatsoever, with</w:t>
      </w:r>
    </w:p>
    <w:p>
      <w:pPr>
        <w:spacing w:after="0" w:line="220" w:lineRule="auto"/>
        <w:rPr>
          <w:sz w:val="20"/>
          <w:szCs w:val="20"/>
          <w:color w:val="auto"/>
        </w:rPr>
      </w:pPr>
      <w:r>
        <w:rPr>
          <w:rFonts w:ascii="Arial" w:cs="Arial" w:eastAsia="Arial" w:hAnsi="Arial"/>
          <w:sz w:val="20"/>
          <w:szCs w:val="20"/>
          <w:color w:val="auto"/>
        </w:rPr>
        <w:t>or without Cause, except to the extent expressly provided otherwise by Applicable Law or in a written agreement between the Company or a Subsidiary (as applicable) and Participant.</w:t>
      </w:r>
    </w:p>
    <w:p>
      <w:pPr>
        <w:spacing w:after="0" w:line="170"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the Country Provisions) constitute the entire agreement of the parties and supersede in their entirety all prior undertakings and agreements of the Company and Participant with respect to</w:t>
      </w:r>
    </w:p>
    <w:p>
      <w:pPr>
        <w:spacing w:after="0" w:line="236" w:lineRule="auto"/>
        <w:rPr>
          <w:sz w:val="20"/>
          <w:szCs w:val="20"/>
          <w:color w:val="auto"/>
        </w:rPr>
      </w:pPr>
      <w:r>
        <w:rPr>
          <w:rFonts w:ascii="Arial" w:cs="Arial" w:eastAsia="Arial" w:hAnsi="Arial"/>
          <w:sz w:val="18"/>
          <w:szCs w:val="18"/>
          <w:color w:val="auto"/>
        </w:rPr>
        <w:t xml:space="preserve">the subject matter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RSUs shall be subject to any accelerated vesting provisions in any written agreement between</w:t>
      </w:r>
    </w:p>
    <w:p>
      <w:pPr>
        <w:ind w:right="20"/>
        <w:spacing w:after="0" w:line="220" w:lineRule="auto"/>
        <w:rPr>
          <w:sz w:val="20"/>
          <w:szCs w:val="20"/>
          <w:color w:val="auto"/>
        </w:rPr>
      </w:pPr>
      <w:r>
        <w:rPr>
          <w:rFonts w:ascii="Arial" w:cs="Arial" w:eastAsia="Arial" w:hAnsi="Arial"/>
          <w:sz w:val="20"/>
          <w:szCs w:val="20"/>
          <w:color w:val="auto"/>
        </w:rPr>
        <w:t>Participant and the Company (or any Subsidiary who is the employer of Participant) or a Company plan pursuant to which Participant is eligible to participate, in each case, in accordance with the terms therein.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 This Award is not intended to constitute “nonqualified deferred compensation” within the meaning of Section</w:t>
      </w:r>
    </w:p>
    <w:p>
      <w:pPr>
        <w:spacing w:after="0" w:line="226" w:lineRule="auto"/>
        <w:rPr>
          <w:sz w:val="20"/>
          <w:szCs w:val="20"/>
          <w:color w:val="auto"/>
        </w:rPr>
      </w:pPr>
      <w:r>
        <w:rPr>
          <w:rFonts w:ascii="Arial" w:cs="Arial" w:eastAsia="Arial" w:hAnsi="Arial"/>
          <w:sz w:val="18"/>
          <w:szCs w:val="18"/>
          <w:color w:val="auto"/>
        </w:rPr>
        <w:t>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However, notwithstanding any</w:t>
      </w:r>
    </w:p>
    <w:p>
      <w:pPr>
        <w:spacing w:after="0" w:line="236" w:lineRule="auto"/>
        <w:rPr>
          <w:sz w:val="20"/>
          <w:szCs w:val="20"/>
          <w:color w:val="auto"/>
        </w:rPr>
      </w:pPr>
      <w:r>
        <w:rPr>
          <w:rFonts w:ascii="Arial" w:cs="Arial" w:eastAsia="Arial" w:hAnsi="Arial"/>
          <w:sz w:val="18"/>
          <w:szCs w:val="18"/>
          <w:color w:val="auto"/>
        </w:rPr>
        <w:t>other provision of the Plan, the Grant Notice or this Agreement, if at any time the Administrator determines that this Award (or any portion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thereof) may be subject to Section 409A, the Administrator shall have the right in its sole discretion (without any obligation to do so or to indemnify Participant or any other person for failure to do so) to adopt such amendments to the Plan, the Grant Notice or this Agreement,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adopt other policies and procedures (including amendments, policies and procedures with retroactive effect), or take any other actions, as the</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Administrator determines are necessary or appropriate for this Award either to be exempt from the application of Section 409A or to comply with the requirements of Section 409A.</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w:t>
      </w:r>
    </w:p>
    <w:p>
      <w:pPr>
        <w:spacing w:after="0" w:line="226" w:lineRule="auto"/>
        <w:rPr>
          <w:sz w:val="20"/>
          <w:szCs w:val="20"/>
          <w:color w:val="auto"/>
        </w:rPr>
      </w:pPr>
      <w:r>
        <w:rPr>
          <w:rFonts w:ascii="Arial" w:cs="Arial" w:eastAsia="Arial" w:hAnsi="Arial"/>
          <w:sz w:val="18"/>
          <w:szCs w:val="18"/>
          <w:color w:val="auto"/>
        </w:rPr>
        <w:t>Agreement creates only a contractual obligation on the part of the Company as to amounts payable and shall not be construed as creating a trust. Neither the Plan nor any underlying program, in and of itself, has any assets. Participant shall have only the rights of a general</w:t>
      </w:r>
    </w:p>
    <w:p>
      <w:pPr>
        <w:spacing w:after="0" w:line="236" w:lineRule="auto"/>
        <w:rPr>
          <w:sz w:val="20"/>
          <w:szCs w:val="20"/>
          <w:color w:val="auto"/>
        </w:rPr>
      </w:pPr>
      <w:r>
        <w:rPr>
          <w:rFonts w:ascii="Arial" w:cs="Arial" w:eastAsia="Arial" w:hAnsi="Arial"/>
          <w:sz w:val="18"/>
          <w:szCs w:val="18"/>
          <w:color w:val="auto"/>
        </w:rPr>
        <w:t>unsecured creditor of the Company and its Subsidiaries with respect to amounts credited and benefits payable, if any, with respect to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RSUs, and rights no greater than the right to receive the Shares as a general unsecured creditor with respect to RSUs, as and when payable hereunder.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8"/>
          <w:szCs w:val="18"/>
          <w:u w:val="single" w:color="auto"/>
          <w:color w:val="auto"/>
        </w:rPr>
        <w:t>Rules Particular To Specific Countries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394" w:right="339" w:bottom="1440" w:gutter="0" w:footer="0" w:header="0"/>
        </w:sectPr>
      </w:pPr>
    </w:p>
    <w:bookmarkStart w:id="162" w:name="page163"/>
    <w:bookmarkEnd w:id="162"/>
    <w:p>
      <w:pPr>
        <w:jc w:val="both"/>
        <w:ind w:firstLine="1304"/>
        <w:spacing w:after="0" w:line="252" w:lineRule="auto"/>
        <w:tabs>
          <w:tab w:leader="none" w:pos="1934"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Participant shall, if required by the Administrator, enter into an election with the Company or a</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(in a form approved by the Company) under which any liability to the Company’s (or a Subsidiary’s) Tax-Related Items, including, but not limited to, National Insurance Contributions (“</w:t>
      </w:r>
      <w:r>
        <w:rPr>
          <w:rFonts w:ascii="Arial" w:cs="Arial" w:eastAsia="Arial" w:hAnsi="Arial"/>
          <w:sz w:val="18"/>
          <w:szCs w:val="18"/>
          <w:b w:val="1"/>
          <w:bCs w:val="1"/>
          <w:i w:val="1"/>
          <w:iCs w:val="1"/>
          <w:color w:val="auto"/>
        </w:rPr>
        <w:t>NICs</w:t>
      </w:r>
      <w:r>
        <w:rPr>
          <w:rFonts w:ascii="Arial" w:cs="Arial" w:eastAsia="Arial" w:hAnsi="Arial"/>
          <w:sz w:val="18"/>
          <w:szCs w:val="18"/>
          <w:color w:val="auto"/>
        </w:rPr>
        <w:t>”) and the Fringe Benefit Tax, is transferred to and met by Participant.</w:t>
      </w:r>
    </w:p>
    <w:p>
      <w:pPr>
        <w:spacing w:after="0" w:line="158" w:lineRule="exact"/>
        <w:rPr>
          <w:rFonts w:ascii="Arial" w:cs="Arial" w:eastAsia="Arial" w:hAnsi="Arial"/>
          <w:sz w:val="18"/>
          <w:szCs w:val="18"/>
          <w:color w:val="auto"/>
        </w:rPr>
      </w:pPr>
    </w:p>
    <w:p>
      <w:pPr>
        <w:ind w:firstLine="1304"/>
        <w:spacing w:after="0" w:line="236" w:lineRule="auto"/>
        <w:tabs>
          <w:tab w:leader="none" w:pos="1932" w:val="left"/>
        </w:tabs>
        <w:numPr>
          <w:ilvl w:val="0"/>
          <w:numId w:val="166"/>
        </w:numPr>
        <w:rPr>
          <w:rFonts w:ascii="Arial" w:cs="Arial" w:eastAsia="Arial" w:hAnsi="Arial"/>
          <w:sz w:val="20"/>
          <w:szCs w:val="20"/>
          <w:color w:val="auto"/>
        </w:rPr>
      </w:pPr>
      <w:r>
        <w:rPr>
          <w:rFonts w:ascii="Arial" w:cs="Arial" w:eastAsia="Arial" w:hAnsi="Arial"/>
          <w:sz w:val="20"/>
          <w:szCs w:val="20"/>
          <w:i w:val="1"/>
          <w:iCs w:val="1"/>
          <w:color w:val="auto"/>
        </w:rPr>
        <w:t>Tax Indemnity</w:t>
      </w:r>
      <w:r>
        <w:rPr>
          <w:rFonts w:ascii="Arial" w:cs="Arial" w:eastAsia="Arial" w:hAnsi="Arial"/>
          <w:sz w:val="20"/>
          <w:szCs w:val="20"/>
          <w:color w:val="auto"/>
        </w:rPr>
        <w:t>. Participant shall indemnify and keep indemnified the Company and any of its subsidiaries from and</w:t>
      </w:r>
      <w:r>
        <w:rPr>
          <w:rFonts w:ascii="Arial" w:cs="Arial" w:eastAsia="Arial" w:hAnsi="Arial"/>
          <w:sz w:val="20"/>
          <w:szCs w:val="20"/>
          <w:i w:val="1"/>
          <w:iCs w:val="1"/>
          <w:color w:val="auto"/>
        </w:rPr>
        <w:t xml:space="preserve"> </w:t>
      </w:r>
      <w:r>
        <w:rPr>
          <w:rFonts w:ascii="Arial" w:cs="Arial" w:eastAsia="Arial" w:hAnsi="Arial"/>
          <w:sz w:val="20"/>
          <w:szCs w:val="20"/>
          <w:color w:val="auto"/>
        </w:rPr>
        <w:t>against any Tax-Related Items.</w:t>
      </w:r>
    </w:p>
    <w:p>
      <w:pPr>
        <w:spacing w:after="0" w:line="155" w:lineRule="exact"/>
        <w:rPr>
          <w:sz w:val="20"/>
          <w:szCs w:val="20"/>
          <w:color w:val="auto"/>
        </w:rPr>
      </w:pPr>
    </w:p>
    <w:p>
      <w:pPr>
        <w:ind w:firstLine="810"/>
        <w:spacing w:after="0" w:line="244"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Special Country Provisions for RSUs Granted to Participants</w:t>
      </w:r>
      <w:r>
        <w:rPr>
          <w:rFonts w:ascii="Arial" w:cs="Arial" w:eastAsia="Arial" w:hAnsi="Arial"/>
          <w:sz w:val="18"/>
          <w:szCs w:val="18"/>
          <w:color w:val="auto"/>
        </w:rPr>
        <w:t>. The RSUs shall be subject to the Country Provisions, if any, for Participant’s country of residence, as set forth in the Country Provisions. If Participant relocates to one of the countries included in the</w:t>
      </w:r>
    </w:p>
    <w:p>
      <w:pPr>
        <w:spacing w:after="0" w:line="226" w:lineRule="auto"/>
        <w:rPr>
          <w:sz w:val="20"/>
          <w:szCs w:val="20"/>
          <w:color w:val="auto"/>
        </w:rPr>
      </w:pPr>
      <w:r>
        <w:rPr>
          <w:rFonts w:ascii="Arial" w:cs="Arial" w:eastAsia="Arial" w:hAnsi="Arial"/>
          <w:sz w:val="18"/>
          <w:szCs w:val="18"/>
          <w:color w:val="auto"/>
        </w:rPr>
        <w:t>Country Provisions during the life of the RSUs, the special provisions for such country shall apply to Participant, to the extent the Company determines that the application of such provisions is necessary or advisable in order to comply with local law or facilitate the administration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of the Plan. The Company reserves the right to impose other requirements on the RSUs and the Shares issuable upon settlement of the RSUs,</w:t>
      </w:r>
    </w:p>
    <w:p>
      <w:pPr>
        <w:spacing w:after="0" w:line="1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240"/>
          </w:cols>
          <w:pgMar w:left="320" w:top="1405" w:right="339" w:bottom="1440" w:gutter="0" w:footer="0" w:header="0"/>
        </w:sectPr>
      </w:pPr>
    </w:p>
    <w:bookmarkStart w:id="163" w:name="page164"/>
    <w:bookmarkEnd w:id="163"/>
    <w:p>
      <w:pPr>
        <w:ind w:left="5120"/>
        <w:spacing w:after="0"/>
        <w:rPr>
          <w:sz w:val="20"/>
          <w:szCs w:val="20"/>
          <w:color w:val="auto"/>
        </w:rPr>
      </w:pPr>
      <w:r>
        <w:rPr>
          <w:rFonts w:ascii="Arial" w:cs="Arial" w:eastAsia="Arial" w:hAnsi="Arial"/>
          <w:sz w:val="20"/>
          <w:szCs w:val="20"/>
          <w:b w:val="1"/>
          <w:bCs w:val="1"/>
          <w:color w:val="auto"/>
        </w:rPr>
        <w:t>APPENDIX</w:t>
      </w:r>
    </w:p>
    <w:p>
      <w:pPr>
        <w:spacing w:after="0" w:line="8"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Country Provisions for RSUs for Participants</w:t>
      </w:r>
    </w:p>
    <w:p>
      <w:pPr>
        <w:spacing w:after="0" w:line="1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Appendix includes special terms and conditions applicable to Participants in the countries below. These terms and conditions are in addition to those set forth in the Restricted Stock 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 and to the extent there are any</w:t>
      </w:r>
    </w:p>
    <w:p>
      <w:pPr>
        <w:spacing w:after="0" w:line="235" w:lineRule="auto"/>
        <w:rPr>
          <w:sz w:val="20"/>
          <w:szCs w:val="20"/>
          <w:color w:val="auto"/>
        </w:rPr>
      </w:pPr>
      <w:r>
        <w:rPr>
          <w:rFonts w:ascii="Arial" w:cs="Arial" w:eastAsia="Arial" w:hAnsi="Arial"/>
          <w:sz w:val="18"/>
          <w:szCs w:val="18"/>
          <w:color w:val="auto"/>
        </w:rPr>
        <w:t>inconsistencies between these terms and conditions and those set forth in the Agreement, these terms and conditions shall prevail. Any</w:t>
      </w:r>
    </w:p>
    <w:p>
      <w:pPr>
        <w:ind w:right="20"/>
        <w:spacing w:after="0" w:line="220" w:lineRule="auto"/>
        <w:rPr>
          <w:sz w:val="20"/>
          <w:szCs w:val="20"/>
          <w:color w:val="auto"/>
        </w:rPr>
      </w:pPr>
      <w:r>
        <w:rPr>
          <w:rFonts w:ascii="Arial" w:cs="Arial" w:eastAsia="Arial" w:hAnsi="Arial"/>
          <w:sz w:val="20"/>
          <w:szCs w:val="20"/>
          <w:color w:val="auto"/>
        </w:rPr>
        <w:t>capitalized term used in this Appendix without definition shall have the meaning ascribed to such term in the Plan or the Agreement, as applicable.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In accepting the RSUs, Participant acknowledges, understands and agrees that:</w:t>
      </w:r>
    </w:p>
    <w:p>
      <w:pPr>
        <w:spacing w:after="0" w:line="216" w:lineRule="exact"/>
        <w:rPr>
          <w:sz w:val="20"/>
          <w:szCs w:val="20"/>
          <w:color w:val="auto"/>
        </w:rPr>
      </w:pPr>
    </w:p>
    <w:p>
      <w:pPr>
        <w:ind w:left="660" w:hanging="328"/>
        <w:spacing w:after="0" w:line="229" w:lineRule="auto"/>
        <w:tabs>
          <w:tab w:leader="none" w:pos="64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may be amended, suspended or terminated by the Company at any time, to the extent permitted by the Plan;</w:t>
      </w:r>
    </w:p>
    <w:p>
      <w:pPr>
        <w:spacing w:after="0" w:line="195" w:lineRule="exact"/>
        <w:rPr>
          <w:rFonts w:ascii="Arial" w:cs="Arial" w:eastAsia="Arial" w:hAnsi="Arial"/>
          <w:sz w:val="20"/>
          <w:szCs w:val="20"/>
          <w:color w:val="auto"/>
        </w:rPr>
      </w:pPr>
    </w:p>
    <w:p>
      <w:pPr>
        <w:ind w:left="660" w:hanging="328"/>
        <w:spacing w:after="0" w:line="257" w:lineRule="auto"/>
        <w:tabs>
          <w:tab w:leader="none" w:pos="648"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spacing w:after="0" w:line="166" w:lineRule="exact"/>
        <w:rPr>
          <w:rFonts w:ascii="Arial" w:cs="Arial" w:eastAsia="Arial" w:hAnsi="Arial"/>
          <w:sz w:val="19"/>
          <w:szCs w:val="19"/>
          <w:color w:val="auto"/>
        </w:rPr>
      </w:pPr>
    </w:p>
    <w:p>
      <w:pPr>
        <w:ind w:left="640" w:hanging="308"/>
        <w:spacing w:after="0"/>
        <w:tabs>
          <w:tab w:leader="none" w:pos="64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units or other grants, if any, will be at the sole discretion of the Company;</w:t>
      </w:r>
    </w:p>
    <w:p>
      <w:pPr>
        <w:spacing w:after="0" w:line="227" w:lineRule="exact"/>
        <w:rPr>
          <w:rFonts w:ascii="Arial" w:cs="Arial" w:eastAsia="Arial" w:hAnsi="Arial"/>
          <w:sz w:val="19"/>
          <w:szCs w:val="19"/>
          <w:color w:val="auto"/>
        </w:rPr>
      </w:pPr>
    </w:p>
    <w:p>
      <w:pPr>
        <w:ind w:left="640" w:hanging="308"/>
        <w:spacing w:after="0"/>
        <w:tabs>
          <w:tab w:leader="none" w:pos="6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215" w:lineRule="exact"/>
        <w:rPr>
          <w:rFonts w:ascii="Arial" w:cs="Arial" w:eastAsia="Arial" w:hAnsi="Arial"/>
          <w:sz w:val="20"/>
          <w:szCs w:val="20"/>
          <w:color w:val="auto"/>
        </w:rPr>
      </w:pPr>
    </w:p>
    <w:p>
      <w:pPr>
        <w:jc w:val="both"/>
        <w:ind w:left="660" w:hanging="328"/>
        <w:spacing w:after="0" w:line="223" w:lineRule="auto"/>
        <w:tabs>
          <w:tab w:leader="none" w:pos="64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for labor law purposes, the RSUs and the Common Stock subject to the RSUs are an extraordinary item that does not constitute wages of any kind for services of any kind rendered to the Company or to Participant’s service entity, and the award of the RSUs is outside the scope of Participant’s service contract, if any;</w:t>
      </w:r>
    </w:p>
    <w:p>
      <w:pPr>
        <w:spacing w:after="0" w:line="182" w:lineRule="exact"/>
        <w:rPr>
          <w:rFonts w:ascii="Arial" w:cs="Arial" w:eastAsia="Arial" w:hAnsi="Arial"/>
          <w:sz w:val="20"/>
          <w:szCs w:val="20"/>
          <w:color w:val="auto"/>
        </w:rPr>
      </w:pPr>
    </w:p>
    <w:p>
      <w:pPr>
        <w:jc w:val="both"/>
        <w:ind w:left="660" w:hanging="328"/>
        <w:spacing w:after="0" w:line="218" w:lineRule="auto"/>
        <w:tabs>
          <w:tab w:leader="none" w:pos="64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for labor law purposes, the RSUs and the Common Stock subject to the RSUs are not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any Subsidiary, Participant’s employer, its parent, or any affiliate of the Company;</w:t>
      </w:r>
    </w:p>
    <w:p>
      <w:pPr>
        <w:spacing w:after="0" w:line="197" w:lineRule="exact"/>
        <w:rPr>
          <w:rFonts w:ascii="Arial" w:cs="Arial" w:eastAsia="Arial" w:hAnsi="Arial"/>
          <w:sz w:val="20"/>
          <w:szCs w:val="20"/>
          <w:color w:val="auto"/>
        </w:rPr>
      </w:pPr>
    </w:p>
    <w:p>
      <w:pPr>
        <w:ind w:left="640" w:hanging="308"/>
        <w:spacing w:after="0"/>
        <w:tabs>
          <w:tab w:leader="none" w:pos="6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RSUs and the Common Stock subject to the RSUs are not intended to replace any pension rights or compensation;</w:t>
      </w:r>
    </w:p>
    <w:p>
      <w:pPr>
        <w:spacing w:after="0" w:line="202" w:lineRule="exact"/>
        <w:rPr>
          <w:rFonts w:ascii="Arial" w:cs="Arial" w:eastAsia="Arial" w:hAnsi="Arial"/>
          <w:sz w:val="20"/>
          <w:szCs w:val="20"/>
          <w:color w:val="auto"/>
        </w:rPr>
      </w:pPr>
    </w:p>
    <w:p>
      <w:pPr>
        <w:jc w:val="both"/>
        <w:ind w:left="660" w:right="20" w:hanging="328"/>
        <w:spacing w:after="0" w:line="227" w:lineRule="auto"/>
        <w:tabs>
          <w:tab w:leader="none" w:pos="64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neither the RSUs nor any provision of this Agreement, the Plan or the policies adopted pursuant to the Plan confer upon Participant any right with respect to service or continuation of current service and shall not be interpreted to form a service contract or relationship with the Company or any subsidiary or affiliate;</w:t>
      </w:r>
    </w:p>
    <w:p>
      <w:pPr>
        <w:spacing w:after="0" w:line="184" w:lineRule="exact"/>
        <w:rPr>
          <w:rFonts w:ascii="Arial" w:cs="Arial" w:eastAsia="Arial" w:hAnsi="Arial"/>
          <w:sz w:val="20"/>
          <w:szCs w:val="20"/>
          <w:color w:val="auto"/>
        </w:rPr>
      </w:pPr>
    </w:p>
    <w:p>
      <w:pPr>
        <w:ind w:left="640" w:hanging="308"/>
        <w:spacing w:after="0"/>
        <w:tabs>
          <w:tab w:leader="none" w:pos="6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future value of the underlying Common Stock is unknown and cannot be predicted with certainty; and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value of the Common Stock acquired upon vesting of the RSUs may increase or decrease in value.</w:t>
      </w:r>
    </w:p>
    <w:p>
      <w:pPr>
        <w:spacing w:after="0" w:line="200" w:lineRule="exact"/>
        <w:rPr>
          <w:sz w:val="20"/>
          <w:szCs w:val="20"/>
          <w:color w:val="auto"/>
        </w:rPr>
      </w:pPr>
    </w:p>
    <w:p>
      <w:pPr>
        <w:spacing w:after="0" w:line="226"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b w:val="1"/>
          <w:bCs w:val="1"/>
          <w:u w:val="single" w:color="auto"/>
          <w:color w:val="auto"/>
        </w:rPr>
        <w:t>Securities Law Notice</w:t>
      </w:r>
      <w:r>
        <w:rPr>
          <w:rFonts w:ascii="Arial" w:cs="Arial" w:eastAsia="Arial" w:hAnsi="Arial"/>
          <w:sz w:val="20"/>
          <w:szCs w:val="20"/>
          <w:b w:val="1"/>
          <w:bCs w:val="1"/>
          <w:color w:val="auto"/>
        </w:rPr>
        <w:t xml:space="preserve">: </w:t>
      </w:r>
      <w:r>
        <w:rPr>
          <w:rFonts w:ascii="Arial" w:cs="Arial" w:eastAsia="Arial" w:hAnsi="Arial"/>
          <w:sz w:val="20"/>
          <w:szCs w:val="20"/>
          <w:color w:val="auto"/>
        </w:rPr>
        <w:t>Unless otherwise noted, neither the Company nor the Shares are registered with any local stock exchange or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control of any local securities regulator outside the United States.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Appendix-1</w:t>
      </w:r>
    </w:p>
    <w:p>
      <w:pPr>
        <w:sectPr>
          <w:pgSz w:w="11900" w:h="16838" w:orient="portrait"/>
          <w:cols w:equalWidth="0" w:num="1">
            <w:col w:w="11240"/>
          </w:cols>
          <w:pgMar w:left="320" w:top="1399" w:right="33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The Agreement (of which this Appendix is a part), the Plan, and any other communications or materials that Participant may receive</w:t>
      </w:r>
    </w:p>
    <w:p>
      <w:pPr>
        <w:spacing w:after="0" w:line="232" w:lineRule="auto"/>
        <w:rPr>
          <w:sz w:val="20"/>
          <w:szCs w:val="20"/>
          <w:color w:val="auto"/>
        </w:rPr>
      </w:pPr>
      <w:r>
        <w:rPr>
          <w:rFonts w:ascii="Arial" w:cs="Arial" w:eastAsia="Arial" w:hAnsi="Arial"/>
          <w:sz w:val="19"/>
          <w:szCs w:val="19"/>
          <w:color w:val="auto"/>
        </w:rPr>
        <w:t>regarding participation in the Plan do not constitute advertising or an offering of securities outside the United States, and the issuance of securities described in any Plan-related documents is not intended for public offering or circulation in Participant’s jurisdiction.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General Provisions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Data Privacy</w:t>
      </w:r>
      <w:r>
        <w:rPr>
          <w:rFonts w:ascii="Arial" w:cs="Arial" w:eastAsia="Arial" w:hAnsi="Arial"/>
          <w:sz w:val="20"/>
          <w:szCs w:val="20"/>
          <w:b w:val="1"/>
          <w:bCs w:val="1"/>
          <w:color w:val="auto"/>
        </w:rPr>
        <w:t>. Participant acknowledges and agrees to the data privacy provisions set forth in Section 11.8 of the Plan.</w:t>
      </w:r>
    </w:p>
    <w:p>
      <w:pPr>
        <w:spacing w:after="0" w:line="202"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u w:val="single" w:color="auto"/>
          <w:color w:val="auto"/>
        </w:rPr>
        <w:t>Notifications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Appendix also includes information relating to exchange control and other issues of which Participant should be 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his or her participation in the Plan. The information is based on the exchange control, securities and other laws in effect in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respective countries as of September 2021. Such laws are often complex and change frequently. As a result, the Company strongly recommends that Participant not rely on the information herein as the only source of information relating to the consequences of participation</w:t>
      </w:r>
    </w:p>
    <w:p>
      <w:pPr>
        <w:spacing w:after="0" w:line="236" w:lineRule="auto"/>
        <w:rPr>
          <w:sz w:val="20"/>
          <w:szCs w:val="20"/>
          <w:color w:val="auto"/>
        </w:rPr>
      </w:pPr>
      <w:r>
        <w:rPr>
          <w:rFonts w:ascii="Arial" w:cs="Arial" w:eastAsia="Arial" w:hAnsi="Arial"/>
          <w:sz w:val="18"/>
          <w:szCs w:val="18"/>
          <w:color w:val="auto"/>
        </w:rPr>
        <w:t>in the Plan because the information may be out of date at the time the RSUs vest or Shares acquired under the Plan are sold. In addition,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his or her country may apply to his or her situation. Finally, Participant understands that if Participant is a citizen or resident of a country other than the one in which he or she is currently residing or working, the information contained herein may not be applicable to Participant.</w:t>
      </w:r>
    </w:p>
    <w:p>
      <w:pPr>
        <w:spacing w:after="0" w:line="127"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u w:val="single" w:color="auto"/>
          <w:color w:val="auto"/>
        </w:rPr>
        <w:t>English Language</w:t>
      </w:r>
      <w:r>
        <w:rPr>
          <w:rFonts w:ascii="Arial" w:cs="Arial" w:eastAsia="Arial" w:hAnsi="Arial"/>
          <w:sz w:val="18"/>
          <w:szCs w:val="18"/>
          <w:color w:val="auto"/>
        </w:rPr>
        <w:t>. By participating in the Plan, Participant acknowledges that Participant is proficient in the English language, or has</w:t>
      </w:r>
      <w:r>
        <w:rPr>
          <w:rFonts w:ascii="Arial" w:cs="Arial" w:eastAsia="Arial" w:hAnsi="Arial"/>
          <w:sz w:val="18"/>
          <w:szCs w:val="18"/>
          <w:b w:val="1"/>
          <w:bCs w:val="1"/>
          <w:color w:val="auto"/>
        </w:rPr>
        <w:t xml:space="preserve"> </w:t>
      </w:r>
      <w:r>
        <w:rPr>
          <w:rFonts w:ascii="Arial" w:cs="Arial" w:eastAsia="Arial" w:hAnsi="Arial"/>
          <w:sz w:val="18"/>
          <w:szCs w:val="18"/>
          <w:color w:val="auto"/>
        </w:rPr>
        <w:t>consulted with an advisor who is sufficiently proficient in English, so as to allow him or her to understand the terms and conditions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Plan and the Agreement applicable to Participant’s country of residence. If Participant has received the Agreement and the Plan applicably to his or her country of residence or any other document related to the Plan translated into a language other than English and if the meaning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translated version is different than the English version, the English version will control.</w:t>
      </w:r>
    </w:p>
    <w:p>
      <w:pPr>
        <w:spacing w:after="0" w:line="180"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u w:val="single" w:color="auto"/>
          <w:color w:val="auto"/>
        </w:rPr>
        <w:t>Currency</w:t>
      </w:r>
      <w:r>
        <w:rPr>
          <w:rFonts w:ascii="Arial" w:cs="Arial" w:eastAsia="Arial" w:hAnsi="Arial"/>
          <w:sz w:val="16"/>
          <w:szCs w:val="16"/>
          <w:color w:val="auto"/>
        </w:rPr>
        <w:t>. Participant understands that, any amounts related to the RSUs will be denominated in U.S. dollars and will be converted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local currency using a prevailing exchange rate in effect at the time such conversion is performed, as determined by the Company. Participant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understands and agrees that neither the Company nor any affiliate shall be liable for any foreign exchange rate fluctuation between Participant’s local currency and the U.S. dollar that may affect the value of the RSUs, or of any amounts due to Participant or as a result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subsequent sale of any Shares acquired under the RSUs.</w:t>
      </w:r>
    </w:p>
    <w:p>
      <w:pPr>
        <w:spacing w:after="0" w:line="194"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u w:val="single" w:color="auto"/>
          <w:color w:val="auto"/>
        </w:rPr>
        <w:t>Foreign Asset/Account Reporting; Exchange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country of residence may have certain foreign asset and/or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or exchange control requirements which may affect his or her ability to acquire or hold Shares under the Agreement or cash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received (including proceeds arising from the sale of Shares) in a brokerage or bank account outside Participant’s country. Participant may be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required to report such accounts, assets or transactions to the tax or other authorities in his or her country. Participant may also be required to repatriate sale proceeds or other funds received as a result of his/her participation in the Plan to his or her country through a designated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broker or bank and/or within a certain time after receipt. Participant is responsible for ensuring compliance with such regulations and should consult with his or her personal legal advisor for any details.</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regarding Participant’s participation in the Plan or the Agreement or any receipt of the RSUs or sale of Shares acquired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upon settlement of the RSUs. Participant should consult his or her own personal tax, legal and financial advisors regarding his or her participation in the Plan and the Agreement before taking any action related to the RSUs or the Shares.</w:t>
      </w:r>
    </w:p>
    <w:p>
      <w:pPr>
        <w:spacing w:after="0" w:line="200" w:lineRule="exact"/>
        <w:rPr>
          <w:sz w:val="20"/>
          <w:szCs w:val="20"/>
          <w:color w:val="auto"/>
        </w:rPr>
      </w:pPr>
    </w:p>
    <w:p>
      <w:pPr>
        <w:spacing w:after="0" w:line="234"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Participant, on the RSUs and/or any</w:t>
      </w:r>
      <w:r>
        <w:rPr>
          <w:rFonts w:ascii="Arial" w:cs="Arial" w:eastAsia="Arial" w:hAnsi="Arial"/>
          <w:sz w:val="20"/>
          <w:szCs w:val="20"/>
          <w:b w:val="1"/>
          <w:bCs w:val="1"/>
          <w:color w:val="auto"/>
        </w:rPr>
        <w:t xml:space="preserve"> </w:t>
      </w:r>
      <w:r>
        <w:rPr>
          <w:rFonts w:ascii="Arial" w:cs="Arial" w:eastAsia="Arial" w:hAnsi="Arial"/>
          <w:sz w:val="20"/>
          <w:szCs w:val="20"/>
          <w:color w:val="auto"/>
        </w:rPr>
        <w:t>Shares issuable upon settlement of the RSUs, to the extent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Appendix-2</w:t>
      </w:r>
    </w:p>
    <w:p>
      <w:pPr>
        <w:sectPr>
          <w:pgSz w:w="11900" w:h="16838" w:orient="portrait"/>
          <w:cols w:equalWidth="0" w:num="1">
            <w:col w:w="11240"/>
          </w:cols>
          <w:pgMar w:left="320" w:top="1405" w:right="339" w:bottom="1440" w:gutter="0" w:footer="0" w:header="0"/>
        </w:sectPr>
      </w:pPr>
    </w:p>
    <w:bookmarkStart w:id="165" w:name="page166"/>
    <w:bookmarkEnd w:id="165"/>
    <w:p>
      <w:pPr>
        <w:jc w:val="both"/>
        <w:spacing w:after="0" w:line="212" w:lineRule="auto"/>
        <w:rPr>
          <w:sz w:val="20"/>
          <w:szCs w:val="20"/>
          <w:color w:val="auto"/>
        </w:rPr>
      </w:pPr>
      <w:r>
        <w:rPr>
          <w:rFonts w:ascii="Arial" w:cs="Arial" w:eastAsia="Arial" w:hAnsi="Arial"/>
          <w:sz w:val="20"/>
          <w:szCs w:val="20"/>
          <w:color w:val="auto"/>
        </w:rPr>
        <w:t>Company determines it is necessary or advisable for legal or administrative reasons, and to require Participant to sign any additional agreements or undertakings that may be necessary to accomplish the foregoing.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China</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provisions apply only to Participants who are subject to exchange control restrictions imposed by the State Administration of</w:t>
      </w:r>
    </w:p>
    <w:p>
      <w:pPr>
        <w:spacing w:after="0"/>
        <w:rPr>
          <w:sz w:val="20"/>
          <w:szCs w:val="20"/>
          <w:color w:val="auto"/>
        </w:rPr>
      </w:pPr>
      <w:r>
        <w:rPr>
          <w:rFonts w:ascii="Arial" w:cs="Arial" w:eastAsia="Arial" w:hAnsi="Arial"/>
          <w:sz w:val="20"/>
          <w:szCs w:val="20"/>
          <w:i w:val="1"/>
          <w:iCs w:val="1"/>
          <w:color w:val="auto"/>
        </w:rPr>
        <w:t>Foreign Exchange (“</w:t>
      </w:r>
      <w:r>
        <w:rPr>
          <w:rFonts w:ascii="Arial" w:cs="Arial" w:eastAsia="Arial" w:hAnsi="Arial"/>
          <w:sz w:val="20"/>
          <w:szCs w:val="20"/>
          <w:b w:val="1"/>
          <w:bCs w:val="1"/>
          <w:color w:val="auto"/>
        </w:rPr>
        <w:t>SAFE</w:t>
      </w:r>
      <w:r>
        <w:rPr>
          <w:rFonts w:ascii="Arial" w:cs="Arial" w:eastAsia="Arial" w:hAnsi="Arial"/>
          <w:sz w:val="20"/>
          <w:szCs w:val="20"/>
          <w:i w:val="1"/>
          <w:iCs w:val="1"/>
          <w:color w:val="auto"/>
        </w:rPr>
        <w:t>”), as determined by the Company in its sole discretion: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 Conditioned on Satisfaction of Regulatory Obligations</w:t>
      </w:r>
      <w:r>
        <w:rPr>
          <w:rFonts w:ascii="Arial" w:cs="Arial" w:eastAsia="Arial" w:hAnsi="Arial"/>
          <w:sz w:val="18"/>
          <w:szCs w:val="18"/>
          <w:color w:val="auto"/>
        </w:rPr>
        <w:t>. In addition to the vesting schedule in the Grant Notice, settlement of the RSUs</w:t>
      </w:r>
    </w:p>
    <w:p>
      <w:pPr>
        <w:spacing w:after="0" w:line="1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is also conditioned on the Company’s completion of a registration of the Plan with SAFE and on the continued effectiveness of such registration (the “</w:t>
      </w:r>
      <w:r>
        <w:rPr>
          <w:rFonts w:ascii="Arial" w:cs="Arial" w:eastAsia="Arial" w:hAnsi="Arial"/>
          <w:sz w:val="18"/>
          <w:szCs w:val="18"/>
          <w:b w:val="1"/>
          <w:bCs w:val="1"/>
          <w:i w:val="1"/>
          <w:iCs w:val="1"/>
          <w:color w:val="auto"/>
        </w:rPr>
        <w:t>SAFE Registration Requirement</w:t>
      </w:r>
      <w:r>
        <w:rPr>
          <w:rFonts w:ascii="Arial" w:cs="Arial" w:eastAsia="Arial" w:hAnsi="Arial"/>
          <w:sz w:val="18"/>
          <w:szCs w:val="18"/>
          <w:color w:val="auto"/>
        </w:rPr>
        <w:t>”). If or to the extent the Company is unable to complete the registration or maintain the</w:t>
      </w:r>
    </w:p>
    <w:p>
      <w:pPr>
        <w:spacing w:after="0" w:line="236" w:lineRule="auto"/>
        <w:rPr>
          <w:sz w:val="20"/>
          <w:szCs w:val="20"/>
          <w:color w:val="auto"/>
        </w:rPr>
      </w:pPr>
      <w:r>
        <w:rPr>
          <w:rFonts w:ascii="Arial" w:cs="Arial" w:eastAsia="Arial" w:hAnsi="Arial"/>
          <w:sz w:val="18"/>
          <w:szCs w:val="18"/>
          <w:color w:val="auto"/>
        </w:rPr>
        <w:t>registration, no Shares subject to the RSUs for which a registration cannot be completed or maintained shall be issued. In this case,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Company retains the discretion to settle any RSUs for which the vesting schedule in the Grant Notice, but not the SAFE Registration Requirement, has been met in cash paid through local payroll in an amount equal to the market value of the Shares subject to the RSUs less</w:t>
      </w:r>
    </w:p>
    <w:p>
      <w:pPr>
        <w:spacing w:after="0" w:line="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any Tax-Related Items;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case the Company is able to complete a SAFE registration with respect to any RSUs, the cash payment for RSUs not covered by the SAFE registration shall not be made until the initial SAFE registration has been completed.</w:t>
      </w:r>
    </w:p>
    <w:p>
      <w:pPr>
        <w:spacing w:after="0" w:line="13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u w:val="single" w:color="auto"/>
          <w:color w:val="auto"/>
        </w:rPr>
        <w:t>Stock Must Remain With Company’s Designated Broker</w:t>
      </w:r>
      <w:r>
        <w:rPr>
          <w:rFonts w:ascii="Arial" w:cs="Arial" w:eastAsia="Arial" w:hAnsi="Arial"/>
          <w:sz w:val="20"/>
          <w:szCs w:val="20"/>
          <w:i w:val="1"/>
          <w:iCs w:val="1"/>
          <w:color w:val="auto"/>
        </w:rPr>
        <w:t>.</w:t>
      </w:r>
      <w:r>
        <w:rPr>
          <w:rFonts w:ascii="Arial" w:cs="Arial" w:eastAsia="Arial" w:hAnsi="Arial"/>
          <w:sz w:val="20"/>
          <w:szCs w:val="20"/>
          <w:color w:val="auto"/>
        </w:rPr>
        <w:t xml:space="preserve"> The Participant agrees to hold any Shares received upon settlement of the RSUs with the Company’s designated broker until the Shares are sold. The limitation shall apply to all Shares issued to the Participant under the Plan, whether or not Participant remains an Employee.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Forced Sale of Shares</w:t>
      </w:r>
      <w:r>
        <w:rPr>
          <w:rFonts w:ascii="Arial" w:cs="Arial" w:eastAsia="Arial" w:hAnsi="Arial"/>
          <w:sz w:val="18"/>
          <w:szCs w:val="18"/>
          <w:color w:val="auto"/>
        </w:rPr>
        <w:t>. The Company has the discretion to arrange for the sale of the Shares issued upon settlement of the RSUs, either</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immediately upon settlement or at any time thereafter. In any event, if the Participant experiences a Termination of Service, the Participant will be required to sell all Shares acquired upon settlement of the RSUs within such time period as required by the Company in accordance</w:t>
      </w:r>
    </w:p>
    <w:p>
      <w:pPr>
        <w:spacing w:after="0" w:line="236" w:lineRule="auto"/>
        <w:rPr>
          <w:sz w:val="20"/>
          <w:szCs w:val="20"/>
          <w:color w:val="auto"/>
        </w:rPr>
      </w:pPr>
      <w:r>
        <w:rPr>
          <w:rFonts w:ascii="Arial" w:cs="Arial" w:eastAsia="Arial" w:hAnsi="Arial"/>
          <w:sz w:val="18"/>
          <w:szCs w:val="18"/>
          <w:color w:val="auto"/>
        </w:rPr>
        <w:t>with SAFE requirements. Any Shares remaining in the brokerage account at the end of this period shall be sold by the broker (on behalf of</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Participant and the Participant hereby authorizes such sale). The Participant agrees to sign any additional agreements, forms and/or consents that reasonably may be requested by the Company (or the Company’s designated broker) to effectuate the sale of Shares (including,</w:t>
      </w:r>
    </w:p>
    <w:p>
      <w:pPr>
        <w:spacing w:after="0" w:line="235" w:lineRule="auto"/>
        <w:rPr>
          <w:sz w:val="20"/>
          <w:szCs w:val="20"/>
          <w:color w:val="auto"/>
        </w:rPr>
      </w:pPr>
      <w:r>
        <w:rPr>
          <w:rFonts w:ascii="Arial" w:cs="Arial" w:eastAsia="Arial" w:hAnsi="Arial"/>
          <w:sz w:val="18"/>
          <w:szCs w:val="18"/>
          <w:color w:val="auto"/>
        </w:rPr>
        <w:t>without limitation, as to the transfer of the sale proceeds and other exchange control matters noted below) and shall otherwise cooperate with</w:t>
      </w:r>
    </w:p>
    <w:p>
      <w:pPr>
        <w:jc w:val="both"/>
        <w:spacing w:after="0" w:line="226" w:lineRule="auto"/>
        <w:rPr>
          <w:sz w:val="20"/>
          <w:szCs w:val="20"/>
          <w:color w:val="auto"/>
        </w:rPr>
      </w:pPr>
      <w:r>
        <w:rPr>
          <w:rFonts w:ascii="Arial" w:cs="Arial" w:eastAsia="Arial" w:hAnsi="Arial"/>
          <w:sz w:val="18"/>
          <w:szCs w:val="18"/>
          <w:color w:val="auto"/>
        </w:rPr>
        <w:t>the Company with respect to such matters. The Participant acknowledges that neither the Company nor the designated broker is under any obligation to arrange for the sale of Shares at any particular price (it being understood that the sale will occur in the market) and that broker’s</w:t>
      </w:r>
    </w:p>
    <w:p>
      <w:pPr>
        <w:spacing w:after="0" w:line="236" w:lineRule="auto"/>
        <w:rPr>
          <w:sz w:val="20"/>
          <w:szCs w:val="20"/>
          <w:color w:val="auto"/>
        </w:rPr>
      </w:pPr>
      <w:r>
        <w:rPr>
          <w:rFonts w:ascii="Arial" w:cs="Arial" w:eastAsia="Arial" w:hAnsi="Arial"/>
          <w:sz w:val="18"/>
          <w:szCs w:val="18"/>
          <w:color w:val="auto"/>
        </w:rPr>
        <w:t>fees and similar expenses may be incurred in any such sale. In any event, when the Shares are sold, the sale proceeds, less any withholding</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for Tax-Related Items, any broker’s fees or commissions, and any similar expenses of the sale will be remitted to the Participant in accordance with applicable exchange control laws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Restrictions</w:t>
      </w:r>
      <w:r>
        <w:rPr>
          <w:rFonts w:ascii="Arial" w:cs="Arial" w:eastAsia="Arial" w:hAnsi="Arial"/>
          <w:sz w:val="18"/>
          <w:szCs w:val="18"/>
          <w:color w:val="auto"/>
        </w:rPr>
        <w:t>. The Participant understands and agrees that the Participant will be required to immediately repatriate to</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China the proceeds from the sale of any Shares acquired under the Plan and any cash dividends paid on such Shares. The Participant further understands that such repatriation of proceeds may need to be effected through a special bank account established by the Company (or a</w:t>
      </w:r>
    </w:p>
    <w:p>
      <w:pPr>
        <w:spacing w:after="0" w:line="235" w:lineRule="auto"/>
        <w:rPr>
          <w:sz w:val="20"/>
          <w:szCs w:val="20"/>
          <w:color w:val="auto"/>
        </w:rPr>
      </w:pPr>
      <w:r>
        <w:rPr>
          <w:rFonts w:ascii="Arial" w:cs="Arial" w:eastAsia="Arial" w:hAnsi="Arial"/>
          <w:sz w:val="18"/>
          <w:szCs w:val="18"/>
          <w:color w:val="auto"/>
        </w:rPr>
        <w:t>Subsidiary), and the Participant hereby consents and agrees that any sale proceeds and cash dividends may be transferred to such special</w:t>
      </w:r>
    </w:p>
    <w:p>
      <w:pPr>
        <w:jc w:val="both"/>
        <w:spacing w:after="0" w:line="220" w:lineRule="auto"/>
        <w:rPr>
          <w:sz w:val="20"/>
          <w:szCs w:val="20"/>
          <w:color w:val="auto"/>
        </w:rPr>
      </w:pPr>
      <w:r>
        <w:rPr>
          <w:rFonts w:ascii="Arial" w:cs="Arial" w:eastAsia="Arial" w:hAnsi="Arial"/>
          <w:sz w:val="20"/>
          <w:szCs w:val="20"/>
          <w:color w:val="auto"/>
        </w:rPr>
        <w:t>account by the Company (or a Subsidiary) on the Participant’s behalf prior to being delivered to Participant and that no interest shall be paid with respect to funds held in such account.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proceeds may be paid to the Participant in U.S. dollars or local currency at the Company’s discretion. If the proceeds are paid to the</w:t>
      </w:r>
    </w:p>
    <w:p>
      <w:pPr>
        <w:spacing w:after="0" w:line="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Participant in U.S. dollars, the Participant understands that a U.S. dollar bank account in China must be established and maintained so that the proceeds may be deposited into such account. If the proceeds are paid to the Participant in local currency, the Participant acknowledges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Appendix-3</w:t>
      </w:r>
    </w:p>
    <w:p>
      <w:pPr>
        <w:sectPr>
          <w:pgSz w:w="11900" w:h="16838" w:orient="portrait"/>
          <w:cols w:equalWidth="0" w:num="1">
            <w:col w:w="11240"/>
          </w:cols>
          <w:pgMar w:left="320" w:top="1405" w:right="33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color w:val="auto"/>
        </w:rPr>
        <w:t>that the Company (or its Subsidiaries) are under no obligation to secure any particular exchange conversion rate and that the Company (or its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Subsidiaries) may face delays in converting the proceeds to local currency due to exchange control restrictions. The Participant agrees to bear any currency fluctuation risk between the time the Shares are sold and the net proceeds are converted into local currency and distributed to</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Participant. The Participant further agrees to comply with any other requirements that may be imposed by the Company (or its Subsidiary) in the future in order to facilitate compliance with exchange control requirements in China.</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Company (or its Subsidiaries) shall not be liable for any costs, fees, lost interest or dividends or other losses that the Participant may incur or suffer resulting from the enforcement of the terms of this Appendix or otherwise from the Company’s operation and</w:t>
      </w:r>
    </w:p>
    <w:p>
      <w:pPr>
        <w:jc w:val="both"/>
        <w:spacing w:after="0" w:line="220" w:lineRule="auto"/>
        <w:rPr>
          <w:sz w:val="20"/>
          <w:szCs w:val="20"/>
          <w:color w:val="auto"/>
        </w:rPr>
      </w:pPr>
      <w:r>
        <w:rPr>
          <w:rFonts w:ascii="Arial" w:cs="Arial" w:eastAsia="Arial" w:hAnsi="Arial"/>
          <w:sz w:val="20"/>
          <w:szCs w:val="20"/>
          <w:color w:val="auto"/>
        </w:rPr>
        <w:t>enforcement of the Plan, the Agreement, the Grant Notice and the RSUs in accordance with any applicable laws, rules, regulations and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Chinese residents may be required to report to SAFE all details of their foreign financial assets and liabilities (including Shares acquired under the Plan), as well as details of any economic transactions conducted with non-Chinese residents.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France</w:t>
      </w:r>
    </w:p>
    <w:p>
      <w:pPr>
        <w:spacing w:after="0" w:line="18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9"/>
          <w:szCs w:val="19"/>
          <w:color w:val="auto"/>
        </w:rPr>
        <w:t xml:space="preserve">The provisions of this </w:t>
      </w:r>
      <w:r>
        <w:rPr>
          <w:rFonts w:ascii="Arial" w:cs="Arial" w:eastAsia="Arial" w:hAnsi="Arial"/>
          <w:sz w:val="19"/>
          <w:szCs w:val="19"/>
          <w:b w:val="1"/>
          <w:bCs w:val="1"/>
          <w:color w:val="auto"/>
        </w:rPr>
        <w:t>Country Schedule France</w:t>
      </w:r>
      <w:r>
        <w:rPr>
          <w:rFonts w:ascii="Arial" w:cs="Arial" w:eastAsia="Arial" w:hAnsi="Arial"/>
          <w:sz w:val="19"/>
          <w:szCs w:val="19"/>
          <w:color w:val="auto"/>
        </w:rPr>
        <w:t xml:space="preserve"> provide additional clarifications for the purpose of granting RSUs which are intended to qualify for specific French personal income tax and social security treatment in France applicable to shares granted for no</w:t>
      </w:r>
    </w:p>
    <w:p>
      <w:pPr>
        <w:spacing w:after="0" w:line="235" w:lineRule="auto"/>
        <w:rPr>
          <w:sz w:val="20"/>
          <w:szCs w:val="20"/>
          <w:color w:val="auto"/>
        </w:rPr>
      </w:pPr>
      <w:r>
        <w:rPr>
          <w:rFonts w:ascii="Arial" w:cs="Arial" w:eastAsia="Arial" w:hAnsi="Arial"/>
          <w:sz w:val="18"/>
          <w:szCs w:val="18"/>
          <w:color w:val="auto"/>
        </w:rPr>
        <w:t>consideration under Articles L. 225-197-1 to L. 225-197-5 and L. 22-10-59 et seq.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for</w:t>
      </w:r>
    </w:p>
    <w:p>
      <w:pPr>
        <w:jc w:val="both"/>
        <w:spacing w:after="0" w:line="220" w:lineRule="auto"/>
        <w:rPr>
          <w:sz w:val="20"/>
          <w:szCs w:val="20"/>
          <w:color w:val="auto"/>
        </w:rPr>
      </w:pPr>
      <w:r>
        <w:rPr>
          <w:rFonts w:ascii="Arial" w:cs="Arial" w:eastAsia="Arial" w:hAnsi="Arial"/>
          <w:sz w:val="20"/>
          <w:szCs w:val="20"/>
          <w:color w:val="auto"/>
        </w:rPr>
        <w:t>qualifying employees and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who are residents in France for French tax purposes and/or subject to the French social security regime.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75"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 xml:space="preserve">The RSUs are subject to the terms and conditions of </w:t>
      </w:r>
      <w:r>
        <w:rPr>
          <w:rFonts w:ascii="Arial" w:cs="Arial" w:eastAsia="Arial" w:hAnsi="Arial"/>
          <w:sz w:val="20"/>
          <w:szCs w:val="20"/>
          <w:u w:val="single" w:color="auto"/>
          <w:color w:val="auto"/>
        </w:rPr>
        <w:t>Appendix B</w:t>
      </w:r>
      <w:r>
        <w:rPr>
          <w:rFonts w:ascii="Arial" w:cs="Arial" w:eastAsia="Arial" w:hAnsi="Arial"/>
          <w:sz w:val="20"/>
          <w:szCs w:val="20"/>
          <w:color w:val="auto"/>
        </w:rPr>
        <w:t xml:space="preserve"> to the Plan for the grant of RSUs to French participants, the terms of which are incorporated herein by reference.</w:t>
      </w:r>
    </w:p>
    <w:p>
      <w:pPr>
        <w:spacing w:after="0" w:line="169"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u w:val="single" w:color="auto"/>
          <w:color w:val="auto"/>
        </w:rPr>
        <w:t>Settlement of Restricted Stock Units</w:t>
      </w:r>
      <w:r>
        <w:rPr>
          <w:rFonts w:ascii="Arial" w:cs="Arial" w:eastAsia="Arial" w:hAnsi="Arial"/>
          <w:sz w:val="20"/>
          <w:szCs w:val="20"/>
          <w:color w:val="auto"/>
        </w:rPr>
        <w:t>. The Shares underlying the RSUs shall be delivered free of charge to the French participant (</w:t>
      </w:r>
      <w:r>
        <w:rPr>
          <w:rFonts w:ascii="Arial" w:cs="Arial" w:eastAsia="Arial" w:hAnsi="Arial"/>
          <w:sz w:val="20"/>
          <w:szCs w:val="20"/>
          <w:i w:val="1"/>
          <w:iCs w:val="1"/>
          <w:color w:val="auto"/>
        </w:rPr>
        <w:t>i.e</w:t>
      </w:r>
      <w:r>
        <w:rPr>
          <w:rFonts w:ascii="Arial" w:cs="Arial" w:eastAsia="Arial" w:hAnsi="Arial"/>
          <w:sz w:val="20"/>
          <w:szCs w:val="20"/>
          <w:color w:val="auto"/>
        </w:rPr>
        <w:t>., without any consideration on his/her part).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The RSUs shall not be transferable otherwise than pursuant to the laws of descent and distribution.</w:t>
      </w:r>
    </w:p>
    <w:p>
      <w:pPr>
        <w:spacing w:after="0" w:line="183" w:lineRule="exact"/>
        <w:rPr>
          <w:sz w:val="20"/>
          <w:szCs w:val="20"/>
          <w:color w:val="auto"/>
        </w:rPr>
      </w:pPr>
    </w:p>
    <w:p>
      <w:pPr>
        <w:ind w:left="5360"/>
        <w:spacing w:after="0"/>
        <w:rPr>
          <w:sz w:val="20"/>
          <w:szCs w:val="20"/>
          <w:color w:val="auto"/>
        </w:rPr>
      </w:pPr>
      <w:r>
        <w:rPr>
          <w:rFonts w:ascii="Arial" w:cs="Arial" w:eastAsia="Arial" w:hAnsi="Arial"/>
          <w:sz w:val="20"/>
          <w:szCs w:val="20"/>
          <w:b w:val="1"/>
          <w:bCs w:val="1"/>
          <w:u w:val="single" w:color="auto"/>
          <w:color w:val="auto"/>
        </w:rPr>
        <w:t>Japan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No Registration</w:t>
      </w:r>
      <w:r>
        <w:rPr>
          <w:rFonts w:ascii="Arial" w:cs="Arial" w:eastAsia="Arial" w:hAnsi="Arial"/>
          <w:sz w:val="19"/>
          <w:szCs w:val="19"/>
          <w:color w:val="auto"/>
        </w:rPr>
        <w:t>. The RSUs will be offered in Japan by a private placement to small number of subscribers (</w:t>
      </w:r>
      <w:r>
        <w:rPr>
          <w:rFonts w:ascii="Arial" w:cs="Arial" w:eastAsia="Arial" w:hAnsi="Arial"/>
          <w:sz w:val="19"/>
          <w:szCs w:val="19"/>
          <w:i w:val="1"/>
          <w:iCs w:val="1"/>
          <w:color w:val="auto"/>
        </w:rPr>
        <w:t>shoninzu muke kanyu</w:t>
      </w:r>
      <w:r>
        <w:rPr>
          <w:rFonts w:ascii="Arial" w:cs="Arial" w:eastAsia="Arial" w:hAnsi="Arial"/>
          <w:sz w:val="19"/>
          <w:szCs w:val="19"/>
          <w:color w:val="auto"/>
        </w:rPr>
        <w:t>), as</w:t>
      </w:r>
    </w:p>
    <w:p>
      <w:pPr>
        <w:jc w:val="both"/>
        <w:spacing w:after="0" w:line="226" w:lineRule="auto"/>
        <w:rPr>
          <w:sz w:val="20"/>
          <w:szCs w:val="20"/>
          <w:color w:val="auto"/>
        </w:rPr>
      </w:pPr>
      <w:r>
        <w:rPr>
          <w:rFonts w:ascii="Arial" w:cs="Arial" w:eastAsia="Arial" w:hAnsi="Arial"/>
          <w:sz w:val="18"/>
          <w:szCs w:val="18"/>
          <w:color w:val="auto"/>
        </w:rPr>
        <w:t>provided under Article 23-13, Paragraph 4 of the Financial Instruments and Exchange Law of Japan (“</w:t>
      </w:r>
      <w:r>
        <w:rPr>
          <w:rFonts w:ascii="Arial" w:cs="Arial" w:eastAsia="Arial" w:hAnsi="Arial"/>
          <w:sz w:val="18"/>
          <w:szCs w:val="18"/>
          <w:b w:val="1"/>
          <w:bCs w:val="1"/>
          <w:i w:val="1"/>
          <w:iCs w:val="1"/>
          <w:color w:val="auto"/>
        </w:rPr>
        <w:t>FIEL</w:t>
      </w:r>
      <w:r>
        <w:rPr>
          <w:rFonts w:ascii="Arial" w:cs="Arial" w:eastAsia="Arial" w:hAnsi="Arial"/>
          <w:sz w:val="18"/>
          <w:szCs w:val="18"/>
          <w:color w:val="auto"/>
        </w:rPr>
        <w:t>”), and accordingly, the filing of a securities registration statement pursuant to Article 4, Paragraph 1 of the FIEL has not been made, and such the RSUs may not be assigned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 transferred by Participant.</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Shares have not been and will not be registered under the FIEL (Act No. 25 of 1948, as amended).</w:t>
      </w:r>
    </w:p>
    <w:p>
      <w:pPr>
        <w:spacing w:after="0" w:line="18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Participant acquires shares of Common Stock valued at more than ¥100,000,000 in a single transaction, Participant must file a Securities Acquisition Report with the Ministry of Finance (“</w:t>
      </w:r>
      <w:r>
        <w:rPr>
          <w:rFonts w:ascii="Arial" w:cs="Arial" w:eastAsia="Arial" w:hAnsi="Arial"/>
          <w:sz w:val="20"/>
          <w:szCs w:val="20"/>
          <w:b w:val="1"/>
          <w:bCs w:val="1"/>
          <w:i w:val="1"/>
          <w:iCs w:val="1"/>
          <w:color w:val="auto"/>
        </w:rPr>
        <w:t>MOF</w:t>
      </w:r>
      <w:r>
        <w:rPr>
          <w:rFonts w:ascii="Arial" w:cs="Arial" w:eastAsia="Arial" w:hAnsi="Arial"/>
          <w:sz w:val="20"/>
          <w:szCs w:val="20"/>
          <w:color w:val="auto"/>
        </w:rPr>
        <w:t>”) through the Bank of Japan within 20 days of the settlement of the RSUs.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Appendix-4</w:t>
      </w:r>
    </w:p>
    <w:p>
      <w:pPr>
        <w:sectPr>
          <w:pgSz w:w="11900" w:h="16838" w:orient="portrait"/>
          <w:cols w:equalWidth="0" w:num="1">
            <w:col w:w="11240"/>
          </w:cols>
          <w:pgMar w:left="320" w:top="1405" w:right="339" w:bottom="1440" w:gutter="0" w:footer="0" w:header="0"/>
        </w:sectPr>
      </w:pPr>
    </w:p>
    <w:bookmarkStart w:id="167" w:name="page168"/>
    <w:bookmarkEnd w:id="167"/>
    <w:p>
      <w:pPr>
        <w:ind w:right="20"/>
        <w:spacing w:after="0" w:line="236" w:lineRule="auto"/>
        <w:rPr>
          <w:sz w:val="20"/>
          <w:szCs w:val="20"/>
          <w:color w:val="auto"/>
        </w:rPr>
      </w:pPr>
      <w:r>
        <w:rPr>
          <w:rFonts w:ascii="Arial" w:cs="Arial" w:eastAsia="Arial" w:hAnsi="Arial"/>
          <w:sz w:val="20"/>
          <w:szCs w:val="20"/>
          <w:color w:val="auto"/>
        </w:rPr>
        <w:t>The precise reporting requirements vary depending on whether the relevant payment is made through a bank in Japan. A Payment Report is required independently of a Securities Acquisition Report.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South Korea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To remit funds out of Korea to settle the RSUs by a cash-settlement method, Participant must obtain a confirmation of the remittance by a foreign exchange bank in Korea. This is an automatic procedure, (i.e., the bank does not need to approve</w:t>
      </w:r>
    </w:p>
    <w:p>
      <w:pPr>
        <w:spacing w:after="0" w:line="222" w:lineRule="auto"/>
        <w:rPr>
          <w:sz w:val="20"/>
          <w:szCs w:val="20"/>
          <w:color w:val="auto"/>
        </w:rPr>
      </w:pPr>
      <w:r>
        <w:rPr>
          <w:rFonts w:ascii="Arial" w:cs="Arial" w:eastAsia="Arial" w:hAnsi="Arial"/>
          <w:sz w:val="19"/>
          <w:szCs w:val="19"/>
          <w:color w:val="auto"/>
        </w:rPr>
        <w:t>the remittance and the process should not take more than a single day). Participant likely will need to present the bank processing the</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transaction supporting documentation evidencing the nature of the remittance. If Participant realizes U.S.$500,000 or more from the sale of Shares, Korean exchange control laws require Participant to repatriate the proceeds to Korea within 18 months of the sale.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Appendix-5</w:t>
      </w:r>
    </w:p>
    <w:p>
      <w:pPr>
        <w:sectPr>
          <w:pgSz w:w="11900" w:h="16838" w:orient="portrait"/>
          <w:cols w:equalWidth="0" w:num="1">
            <w:col w:w="11240"/>
          </w:cols>
          <w:pgMar w:left="320" w:top="1405"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7"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K. Charles Janac, certify that:</w:t>
      </w:r>
    </w:p>
    <w:p>
      <w:pPr>
        <w:spacing w:after="0" w:line="248" w:lineRule="exact"/>
        <w:rPr>
          <w:sz w:val="20"/>
          <w:szCs w:val="20"/>
          <w:color w:val="auto"/>
        </w:rPr>
      </w:pPr>
    </w:p>
    <w:p>
      <w:pPr>
        <w:ind w:left="180" w:hanging="172"/>
        <w:spacing w:after="0"/>
        <w:tabs>
          <w:tab w:leader="none" w:pos="1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60" w:lineRule="auto"/>
        <w:tabs>
          <w:tab w:leader="none" w:pos="201"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6"/>
          <w:szCs w:val="16"/>
          <w:color w:val="auto"/>
        </w:rPr>
      </w:pPr>
    </w:p>
    <w:p>
      <w:pPr>
        <w:ind w:right="20" w:firstLine="8"/>
        <w:spacing w:after="0" w:line="260" w:lineRule="auto"/>
        <w:tabs>
          <w:tab w:leader="none" w:pos="18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firstLine="8"/>
        <w:spacing w:after="0" w:line="260" w:lineRule="auto"/>
        <w:tabs>
          <w:tab w:leader="none" w:pos="18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95" w:lineRule="exact"/>
        <w:rPr>
          <w:rFonts w:ascii="Arial" w:cs="Arial" w:eastAsia="Arial" w:hAnsi="Arial"/>
          <w:sz w:val="16"/>
          <w:szCs w:val="16"/>
          <w:color w:val="auto"/>
        </w:rPr>
      </w:pPr>
    </w:p>
    <w:p>
      <w:pPr>
        <w:jc w:val="both"/>
        <w:ind w:left="1040" w:firstLine="5"/>
        <w:spacing w:after="0" w:line="244" w:lineRule="auto"/>
        <w:tabs>
          <w:tab w:leader="none" w:pos="1323" w:val="left"/>
        </w:tabs>
        <w:numPr>
          <w:ilvl w:val="1"/>
          <w:numId w:val="1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6"/>
          <w:szCs w:val="16"/>
          <w:color w:val="auto"/>
        </w:rPr>
      </w:pPr>
    </w:p>
    <w:p>
      <w:pPr>
        <w:jc w:val="both"/>
        <w:ind w:left="1040" w:firstLine="5"/>
        <w:spacing w:after="0" w:line="253" w:lineRule="auto"/>
        <w:tabs>
          <w:tab w:leader="none" w:pos="1296" w:val="left"/>
        </w:tabs>
        <w:numPr>
          <w:ilvl w:val="1"/>
          <w:numId w:val="1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6"/>
          <w:szCs w:val="16"/>
          <w:color w:val="auto"/>
        </w:rPr>
      </w:pPr>
    </w:p>
    <w:p>
      <w:pPr>
        <w:ind w:left="1040" w:firstLine="5"/>
        <w:spacing w:after="0" w:line="260" w:lineRule="auto"/>
        <w:tabs>
          <w:tab w:leader="none" w:pos="1286" w:val="left"/>
        </w:tabs>
        <w:numPr>
          <w:ilvl w:val="1"/>
          <w:numId w:val="1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jc w:val="both"/>
        <w:ind w:left="1040" w:firstLine="5"/>
        <w:spacing w:after="0" w:line="253" w:lineRule="auto"/>
        <w:tabs>
          <w:tab w:leader="none" w:pos="1302" w:val="left"/>
        </w:tabs>
        <w:numPr>
          <w:ilvl w:val="1"/>
          <w:numId w:val="1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6"/>
          <w:szCs w:val="16"/>
          <w:color w:val="auto"/>
        </w:rPr>
      </w:pPr>
    </w:p>
    <w:p>
      <w:pPr>
        <w:ind w:firstLine="8"/>
        <w:spacing w:after="0" w:line="260" w:lineRule="auto"/>
        <w:tabs>
          <w:tab w:leader="none" w:pos="20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40" w:right="20" w:firstLine="5"/>
        <w:spacing w:after="0" w:line="260" w:lineRule="auto"/>
        <w:tabs>
          <w:tab w:leader="none" w:pos="1317"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40" w:right="20" w:firstLine="5"/>
        <w:spacing w:after="0" w:line="242" w:lineRule="auto"/>
        <w:tabs>
          <w:tab w:leader="none" w:pos="1296"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400" w:type="dxa"/>
            <w:vAlign w:val="bottom"/>
          </w:tcPr>
          <w:p>
            <w:pPr>
              <w:spacing w:after="0"/>
              <w:rPr>
                <w:sz w:val="20"/>
                <w:szCs w:val="20"/>
                <w:color w:val="auto"/>
              </w:rPr>
            </w:pPr>
            <w:r>
              <w:rPr>
                <w:rFonts w:ascii="Arial" w:cs="Arial" w:eastAsia="Arial" w:hAnsi="Arial"/>
                <w:sz w:val="16"/>
                <w:szCs w:val="16"/>
                <w:color w:val="auto"/>
              </w:rPr>
              <w:t>Date: November 8, 2022</w:t>
            </w:r>
          </w:p>
        </w:tc>
        <w:tc>
          <w:tcPr>
            <w:tcW w:w="2700" w:type="dxa"/>
            <w:vAlign w:val="bottom"/>
          </w:tcPr>
          <w:p>
            <w:pPr>
              <w:ind w:left="1620"/>
              <w:spacing w:after="0"/>
              <w:rPr>
                <w:sz w:val="20"/>
                <w:szCs w:val="20"/>
                <w:color w:val="auto"/>
              </w:rPr>
            </w:pPr>
            <w:r>
              <w:rPr>
                <w:rFonts w:ascii="Arial" w:cs="Arial" w:eastAsia="Arial" w:hAnsi="Arial"/>
                <w:sz w:val="16"/>
                <w:szCs w:val="16"/>
                <w:color w:val="auto"/>
              </w:rPr>
              <w:t>By:</w:t>
            </w:r>
          </w:p>
        </w:tc>
        <w:tc>
          <w:tcPr>
            <w:tcW w:w="476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700" w:type="dxa"/>
            <w:vAlign w:val="bottom"/>
            <w:vMerge w:val="restart"/>
          </w:tcPr>
          <w:p>
            <w:pPr>
              <w:ind w:left="1620"/>
              <w:spacing w:after="0"/>
              <w:rPr>
                <w:sz w:val="20"/>
                <w:szCs w:val="20"/>
                <w:color w:val="auto"/>
              </w:rPr>
            </w:pPr>
            <w:r>
              <w:rPr>
                <w:rFonts w:ascii="Arial" w:cs="Arial" w:eastAsia="Arial" w:hAnsi="Arial"/>
                <w:sz w:val="16"/>
                <w:szCs w:val="16"/>
                <w:color w:val="auto"/>
              </w:rPr>
              <w:t>Name: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2"/>
                <w:szCs w:val="22"/>
                <w:color w:val="auto"/>
              </w:rPr>
            </w:pPr>
          </w:p>
        </w:tc>
        <w:tc>
          <w:tcPr>
            <w:tcW w:w="2700" w:type="dxa"/>
            <w:vAlign w:val="bottom"/>
          </w:tcPr>
          <w:p>
            <w:pPr>
              <w:ind w:left="1620"/>
              <w:spacing w:after="0"/>
              <w:rPr>
                <w:sz w:val="20"/>
                <w:szCs w:val="20"/>
                <w:color w:val="auto"/>
              </w:rPr>
            </w:pPr>
            <w:r>
              <w:rPr>
                <w:rFonts w:ascii="Arial" w:cs="Arial" w:eastAsia="Arial" w:hAnsi="Arial"/>
                <w:sz w:val="16"/>
                <w:szCs w:val="16"/>
                <w:color w:val="auto"/>
              </w:rPr>
              <w:t>Title:</w:t>
            </w:r>
          </w:p>
        </w:tc>
        <w:tc>
          <w:tcPr>
            <w:tcW w:w="476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76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6"/>
          <w:szCs w:val="16"/>
          <w:b w:val="1"/>
          <w:bCs w:val="1"/>
          <w:color w:val="auto"/>
        </w:rPr>
        <w:t>Exhibit 31.2</w:t>
      </w:r>
    </w:p>
    <w:p>
      <w:pPr>
        <w:spacing w:after="0" w:line="329"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7"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ind w:left="2320"/>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Nicholas B. Hawkins, certify that:</w:t>
      </w:r>
    </w:p>
    <w:p>
      <w:pPr>
        <w:spacing w:after="0" w:line="248" w:lineRule="exact"/>
        <w:rPr>
          <w:sz w:val="20"/>
          <w:szCs w:val="20"/>
          <w:color w:val="auto"/>
        </w:rPr>
      </w:pPr>
    </w:p>
    <w:p>
      <w:pPr>
        <w:ind w:left="180" w:hanging="172"/>
        <w:spacing w:after="0"/>
        <w:tabs>
          <w:tab w:leader="none" w:pos="1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60" w:lineRule="auto"/>
        <w:tabs>
          <w:tab w:leader="none" w:pos="20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6"/>
          <w:szCs w:val="16"/>
          <w:color w:val="auto"/>
        </w:rPr>
      </w:pPr>
    </w:p>
    <w:p>
      <w:pPr>
        <w:ind w:right="20" w:firstLine="8"/>
        <w:spacing w:after="0" w:line="260" w:lineRule="auto"/>
        <w:tabs>
          <w:tab w:leader="none" w:pos="18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firstLine="8"/>
        <w:spacing w:after="0" w:line="260" w:lineRule="auto"/>
        <w:tabs>
          <w:tab w:leader="none" w:pos="18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95" w:lineRule="exact"/>
        <w:rPr>
          <w:rFonts w:ascii="Arial" w:cs="Arial" w:eastAsia="Arial" w:hAnsi="Arial"/>
          <w:sz w:val="16"/>
          <w:szCs w:val="16"/>
          <w:color w:val="auto"/>
        </w:rPr>
      </w:pPr>
    </w:p>
    <w:p>
      <w:pPr>
        <w:jc w:val="both"/>
        <w:ind w:left="1040" w:firstLine="5"/>
        <w:spacing w:after="0" w:line="244" w:lineRule="auto"/>
        <w:tabs>
          <w:tab w:leader="none" w:pos="1323" w:val="left"/>
        </w:tabs>
        <w:numPr>
          <w:ilvl w:val="1"/>
          <w:numId w:val="1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6"/>
          <w:szCs w:val="16"/>
          <w:color w:val="auto"/>
        </w:rPr>
      </w:pPr>
    </w:p>
    <w:p>
      <w:pPr>
        <w:jc w:val="both"/>
        <w:ind w:left="1040" w:firstLine="5"/>
        <w:spacing w:after="0" w:line="253" w:lineRule="auto"/>
        <w:tabs>
          <w:tab w:leader="none" w:pos="1296" w:val="left"/>
        </w:tabs>
        <w:numPr>
          <w:ilvl w:val="1"/>
          <w:numId w:val="1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6"/>
          <w:szCs w:val="16"/>
          <w:color w:val="auto"/>
        </w:rPr>
      </w:pPr>
    </w:p>
    <w:p>
      <w:pPr>
        <w:ind w:left="1040" w:firstLine="5"/>
        <w:spacing w:after="0" w:line="260" w:lineRule="auto"/>
        <w:tabs>
          <w:tab w:leader="none" w:pos="1286" w:val="left"/>
        </w:tabs>
        <w:numPr>
          <w:ilvl w:val="1"/>
          <w:numId w:val="1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jc w:val="both"/>
        <w:ind w:left="1040" w:firstLine="5"/>
        <w:spacing w:after="0" w:line="253" w:lineRule="auto"/>
        <w:tabs>
          <w:tab w:leader="none" w:pos="130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6"/>
          <w:szCs w:val="16"/>
          <w:color w:val="auto"/>
        </w:rPr>
      </w:pPr>
    </w:p>
    <w:p>
      <w:pPr>
        <w:ind w:firstLine="8"/>
        <w:spacing w:after="0" w:line="260" w:lineRule="auto"/>
        <w:tabs>
          <w:tab w:leader="none" w:pos="20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40" w:right="20" w:firstLine="5"/>
        <w:spacing w:after="0" w:line="260" w:lineRule="auto"/>
        <w:tabs>
          <w:tab w:leader="none" w:pos="1317"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40" w:right="20" w:firstLine="5"/>
        <w:spacing w:after="0" w:line="242" w:lineRule="auto"/>
        <w:tabs>
          <w:tab w:leader="none" w:pos="1296"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520" w:type="dxa"/>
            <w:vAlign w:val="bottom"/>
          </w:tcPr>
          <w:p>
            <w:pPr>
              <w:spacing w:after="0"/>
              <w:rPr>
                <w:sz w:val="20"/>
                <w:szCs w:val="20"/>
                <w:color w:val="auto"/>
              </w:rPr>
            </w:pPr>
            <w:r>
              <w:rPr>
                <w:rFonts w:ascii="Arial" w:cs="Arial" w:eastAsia="Arial" w:hAnsi="Arial"/>
                <w:sz w:val="16"/>
                <w:szCs w:val="16"/>
                <w:color w:val="auto"/>
              </w:rPr>
              <w:t>Date: November 8, 2022</w:t>
            </w:r>
          </w:p>
        </w:tc>
        <w:tc>
          <w:tcPr>
            <w:tcW w:w="2840" w:type="dxa"/>
            <w:vAlign w:val="bottom"/>
          </w:tcPr>
          <w:p>
            <w:pPr>
              <w:ind w:left="1780"/>
              <w:spacing w:after="0"/>
              <w:rPr>
                <w:sz w:val="20"/>
                <w:szCs w:val="20"/>
                <w:color w:val="auto"/>
              </w:rPr>
            </w:pPr>
            <w:r>
              <w:rPr>
                <w:rFonts w:ascii="Arial" w:cs="Arial" w:eastAsia="Arial" w:hAnsi="Arial"/>
                <w:sz w:val="16"/>
                <w:szCs w:val="16"/>
                <w:color w:val="auto"/>
              </w:rPr>
              <w:t>By:</w:t>
            </w:r>
          </w:p>
        </w:tc>
        <w:tc>
          <w:tcPr>
            <w:tcW w:w="484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840" w:type="dxa"/>
            <w:vAlign w:val="bottom"/>
            <w:vMerge w:val="restart"/>
          </w:tcPr>
          <w:p>
            <w:pPr>
              <w:ind w:left="1780"/>
              <w:spacing w:after="0"/>
              <w:rPr>
                <w:sz w:val="20"/>
                <w:szCs w:val="20"/>
                <w:color w:val="auto"/>
              </w:rPr>
            </w:pPr>
            <w:r>
              <w:rPr>
                <w:rFonts w:ascii="Arial" w:cs="Arial" w:eastAsia="Arial" w:hAnsi="Arial"/>
                <w:sz w:val="16"/>
                <w:szCs w:val="16"/>
                <w:color w:val="auto"/>
              </w:rPr>
              <w:t>Name:</w:t>
            </w:r>
          </w:p>
        </w:tc>
        <w:tc>
          <w:tcPr>
            <w:tcW w:w="4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2840" w:type="dxa"/>
            <w:vAlign w:val="bottom"/>
            <w:vMerge w:val="continue"/>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6"/>
        </w:trPr>
        <w:tc>
          <w:tcPr>
            <w:tcW w:w="3520" w:type="dxa"/>
            <w:vAlign w:val="bottom"/>
          </w:tcPr>
          <w:p>
            <w:pPr>
              <w:spacing w:after="0"/>
              <w:rPr>
                <w:sz w:val="22"/>
                <w:szCs w:val="22"/>
                <w:color w:val="auto"/>
              </w:rPr>
            </w:pPr>
          </w:p>
        </w:tc>
        <w:tc>
          <w:tcPr>
            <w:tcW w:w="2840" w:type="dxa"/>
            <w:vAlign w:val="bottom"/>
          </w:tcPr>
          <w:p>
            <w:pPr>
              <w:ind w:left="1780"/>
              <w:spacing w:after="0"/>
              <w:rPr>
                <w:sz w:val="20"/>
                <w:szCs w:val="20"/>
                <w:color w:val="auto"/>
              </w:rPr>
            </w:pPr>
            <w:r>
              <w:rPr>
                <w:rFonts w:ascii="Arial" w:cs="Arial" w:eastAsia="Arial" w:hAnsi="Arial"/>
                <w:sz w:val="16"/>
                <w:szCs w:val="16"/>
                <w:color w:val="auto"/>
              </w:rPr>
              <w:t>Title:</w:t>
            </w:r>
          </w:p>
        </w:tc>
        <w:tc>
          <w:tcPr>
            <w:tcW w:w="484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84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7"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September 30, 2022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40" w:firstLine="5"/>
        <w:spacing w:after="0" w:line="242" w:lineRule="auto"/>
        <w:tabs>
          <w:tab w:leader="none" w:pos="131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209" w:lineRule="exact"/>
        <w:rPr>
          <w:rFonts w:ascii="Arial" w:cs="Arial" w:eastAsia="Arial" w:hAnsi="Arial"/>
          <w:sz w:val="16"/>
          <w:szCs w:val="16"/>
          <w:color w:val="auto"/>
        </w:rPr>
      </w:pPr>
    </w:p>
    <w:p>
      <w:pPr>
        <w:ind w:left="1040" w:firstLine="5"/>
        <w:spacing w:after="0" w:line="260" w:lineRule="auto"/>
        <w:tabs>
          <w:tab w:leader="none" w:pos="130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140" w:type="dxa"/>
            <w:vAlign w:val="bottom"/>
          </w:tcPr>
          <w:p>
            <w:pPr>
              <w:spacing w:after="0"/>
              <w:rPr>
                <w:sz w:val="20"/>
                <w:szCs w:val="20"/>
                <w:color w:val="auto"/>
              </w:rPr>
            </w:pPr>
            <w:r>
              <w:rPr>
                <w:rFonts w:ascii="Arial" w:cs="Arial" w:eastAsia="Arial" w:hAnsi="Arial"/>
                <w:sz w:val="16"/>
                <w:szCs w:val="16"/>
                <w:color w:val="auto"/>
              </w:rPr>
              <w:t>Date: November 8, 2022</w:t>
            </w:r>
          </w:p>
        </w:tc>
        <w:tc>
          <w:tcPr>
            <w:tcW w:w="2600" w:type="dxa"/>
            <w:vAlign w:val="bottom"/>
          </w:tcPr>
          <w:p>
            <w:pPr>
              <w:ind w:left="1380"/>
              <w:spacing w:after="0"/>
              <w:rPr>
                <w:sz w:val="20"/>
                <w:szCs w:val="20"/>
                <w:color w:val="auto"/>
              </w:rPr>
            </w:pPr>
            <w:r>
              <w:rPr>
                <w:rFonts w:ascii="Arial" w:cs="Arial" w:eastAsia="Arial" w:hAnsi="Arial"/>
                <w:sz w:val="16"/>
                <w:szCs w:val="16"/>
                <w:color w:val="auto"/>
              </w:rPr>
              <w:t>By:</w:t>
            </w:r>
          </w:p>
        </w:tc>
        <w:tc>
          <w:tcPr>
            <w:tcW w:w="470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2600" w:type="dxa"/>
            <w:vAlign w:val="bottom"/>
            <w:vMerge w:val="restart"/>
          </w:tcPr>
          <w:p>
            <w:pPr>
              <w:ind w:left="1380"/>
              <w:spacing w:after="0"/>
              <w:rPr>
                <w:sz w:val="20"/>
                <w:szCs w:val="20"/>
                <w:color w:val="auto"/>
              </w:rPr>
            </w:pPr>
            <w:r>
              <w:rPr>
                <w:rFonts w:ascii="Arial" w:cs="Arial" w:eastAsia="Arial" w:hAnsi="Arial"/>
                <w:sz w:val="16"/>
                <w:szCs w:val="16"/>
                <w:color w:val="auto"/>
              </w:rPr>
              <w:t>Name:</w:t>
            </w: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spacing w:after="0"/>
              <w:rPr>
                <w:sz w:val="18"/>
                <w:szCs w:val="18"/>
                <w:color w:val="auto"/>
              </w:rPr>
            </w:pPr>
          </w:p>
        </w:tc>
        <w:tc>
          <w:tcPr>
            <w:tcW w:w="2600" w:type="dxa"/>
            <w:vAlign w:val="bottom"/>
            <w:vMerge w:val="continue"/>
          </w:tcPr>
          <w:p>
            <w:pPr>
              <w:spacing w:after="0"/>
              <w:rPr>
                <w:sz w:val="18"/>
                <w:szCs w:val="18"/>
                <w:color w:val="auto"/>
              </w:rPr>
            </w:pPr>
          </w:p>
        </w:tc>
        <w:tc>
          <w:tcPr>
            <w:tcW w:w="470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00" w:type="dxa"/>
            <w:vAlign w:val="bottom"/>
          </w:tcPr>
          <w:p>
            <w:pPr>
              <w:ind w:left="1380"/>
              <w:spacing w:after="0"/>
              <w:rPr>
                <w:sz w:val="20"/>
                <w:szCs w:val="20"/>
                <w:color w:val="auto"/>
              </w:rPr>
            </w:pPr>
            <w:r>
              <w:rPr>
                <w:rFonts w:ascii="Arial" w:cs="Arial" w:eastAsia="Arial" w:hAnsi="Arial"/>
                <w:sz w:val="16"/>
                <w:szCs w:val="16"/>
                <w:color w:val="auto"/>
              </w:rPr>
              <w:t>Title:</w:t>
            </w:r>
          </w:p>
        </w:tc>
        <w:tc>
          <w:tcPr>
            <w:tcW w:w="470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70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04"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7"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September 30, 2022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40" w:firstLine="5"/>
        <w:spacing w:after="0" w:line="242" w:lineRule="auto"/>
        <w:tabs>
          <w:tab w:leader="none" w:pos="131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209" w:lineRule="exact"/>
        <w:rPr>
          <w:rFonts w:ascii="Arial" w:cs="Arial" w:eastAsia="Arial" w:hAnsi="Arial"/>
          <w:sz w:val="16"/>
          <w:szCs w:val="16"/>
          <w:color w:val="auto"/>
        </w:rPr>
      </w:pPr>
    </w:p>
    <w:p>
      <w:pPr>
        <w:ind w:left="1040" w:firstLine="5"/>
        <w:spacing w:after="0" w:line="260" w:lineRule="auto"/>
        <w:tabs>
          <w:tab w:leader="none" w:pos="130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140" w:type="dxa"/>
            <w:vAlign w:val="bottom"/>
          </w:tcPr>
          <w:p>
            <w:pPr>
              <w:spacing w:after="0"/>
              <w:rPr>
                <w:sz w:val="20"/>
                <w:szCs w:val="20"/>
                <w:color w:val="auto"/>
              </w:rPr>
            </w:pPr>
            <w:r>
              <w:rPr>
                <w:rFonts w:ascii="Arial" w:cs="Arial" w:eastAsia="Arial" w:hAnsi="Arial"/>
                <w:sz w:val="16"/>
                <w:szCs w:val="16"/>
                <w:color w:val="auto"/>
              </w:rPr>
              <w:t>Date: November 8, 2022</w:t>
            </w:r>
          </w:p>
        </w:tc>
        <w:tc>
          <w:tcPr>
            <w:tcW w:w="2600" w:type="dxa"/>
            <w:vAlign w:val="bottom"/>
          </w:tcPr>
          <w:p>
            <w:pPr>
              <w:ind w:left="1380"/>
              <w:spacing w:after="0"/>
              <w:rPr>
                <w:sz w:val="20"/>
                <w:szCs w:val="20"/>
                <w:color w:val="auto"/>
              </w:rPr>
            </w:pPr>
            <w:r>
              <w:rPr>
                <w:rFonts w:ascii="Arial" w:cs="Arial" w:eastAsia="Arial" w:hAnsi="Arial"/>
                <w:sz w:val="16"/>
                <w:szCs w:val="16"/>
                <w:color w:val="auto"/>
              </w:rPr>
              <w:t>By:</w:t>
            </w:r>
          </w:p>
        </w:tc>
        <w:tc>
          <w:tcPr>
            <w:tcW w:w="538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2600" w:type="dxa"/>
            <w:vAlign w:val="bottom"/>
            <w:vMerge w:val="restart"/>
          </w:tcPr>
          <w:p>
            <w:pPr>
              <w:ind w:left="1380"/>
              <w:spacing w:after="0"/>
              <w:rPr>
                <w:sz w:val="20"/>
                <w:szCs w:val="20"/>
                <w:color w:val="auto"/>
              </w:rPr>
            </w:pPr>
            <w:r>
              <w:rPr>
                <w:rFonts w:ascii="Arial" w:cs="Arial" w:eastAsia="Arial" w:hAnsi="Arial"/>
                <w:sz w:val="16"/>
                <w:szCs w:val="16"/>
                <w:color w:val="auto"/>
              </w:rPr>
              <w:t>Name:</w:t>
            </w:r>
          </w:p>
        </w:tc>
        <w:tc>
          <w:tcPr>
            <w:tcW w:w="5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spacing w:after="0"/>
              <w:rPr>
                <w:sz w:val="18"/>
                <w:szCs w:val="18"/>
                <w:color w:val="auto"/>
              </w:rPr>
            </w:pPr>
          </w:p>
        </w:tc>
        <w:tc>
          <w:tcPr>
            <w:tcW w:w="2600" w:type="dxa"/>
            <w:vAlign w:val="bottom"/>
            <w:vMerge w:val="continue"/>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2"/>
                <w:szCs w:val="22"/>
                <w:color w:val="auto"/>
              </w:rPr>
            </w:pPr>
          </w:p>
        </w:tc>
        <w:tc>
          <w:tcPr>
            <w:tcW w:w="2600" w:type="dxa"/>
            <w:vAlign w:val="bottom"/>
          </w:tcPr>
          <w:p>
            <w:pPr>
              <w:ind w:left="1380"/>
              <w:spacing w:after="0"/>
              <w:rPr>
                <w:sz w:val="20"/>
                <w:szCs w:val="20"/>
                <w:color w:val="auto"/>
              </w:rPr>
            </w:pPr>
            <w:r>
              <w:rPr>
                <w:rFonts w:ascii="Arial" w:cs="Arial" w:eastAsia="Arial" w:hAnsi="Arial"/>
                <w:sz w:val="16"/>
                <w:szCs w:val="16"/>
                <w:color w:val="auto"/>
              </w:rPr>
              <w:t>Title:</w:t>
            </w:r>
          </w:p>
        </w:tc>
        <w:tc>
          <w:tcPr>
            <w:tcW w:w="538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94211F2"/>
    <w:multiLevelType w:val="hybridMultilevel"/>
    <w:lvl w:ilvl="0">
      <w:lvlJc w:val="left"/>
      <w:lvlText w:val="x"/>
      <w:numFmt w:val="bullet"/>
      <w:start w:val="1"/>
    </w:lvl>
  </w:abstractNum>
  <w:abstractNum w:abstractNumId="1">
    <w:nsid w:val="885E1B"/>
    <w:multiLevelType w:val="hybridMultilevel"/>
    <w:lvl w:ilvl="0">
      <w:lvlJc w:val="left"/>
      <w:lvlText w:val="o"/>
      <w:numFmt w:val="bullet"/>
      <w:start w:val="1"/>
    </w:lvl>
  </w:abstractNum>
  <w:abstractNum w:abstractNumId="2">
    <w:nsid w:val="76272110"/>
    <w:multiLevelType w:val="hybridMultilevel"/>
    <w:lvl w:ilvl="0">
      <w:lvlJc w:val="left"/>
      <w:lvlText w:val="%1."/>
      <w:numFmt w:val="decimal"/>
      <w:start w:val="1"/>
    </w:lvl>
  </w:abstractNum>
  <w:abstractNum w:abstractNumId="3">
    <w:nsid w:val="4C04A8AF"/>
    <w:multiLevelType w:val="hybridMultilevel"/>
    <w:lvl w:ilvl="0">
      <w:lvlJc w:val="left"/>
      <w:lvlText w:val="%1."/>
      <w:numFmt w:val="decimal"/>
      <w:start w:val="2"/>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1."/>
      <w:numFmt w:val="decimal"/>
      <w:start w:val="3"/>
    </w:lvl>
  </w:abstractNum>
  <w:abstractNum w:abstractNumId="6">
    <w:nsid w:val="3222E7CD"/>
    <w:multiLevelType w:val="hybridMultilevel"/>
    <w:lvl w:ilvl="0">
      <w:lvlJc w:val="left"/>
      <w:lvlText w:val="%1."/>
      <w:numFmt w:val="decimal"/>
      <w:start w:val="4"/>
    </w:lvl>
  </w:abstractNum>
  <w:abstractNum w:abstractNumId="7">
    <w:nsid w:val="74DE0EE3"/>
    <w:multiLevelType w:val="hybridMultilevel"/>
    <w:lvl w:ilvl="0">
      <w:lvlJc w:val="left"/>
      <w:lvlText w:val="%1."/>
      <w:numFmt w:val="decimal"/>
      <w:start w:val="5"/>
    </w:lvl>
  </w:abstractNum>
  <w:abstractNum w:abstractNumId="8">
    <w:nsid w:val="68EBC550"/>
    <w:multiLevelType w:val="hybridMultilevel"/>
    <w:lvl w:ilvl="0">
      <w:lvlJc w:val="left"/>
      <w:lvlText w:val="%1."/>
      <w:numFmt w:val="decimal"/>
      <w:start w:val="6"/>
    </w:lvl>
  </w:abstractNum>
  <w:abstractNum w:abstractNumId="9">
    <w:nsid w:val="2DF6D648"/>
    <w:multiLevelType w:val="hybridMultilevel"/>
    <w:lvl w:ilvl="0">
      <w:lvlJc w:val="left"/>
      <w:lvlText w:val="%1."/>
      <w:numFmt w:val="decimal"/>
      <w:start w:val="7"/>
    </w:lvl>
  </w:abstractNum>
  <w:abstractNum w:abstractNumId="10">
    <w:nsid w:val="46B7D447"/>
    <w:multiLevelType w:val="hybridMultilevel"/>
    <w:lvl w:ilvl="0">
      <w:lvlJc w:val="left"/>
      <w:lvlText w:val="%1."/>
      <w:numFmt w:val="decimal"/>
      <w:start w:val="8"/>
    </w:lvl>
  </w:abstractNum>
  <w:abstractNum w:abstractNumId="11">
    <w:nsid w:val="4A2AC315"/>
    <w:multiLevelType w:val="hybridMultilevel"/>
    <w:lvl w:ilvl="0">
      <w:lvlJc w:val="left"/>
      <w:lvlText w:val="%1."/>
      <w:numFmt w:val="decimal"/>
      <w:start w:val="9"/>
    </w:lvl>
  </w:abstractNum>
  <w:abstractNum w:abstractNumId="12">
    <w:nsid w:val="39EE015C"/>
    <w:multiLevelType w:val="hybridMultilevel"/>
    <w:lvl w:ilvl="0">
      <w:lvlJc w:val="left"/>
      <w:lvlText w:val="%1."/>
      <w:numFmt w:val="decimal"/>
      <w:start w:val="10"/>
    </w:lvl>
  </w:abstractNum>
  <w:abstractNum w:abstractNumId="13">
    <w:nsid w:val="57FC4FBB"/>
    <w:multiLevelType w:val="hybridMultilevel"/>
    <w:lvl w:ilvl="0">
      <w:lvlJc w:val="left"/>
      <w:lvlText w:val="%1."/>
      <w:numFmt w:val="decimal"/>
      <w:start w:val="11"/>
    </w:lvl>
  </w:abstractNum>
  <w:abstractNum w:abstractNumId="14">
    <w:nsid w:val="CC1016F"/>
    <w:multiLevelType w:val="hybridMultilevel"/>
    <w:lvl w:ilvl="0">
      <w:lvlJc w:val="left"/>
      <w:lvlText w:val="%1."/>
      <w:numFmt w:val="decimal"/>
      <w:start w:val="12"/>
    </w:lvl>
  </w:abstractNum>
  <w:abstractNum w:abstractNumId="15">
    <w:nsid w:val="43F18422"/>
    <w:multiLevelType w:val="hybridMultilevel"/>
    <w:lvl w:ilvl="0">
      <w:lvlJc w:val="left"/>
      <w:lvlText w:val="%1."/>
      <w:numFmt w:val="decimal"/>
      <w:start w:val="13"/>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
      <w:numFmt w:val="bullet"/>
      <w:start w:val="1"/>
    </w:lvl>
  </w:abstractNum>
  <w:abstractNum w:abstractNumId="26">
    <w:nsid w:val="7672BD23"/>
    <w:multiLevelType w:val="hybridMultilevel"/>
    <w:lvl w:ilvl="0">
      <w:lvlJc w:val="left"/>
      <w:lvlText w:val="■"/>
      <w:numFmt w:val="bullet"/>
      <w:start w:val="1"/>
    </w:lvl>
  </w:abstractNum>
  <w:abstractNum w:abstractNumId="27">
    <w:nsid w:val="6FC75AF8"/>
    <w:multiLevelType w:val="hybridMultilevel"/>
    <w:lvl w:ilvl="0">
      <w:lvlJc w:val="left"/>
      <w:lvlText w:val="■"/>
      <w:numFmt w:val="bullet"/>
      <w:start w:val="1"/>
    </w:lvl>
  </w:abstractNum>
  <w:abstractNum w:abstractNumId="28">
    <w:nsid w:val="6A5F7029"/>
    <w:multiLevelType w:val="hybridMultilevel"/>
    <w:lvl w:ilvl="0">
      <w:lvlJc w:val="left"/>
      <w:lvlText w:val="(%1)"/>
      <w:numFmt w:val="lowerRoman"/>
      <w:start w:val="3"/>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
      <w:numFmt w:val="bullet"/>
      <w:start w:val="1"/>
    </w:lvl>
  </w:abstractNum>
  <w:abstractNum w:abstractNumId="33">
    <w:nsid w:val="555C55B5"/>
    <w:multiLevelType w:val="hybridMultilevel"/>
    <w:lvl w:ilvl="0">
      <w:lvlJc w:val="left"/>
      <w:lvlText w:val="■"/>
      <w:numFmt w:val="bullet"/>
      <w:start w:val="1"/>
    </w:lvl>
  </w:abstractNum>
  <w:abstractNum w:abstractNumId="34">
    <w:nsid w:val="3FA62ACA"/>
    <w:multiLevelType w:val="hybridMultilevel"/>
    <w:lvl w:ilvl="0">
      <w:lvlJc w:val="left"/>
      <w:lvlText w:val="■"/>
      <w:numFmt w:val="bullet"/>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1)"/>
      <w:numFmt w:val="lowerLetter"/>
      <w:start w:val="1"/>
    </w:lvl>
    <w:lvl w:ilvl="1">
      <w:lvlJc w:val="left"/>
      <w:lvlText w:val="(%2)"/>
      <w:numFmt w:val="lowerLetter"/>
      <w:start w:val="2"/>
    </w:lvl>
  </w:abstractNum>
  <w:abstractNum w:abstractNumId="39">
    <w:nsid w:val="53299938"/>
    <w:multiLevelType w:val="hybridMultilevel"/>
    <w:lvl w:ilvl="0">
      <w:lvlJc w:val="left"/>
      <w:lvlText w:val="(%1)"/>
      <w:numFmt w:val="lowerLetter"/>
      <w:start w:val="3"/>
    </w:lvl>
  </w:abstractNum>
  <w:abstractNum w:abstractNumId="40">
    <w:nsid w:val="1FBFE8E0"/>
    <w:multiLevelType w:val="hybridMultilevel"/>
    <w:lvl w:ilvl="0">
      <w:lvlJc w:val="left"/>
      <w:lvlText w:val="(%1)"/>
      <w:numFmt w:val="lowerLetter"/>
      <w:start w:val="1"/>
    </w:lvl>
  </w:abstractNum>
  <w:abstractNum w:abstractNumId="41">
    <w:nsid w:val="5092CA79"/>
    <w:multiLevelType w:val="hybridMultilevel"/>
    <w:lvl w:ilvl="0">
      <w:lvlJc w:val="left"/>
      <w:lvlText w:val="(%1)"/>
      <w:numFmt w:val="lowerLetter"/>
      <w:start w:val="2"/>
    </w:lvl>
  </w:abstractNum>
  <w:abstractNum w:abstractNumId="42">
    <w:nsid w:val="1D545C4D"/>
    <w:multiLevelType w:val="hybridMultilevel"/>
    <w:lvl w:ilvl="0">
      <w:lvlJc w:val="left"/>
      <w:lvlText w:val="(%1)"/>
      <w:numFmt w:val="lowerLetter"/>
      <w:start w:val="1"/>
    </w:lvl>
  </w:abstractNum>
  <w:abstractNum w:abstractNumId="43">
    <w:nsid w:val="59ADEA3D"/>
    <w:multiLevelType w:val="hybridMultilevel"/>
    <w:lvl w:ilvl="0">
      <w:lvlJc w:val="left"/>
      <w:lvlText w:val="(%1)"/>
      <w:numFmt w:val="lowerLetter"/>
      <w:start w:val="1"/>
    </w:lvl>
  </w:abstractNum>
  <w:abstractNum w:abstractNumId="44">
    <w:nsid w:val="288F1A34"/>
    <w:multiLevelType w:val="hybridMultilevel"/>
    <w:lvl w:ilvl="0">
      <w:lvlJc w:val="left"/>
      <w:lvlText w:val="%1"/>
      <w:numFmt w:val="lowerLetter"/>
      <w:start w:val="1"/>
    </w:lvl>
    <w:lvl w:ilvl="1">
      <w:lvlJc w:val="left"/>
      <w:lvlText w:val="(%2)"/>
      <w:numFmt w:val="lowerLetter"/>
      <w:start w:val="4"/>
    </w:lvl>
  </w:abstractNum>
  <w:abstractNum w:abstractNumId="45">
    <w:nsid w:val="2A155DBC"/>
    <w:multiLevelType w:val="hybridMultilevel"/>
    <w:lvl w:ilvl="0">
      <w:lvlJc w:val="left"/>
      <w:lvlText w:val="(%1)"/>
      <w:numFmt w:val="lowerLetter"/>
      <w:start w:val="5"/>
    </w:lvl>
    <w:lvl w:ilvl="1">
      <w:lvlJc w:val="left"/>
      <w:lvlText w:val="%2"/>
      <w:numFmt w:val="lowerLetter"/>
      <w:start w:val="1"/>
    </w:lvl>
  </w:abstractNum>
  <w:abstractNum w:abstractNumId="46">
    <w:nsid w:val="1D9F6E5F"/>
    <w:multiLevelType w:val="hybridMultilevel"/>
    <w:lvl w:ilvl="0">
      <w:lvlJc w:val="left"/>
      <w:lvlText w:val="(%1)"/>
      <w:numFmt w:val="lowerLetter"/>
      <w:start w:val="8"/>
    </w:lvl>
  </w:abstractNum>
  <w:abstractNum w:abstractNumId="47">
    <w:nsid w:val="97E1B4E"/>
    <w:multiLevelType w:val="hybridMultilevel"/>
    <w:lvl w:ilvl="0">
      <w:lvlJc w:val="left"/>
      <w:lvlText w:val="(%1)"/>
      <w:numFmt w:val="lowerLetter"/>
      <w:start w:val="12"/>
    </w:lvl>
  </w:abstractNum>
  <w:abstractNum w:abstractNumId="48">
    <w:nsid w:val="51088277"/>
    <w:multiLevelType w:val="hybridMultilevel"/>
    <w:lvl w:ilvl="0">
      <w:lvlJc w:val="left"/>
      <w:lvlText w:val="(%1)"/>
      <w:numFmt w:val="lowerLetter"/>
      <w:start w:val="16"/>
    </w:lvl>
  </w:abstractNum>
  <w:abstractNum w:abstractNumId="49">
    <w:nsid w:val="1CA0C5FA"/>
    <w:multiLevelType w:val="hybridMultilevel"/>
    <w:lvl w:ilvl="0">
      <w:lvlJc w:val="left"/>
      <w:lvlText w:val="(%1)"/>
      <w:numFmt w:val="lowerLetter"/>
      <w:start w:val="18"/>
    </w:lvl>
  </w:abstractNum>
  <w:abstractNum w:abstractNumId="50">
    <w:nsid w:val="53584BCB"/>
    <w:multiLevelType w:val="hybridMultilevel"/>
    <w:lvl w:ilvl="0">
      <w:lvlJc w:val="left"/>
      <w:lvlText w:val="(%1)"/>
      <w:numFmt w:val="lowerLetter"/>
      <w:start w:val="19"/>
    </w:lvl>
  </w:abstractNum>
  <w:abstractNum w:abstractNumId="51">
    <w:nsid w:val="415E286C"/>
    <w:multiLevelType w:val="hybridMultilevel"/>
    <w:lvl w:ilvl="0">
      <w:lvlJc w:val="left"/>
      <w:lvlText w:val="(%1)"/>
      <w:numFmt w:val="lowerLetter"/>
      <w:start w:val="25"/>
    </w:lvl>
  </w:abstractNum>
  <w:abstractNum w:abstractNumId="52">
    <w:nsid w:val="7C58FD05"/>
    <w:multiLevelType w:val="hybridMultilevel"/>
    <w:lvl w:ilvl="0">
      <w:lvlJc w:val="left"/>
      <w:lvlText w:val="(%1)"/>
      <w:numFmt w:val="lowerLetter"/>
      <w:start w:val="26"/>
    </w:lvl>
  </w:abstractNum>
  <w:abstractNum w:abstractNumId="53">
    <w:nsid w:val="23D86AAC"/>
    <w:multiLevelType w:val="hybridMultilevel"/>
    <w:lvl w:ilvl="0">
      <w:lvlJc w:val="left"/>
      <w:lvlText w:val="(%1)"/>
      <w:numFmt w:val="lowerLetter"/>
      <w:start w:val="1"/>
    </w:lvl>
  </w:abstractNum>
  <w:abstractNum w:abstractNumId="54">
    <w:nsid w:val="45E6D486"/>
    <w:multiLevelType w:val="hybridMultilevel"/>
    <w:lvl w:ilvl="0">
      <w:lvlJc w:val="left"/>
      <w:lvlText w:val="(%1)"/>
      <w:numFmt w:val="lowerLetter"/>
      <w:start w:val="28"/>
    </w:lvl>
  </w:abstractNum>
  <w:abstractNum w:abstractNumId="55">
    <w:nsid w:val="5C10FE21"/>
    <w:multiLevelType w:val="hybridMultilevel"/>
    <w:lvl w:ilvl="0">
      <w:lvlJc w:val="left"/>
      <w:lvlText w:val="(%1)"/>
      <w:numFmt w:val="lowerLetter"/>
      <w:start w:val="29"/>
    </w:lvl>
  </w:abstractNum>
  <w:abstractNum w:abstractNumId="56">
    <w:nsid w:val="E7FFA2B"/>
    <w:multiLevelType w:val="hybridMultilevel"/>
    <w:lvl w:ilvl="0">
      <w:lvlJc w:val="left"/>
      <w:lvlText w:val="(%1)"/>
      <w:numFmt w:val="lowerLetter"/>
      <w:start w:val="1"/>
    </w:lvl>
  </w:abstractNum>
  <w:abstractNum w:abstractNumId="57">
    <w:nsid w:val="3C5991AA"/>
    <w:multiLevelType w:val="hybridMultilevel"/>
    <w:lvl w:ilvl="0">
      <w:lvlJc w:val="left"/>
      <w:lvlText w:val="(%1)"/>
      <w:numFmt w:val="lowerRoman"/>
      <w:start w:val="1"/>
    </w:lvl>
  </w:abstractNum>
  <w:abstractNum w:abstractNumId="58">
    <w:nsid w:val="4BD8591A"/>
    <w:multiLevelType w:val="hybridMultilevel"/>
    <w:lvl w:ilvl="0">
      <w:lvlJc w:val="left"/>
      <w:lvlText w:val="(%1)"/>
      <w:numFmt w:val="lowerLetter"/>
      <w:start w:val="3"/>
    </w:lvl>
  </w:abstractNum>
  <w:abstractNum w:abstractNumId="59">
    <w:nsid w:val="78DF6A55"/>
    <w:multiLevelType w:val="hybridMultilevel"/>
    <w:lvl w:ilvl="0">
      <w:lvlJc w:val="left"/>
      <w:lvlText w:val="(%1)"/>
      <w:numFmt w:val="lowerLetter"/>
      <w:start w:val="4"/>
    </w:lvl>
  </w:abstractNum>
  <w:abstractNum w:abstractNumId="60">
    <w:nsid w:val="39B7AAA2"/>
    <w:multiLevelType w:val="hybridMultilevel"/>
    <w:lvl w:ilvl="0">
      <w:lvlJc w:val="left"/>
      <w:lvlText w:val="(%1)"/>
      <w:numFmt w:val="lowerLetter"/>
      <w:start w:val="1"/>
    </w:lvl>
  </w:abstractNum>
  <w:abstractNum w:abstractNumId="61">
    <w:nsid w:val="2B0D8DBE"/>
    <w:multiLevelType w:val="hybridMultilevel"/>
    <w:lvl w:ilvl="0">
      <w:lvlJc w:val="left"/>
      <w:lvlText w:val="(%1)"/>
      <w:numFmt w:val="decimal"/>
      <w:start w:val="30"/>
    </w:lvl>
  </w:abstractNum>
  <w:abstractNum w:abstractNumId="62">
    <w:nsid w:val="6C80EC70"/>
    <w:multiLevelType w:val="hybridMultilevel"/>
    <w:lvl w:ilvl="0">
      <w:lvlJc w:val="left"/>
      <w:lvlText w:val="(%1)"/>
      <w:numFmt w:val="lowerLetter"/>
      <w:start w:val="3"/>
    </w:lvl>
  </w:abstractNum>
  <w:abstractNum w:abstractNumId="63">
    <w:nsid w:val="379E21B5"/>
    <w:multiLevelType w:val="hybridMultilevel"/>
    <w:lvl w:ilvl="0">
      <w:lvlJc w:val="left"/>
      <w:lvlText w:val="(%1)"/>
      <w:numFmt w:val="lowerLetter"/>
      <w:start w:val="6"/>
    </w:lvl>
  </w:abstractNum>
  <w:abstractNum w:abstractNumId="64">
    <w:nsid w:val="69E373"/>
    <w:multiLevelType w:val="hybridMultilevel"/>
    <w:lvl w:ilvl="0">
      <w:lvlJc w:val="left"/>
      <w:lvlText w:val="(%1)"/>
      <w:numFmt w:val="lowerLetter"/>
      <w:start w:val="8"/>
    </w:lvl>
  </w:abstractNum>
  <w:abstractNum w:abstractNumId="65">
    <w:nsid w:val="2C27173B"/>
    <w:multiLevelType w:val="hybridMultilevel"/>
    <w:lvl w:ilvl="0">
      <w:lvlJc w:val="left"/>
      <w:lvlText w:val="(%1)"/>
      <w:numFmt w:val="lowerLetter"/>
      <w:start w:val="11"/>
    </w:lvl>
  </w:abstractNum>
  <w:abstractNum w:abstractNumId="66">
    <w:nsid w:val="4C9B0904"/>
    <w:multiLevelType w:val="hybridMultilevel"/>
    <w:lvl w:ilvl="0">
      <w:lvlJc w:val="left"/>
      <w:lvlText w:val="(%1)"/>
      <w:numFmt w:val="lowerLetter"/>
      <w:start w:val="12"/>
    </w:lvl>
  </w:abstractNum>
  <w:abstractNum w:abstractNumId="67">
    <w:nsid w:val="6AA7B75C"/>
    <w:multiLevelType w:val="hybridMultilevel"/>
    <w:lvl w:ilvl="0">
      <w:lvlJc w:val="left"/>
      <w:lvlText w:val="(%1)"/>
      <w:numFmt w:val="lowerLetter"/>
      <w:start w:val="1"/>
    </w:lvl>
  </w:abstractNum>
  <w:abstractNum w:abstractNumId="68">
    <w:nsid w:val="1DF029D3"/>
    <w:multiLevelType w:val="hybridMultilevel"/>
    <w:lvl w:ilvl="0">
      <w:lvlJc w:val="left"/>
      <w:lvlText w:val="(%1)"/>
      <w:numFmt w:val="lowerLetter"/>
      <w:start w:val="1"/>
    </w:lvl>
  </w:abstractNum>
  <w:abstractNum w:abstractNumId="69">
    <w:nsid w:val="5675FF36"/>
    <w:multiLevelType w:val="hybridMultilevel"/>
    <w:lvl w:ilvl="0">
      <w:lvlJc w:val="left"/>
      <w:lvlText w:val="(%1)"/>
      <w:numFmt w:val="lowerLetter"/>
      <w:start w:val="1"/>
    </w:lvl>
  </w:abstractNum>
  <w:abstractNum w:abstractNumId="70">
    <w:nsid w:val="3DD15094"/>
    <w:multiLevelType w:val="hybridMultilevel"/>
    <w:lvl w:ilvl="0">
      <w:lvlJc w:val="left"/>
      <w:lvlText w:val="%1"/>
      <w:numFmt w:val="decimal"/>
      <w:start w:val="1"/>
    </w:lvl>
    <w:lvl w:ilvl="1">
      <w:lvlJc w:val="left"/>
      <w:lvlText w:val="(%2)"/>
      <w:numFmt w:val="lowerLetter"/>
      <w:start w:val="1"/>
    </w:lvl>
  </w:abstractNum>
  <w:abstractNum w:abstractNumId="71">
    <w:nsid w:val="3DB012B3"/>
    <w:multiLevelType w:val="hybridMultilevel"/>
    <w:lvl w:ilvl="0">
      <w:lvlJc w:val="left"/>
      <w:lvlText w:val="%1."/>
      <w:numFmt w:val="decimal"/>
      <w:start w:val="3"/>
    </w:lvl>
    <w:lvl w:ilvl="1">
      <w:lvlJc w:val="left"/>
      <w:lvlText w:val="%2"/>
      <w:numFmt w:val="lowerLetter"/>
      <w:start w:val="1"/>
    </w:lvl>
  </w:abstractNum>
  <w:abstractNum w:abstractNumId="72">
    <w:nsid w:val="2708C9AF"/>
    <w:multiLevelType w:val="hybridMultilevel"/>
    <w:lvl w:ilvl="0">
      <w:lvlJc w:val="left"/>
      <w:lvlText w:val="(%1)"/>
      <w:numFmt w:val="decimal"/>
      <w:start w:val="2"/>
    </w:lvl>
  </w:abstractNum>
  <w:abstractNum w:abstractNumId="73">
    <w:nsid w:val="5B25ACE2"/>
    <w:multiLevelType w:val="hybridMultilevel"/>
    <w:lvl w:ilvl="0">
      <w:lvlJc w:val="left"/>
      <w:lvlText w:val="(%1)"/>
      <w:numFmt w:val="lowerLetter"/>
      <w:start w:val="1"/>
    </w:lvl>
  </w:abstractNum>
  <w:abstractNum w:abstractNumId="74">
    <w:nsid w:val="175DFCF0"/>
    <w:multiLevelType w:val="hybridMultilevel"/>
    <w:lvl w:ilvl="0">
      <w:lvlJc w:val="left"/>
      <w:lvlText w:val="(%1)"/>
      <w:numFmt w:val="lowerLetter"/>
      <w:start w:val="4"/>
    </w:lvl>
  </w:abstractNum>
  <w:abstractNum w:abstractNumId="75">
    <w:nsid w:val="4F97E3E4"/>
    <w:multiLevelType w:val="hybridMultilevel"/>
    <w:lvl w:ilvl="0">
      <w:lvlJc w:val="left"/>
      <w:lvlText w:val="%1"/>
      <w:numFmt w:val="lowerLetter"/>
      <w:start w:val="1"/>
    </w:lvl>
    <w:lvl w:ilvl="1">
      <w:lvlJc w:val="left"/>
      <w:lvlText w:val="(%2)"/>
      <w:numFmt w:val="lowerRoman"/>
      <w:start w:val="3"/>
    </w:lvl>
  </w:abstractNum>
  <w:abstractNum w:abstractNumId="76">
    <w:nsid w:val="53B0A9E"/>
    <w:multiLevelType w:val="hybridMultilevel"/>
    <w:lvl w:ilvl="0">
      <w:lvlJc w:val="left"/>
      <w:lvlText w:val="(%1)"/>
      <w:numFmt w:val="lowerLetter"/>
      <w:start w:val="1"/>
    </w:lvl>
    <w:lvl w:ilvl="1">
      <w:lvlJc w:val="left"/>
      <w:lvlText w:val="%2"/>
      <w:numFmt w:val="lowerRoman"/>
      <w:start w:val="1"/>
    </w:lvl>
  </w:abstractNum>
  <w:abstractNum w:abstractNumId="77">
    <w:nsid w:val="34FD6B4F"/>
    <w:multiLevelType w:val="hybridMultilevel"/>
    <w:lvl w:ilvl="0">
      <w:lvlJc w:val="left"/>
      <w:lvlText w:val="(%1)"/>
      <w:numFmt w:val="lowerLetter"/>
      <w:start w:val="2"/>
    </w:lvl>
  </w:abstractNum>
  <w:abstractNum w:abstractNumId="78">
    <w:nsid w:val="5915FF32"/>
    <w:multiLevelType w:val="hybridMultilevel"/>
    <w:lvl w:ilvl="0">
      <w:lvlJc w:val="left"/>
      <w:lvlText w:val="(%1)"/>
      <w:numFmt w:val="lowerLetter"/>
      <w:start w:val="3"/>
    </w:lvl>
    <w:lvl w:ilvl="1">
      <w:lvlJc w:val="left"/>
      <w:lvlText w:val="(%2)"/>
      <w:numFmt w:val="lowerLetter"/>
      <w:start w:val="4"/>
    </w:lvl>
  </w:abstractNum>
  <w:abstractNum w:abstractNumId="79">
    <w:nsid w:val="56438D15"/>
    <w:multiLevelType w:val="hybridMultilevel"/>
    <w:lvl w:ilvl="0">
      <w:lvlJc w:val="left"/>
      <w:lvlText w:val="(%1)"/>
      <w:numFmt w:val="lowerLetter"/>
      <w:start w:val="5"/>
    </w:lvl>
  </w:abstractNum>
  <w:abstractNum w:abstractNumId="80">
    <w:nsid w:val="519E3149"/>
    <w:multiLevelType w:val="hybridMultilevel"/>
    <w:lvl w:ilvl="0">
      <w:lvlJc w:val="left"/>
      <w:lvlText w:val="(%1)"/>
      <w:numFmt w:val="lowerLetter"/>
      <w:start w:val="6"/>
    </w:lvl>
  </w:abstractNum>
  <w:abstractNum w:abstractNumId="81">
    <w:nsid w:val="2C6E4AFD"/>
    <w:multiLevelType w:val="hybridMultilevel"/>
    <w:lvl w:ilvl="0">
      <w:lvlJc w:val="left"/>
      <w:lvlText w:val="(%1)"/>
      <w:numFmt w:val="lowerLetter"/>
      <w:start w:val="9"/>
    </w:lvl>
  </w:abstractNum>
  <w:abstractNum w:abstractNumId="82">
    <w:nsid w:val="17A1B582"/>
    <w:multiLevelType w:val="hybridMultilevel"/>
    <w:lvl w:ilvl="0">
      <w:lvlJc w:val="left"/>
      <w:lvlText w:val="%1."/>
      <w:numFmt w:val="decimal"/>
      <w:start w:val="6"/>
    </w:lvl>
  </w:abstractNum>
  <w:abstractNum w:abstractNumId="83">
    <w:nsid w:val="4DF72E4E"/>
    <w:multiLevelType w:val="hybridMultilevel"/>
    <w:lvl w:ilvl="0">
      <w:lvlJc w:val="left"/>
      <w:lvlText w:val="(%1)"/>
      <w:numFmt w:val="lowerLetter"/>
      <w:start w:val="1"/>
    </w:lvl>
  </w:abstractNum>
  <w:abstractNum w:abstractNumId="84">
    <w:nsid w:val="5046B5A9"/>
    <w:multiLevelType w:val="hybridMultilevel"/>
    <w:lvl w:ilvl="0">
      <w:lvlJc w:val="left"/>
      <w:lvlText w:val="(%1)"/>
      <w:numFmt w:val="lowerLetter"/>
      <w:start w:val="1"/>
    </w:lvl>
    <w:lvl w:ilvl="1">
      <w:lvlJc w:val="left"/>
      <w:lvlText w:val="(%2)"/>
      <w:numFmt w:val="lowerLetter"/>
      <w:start w:val="9"/>
    </w:lvl>
  </w:abstractNum>
  <w:abstractNum w:abstractNumId="85">
    <w:nsid w:val="5D888A08"/>
    <w:multiLevelType w:val="hybridMultilevel"/>
    <w:lvl w:ilvl="0">
      <w:lvlJc w:val="left"/>
      <w:lvlText w:val="(%1)"/>
      <w:numFmt w:val="lowerRoman"/>
      <w:start w:val="1"/>
    </w:lvl>
  </w:abstractNum>
  <w:abstractNum w:abstractNumId="86">
    <w:nsid w:val="2A082C70"/>
    <w:multiLevelType w:val="hybridMultilevel"/>
    <w:lvl w:ilvl="0">
      <w:lvlJc w:val="left"/>
      <w:lvlText w:val="%1"/>
      <w:numFmt w:val="lowerLetter"/>
      <w:start w:val="1"/>
    </w:lvl>
    <w:lvl w:ilvl="1">
      <w:lvlJc w:val="left"/>
      <w:lvlText w:val="(%2)"/>
      <w:numFmt w:val="lowerLetter"/>
      <w:start w:val="9"/>
    </w:lvl>
  </w:abstractNum>
  <w:abstractNum w:abstractNumId="87">
    <w:nsid w:val="5EC6AFD4"/>
    <w:multiLevelType w:val="hybridMultilevel"/>
    <w:lvl w:ilvl="0">
      <w:lvlJc w:val="left"/>
      <w:lvlText w:val="(%1)"/>
      <w:numFmt w:val="lowerLetter"/>
      <w:start w:val="3"/>
    </w:lvl>
    <w:lvl w:ilvl="1">
      <w:lvlJc w:val="left"/>
      <w:lvlText w:val="%2"/>
      <w:numFmt w:val="lowerLetter"/>
      <w:start w:val="1"/>
    </w:lvl>
  </w:abstractNum>
  <w:abstractNum w:abstractNumId="88">
    <w:nsid w:val="19E21BB2"/>
    <w:multiLevelType w:val="hybridMultilevel"/>
    <w:lvl w:ilvl="0">
      <w:lvlJc w:val="left"/>
      <w:lvlText w:val="(%1)"/>
      <w:numFmt w:val="lowerLetter"/>
      <w:start w:val="1"/>
    </w:lvl>
  </w:abstractNum>
  <w:abstractNum w:abstractNumId="89">
    <w:nsid w:val="75E0858A"/>
    <w:multiLevelType w:val="hybridMultilevel"/>
    <w:lvl w:ilvl="0">
      <w:lvlJc w:val="left"/>
      <w:lvlText w:val="(%1)"/>
      <w:numFmt w:val="lowerLetter"/>
      <w:start w:val="1"/>
    </w:lvl>
  </w:abstractNum>
  <w:abstractNum w:abstractNumId="90">
    <w:nsid w:val="57A61A29"/>
    <w:multiLevelType w:val="hybridMultilevel"/>
    <w:lvl w:ilvl="0">
      <w:lvlJc w:val="left"/>
      <w:lvlText w:val="."/>
      <w:numFmt w:val="bullet"/>
      <w:start w:val="1"/>
    </w:lvl>
  </w:abstractNum>
  <w:abstractNum w:abstractNumId="91">
    <w:nsid w:val="5399C654"/>
    <w:multiLevelType w:val="hybridMultilevel"/>
    <w:lvl w:ilvl="0">
      <w:lvlJc w:val="left"/>
      <w:lvlText w:val="(%1)"/>
      <w:numFmt w:val="lowerLetter"/>
      <w:start w:val="1"/>
    </w:lvl>
  </w:abstractNum>
  <w:abstractNum w:abstractNumId="92">
    <w:nsid w:val="20EE1348"/>
    <w:multiLevelType w:val="hybridMultilevel"/>
    <w:lvl w:ilvl="0">
      <w:lvlJc w:val="left"/>
      <w:lvlText w:val="(%1)"/>
      <w:numFmt w:val="lowerLetter"/>
      <w:start w:val="1"/>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
      <w:numFmt w:val="bullet"/>
      <w:start w:val="1"/>
    </w:lvl>
  </w:abstractNum>
  <w:abstractNum w:abstractNumId="95">
    <w:nsid w:val="2157F6BC"/>
    <w:multiLevelType w:val="hybridMultilevel"/>
    <w:lvl w:ilvl="0">
      <w:lvlJc w:val="left"/>
      <w:lvlText w:val="."/>
      <w:numFmt w:val="bullet"/>
      <w:start w:val="1"/>
    </w:lvl>
  </w:abstractNum>
  <w:abstractNum w:abstractNumId="96">
    <w:nsid w:val="704E1DD5"/>
    <w:multiLevelType w:val="hybridMultilevel"/>
    <w:lvl w:ilvl="0">
      <w:lvlJc w:val="left"/>
      <w:lvlText w:val="."/>
      <w:numFmt w:val="bullet"/>
      <w:start w:val="1"/>
    </w:lvl>
  </w:abstractNum>
  <w:abstractNum w:abstractNumId="97">
    <w:nsid w:val="57D2F10E"/>
    <w:multiLevelType w:val="hybridMultilevel"/>
    <w:lvl w:ilvl="0">
      <w:lvlJc w:val="left"/>
      <w:lvlText w:val="."/>
      <w:numFmt w:val="bullet"/>
      <w:start w:val="1"/>
    </w:lvl>
  </w:abstractNum>
  <w:abstractNum w:abstractNumId="98">
    <w:nsid w:val="BFFAE18"/>
    <w:multiLevelType w:val="hybridMultilevel"/>
    <w:lvl w:ilvl="0">
      <w:lvlJc w:val="left"/>
      <w:lvlText w:val="."/>
      <w:numFmt w:val="bullet"/>
      <w:start w:val="1"/>
    </w:lvl>
    <w:lvl w:ilvl="1">
      <w:lvlJc w:val="left"/>
      <w:lvlText w:val="(%2)"/>
      <w:numFmt w:val="lowerLetter"/>
      <w:start w:val="1"/>
    </w:lvl>
  </w:abstractNum>
  <w:abstractNum w:abstractNumId="99">
    <w:nsid w:val="E3E47A8"/>
    <w:multiLevelType w:val="hybridMultilevel"/>
    <w:lvl w:ilvl="0">
      <w:lvlJc w:val="left"/>
      <w:lvlText w:val="(%1)"/>
      <w:numFmt w:val="lowerLetter"/>
      <w:start w:val="1"/>
    </w:lvl>
  </w:abstractNum>
  <w:abstractNum w:abstractNumId="100">
    <w:nsid w:val="2E48F044"/>
    <w:multiLevelType w:val="hybridMultilevel"/>
    <w:lvl w:ilvl="0">
      <w:lvlJc w:val="left"/>
      <w:lvlText w:val="(%1)"/>
      <w:numFmt w:val="lowerLetter"/>
      <w:start w:val="2"/>
    </w:lvl>
  </w:abstractNum>
  <w:abstractNum w:abstractNumId="101">
    <w:nsid w:val="49D0FEAC"/>
    <w:multiLevelType w:val="hybridMultilevel"/>
    <w:lvl w:ilvl="0">
      <w:lvlJc w:val="left"/>
      <w:lvlText w:val="(%1)"/>
      <w:numFmt w:val="lowerLetter"/>
      <w:start w:val="3"/>
    </w:lvl>
  </w:abstractNum>
  <w:abstractNum w:abstractNumId="102">
    <w:nsid w:val="4BEE5A5B"/>
    <w:multiLevelType w:val="hybridMultilevel"/>
    <w:lvl w:ilvl="0">
      <w:lvlJc w:val="left"/>
      <w:lvlText w:val="(%1)"/>
      <w:numFmt w:val="lowerLetter"/>
      <w:start w:val="2"/>
    </w:lvl>
  </w:abstractNum>
  <w:abstractNum w:abstractNumId="103">
    <w:nsid w:val="5551B9F3"/>
    <w:multiLevelType w:val="hybridMultilevel"/>
    <w:lvl w:ilvl="0">
      <w:lvlJc w:val="left"/>
      <w:lvlText w:val="."/>
      <w:numFmt w:val="bullet"/>
      <w:start w:val="1"/>
    </w:lvl>
  </w:abstractNum>
  <w:abstractNum w:abstractNumId="104">
    <w:nsid w:val="24F6AB8E"/>
    <w:multiLevelType w:val="hybridMultilevel"/>
    <w:lvl w:ilvl="0">
      <w:lvlJc w:val="left"/>
      <w:lvlText w:val="(%1)"/>
      <w:numFmt w:val="lowerLetter"/>
      <w:start w:val="3"/>
    </w:lvl>
  </w:abstractNum>
  <w:abstractNum w:abstractNumId="105">
    <w:nsid w:val="634C574C"/>
    <w:multiLevelType w:val="hybridMultilevel"/>
    <w:lvl w:ilvl="0">
      <w:lvlJc w:val="left"/>
      <w:lvlText w:val="(%1)"/>
      <w:numFmt w:val="lowerLetter"/>
      <w:start w:val="1"/>
    </w:lvl>
  </w:abstractNum>
  <w:abstractNum w:abstractNumId="106">
    <w:nsid w:val="24E99DD7"/>
    <w:multiLevelType w:val="hybridMultilevel"/>
    <w:lvl w:ilvl="0">
      <w:lvlJc w:val="left"/>
      <w:lvlText w:val="(%1)"/>
      <w:numFmt w:val="lowerLetter"/>
      <w:start w:val="1"/>
    </w:lvl>
  </w:abstractNum>
  <w:abstractNum w:abstractNumId="107">
    <w:nsid w:val="2A31B62D"/>
    <w:multiLevelType w:val="hybridMultilevel"/>
    <w:lvl w:ilvl="0">
      <w:lvlJc w:val="left"/>
      <w:lvlText w:val="."/>
      <w:numFmt w:val="bullet"/>
      <w:start w:val="1"/>
    </w:lvl>
  </w:abstractNum>
  <w:abstractNum w:abstractNumId="108">
    <w:nsid w:val="1849C29B"/>
    <w:multiLevelType w:val="hybridMultilevel"/>
    <w:lvl w:ilvl="0">
      <w:lvlJc w:val="left"/>
      <w:lvlText w:val="."/>
      <w:numFmt w:val="bullet"/>
      <w:start w:val="1"/>
    </w:lvl>
  </w:abstractNum>
  <w:abstractNum w:abstractNumId="109">
    <w:nsid w:val="7DFF9D09"/>
    <w:multiLevelType w:val="hybridMultilevel"/>
    <w:lvl w:ilvl="0">
      <w:lvlJc w:val="left"/>
      <w:lvlText w:val="."/>
      <w:numFmt w:val="bullet"/>
      <w:start w:val="1"/>
    </w:lvl>
  </w:abstractNum>
  <w:abstractNum w:abstractNumId="110">
    <w:nsid w:val="754342"/>
    <w:multiLevelType w:val="hybridMultilevel"/>
    <w:lvl w:ilvl="0">
      <w:lvlJc w:val="left"/>
      <w:lvlText w:val="."/>
      <w:numFmt w:val="bullet"/>
      <w:start w:val="1"/>
    </w:lvl>
  </w:abstractNum>
  <w:abstractNum w:abstractNumId="111">
    <w:nsid w:val="69E7F3E5"/>
    <w:multiLevelType w:val="hybridMultilevel"/>
    <w:lvl w:ilvl="0">
      <w:lvlJc w:val="left"/>
      <w:lvlText w:val="."/>
      <w:numFmt w:val="bullet"/>
      <w:start w:val="1"/>
    </w:lvl>
  </w:abstractNum>
  <w:abstractNum w:abstractNumId="112">
    <w:nsid w:val="2A6DE806"/>
    <w:multiLevelType w:val="hybridMultilevel"/>
    <w:lvl w:ilvl="0">
      <w:lvlJc w:val="left"/>
      <w:lvlText w:val="(%1)"/>
      <w:numFmt w:val="lowerLetter"/>
      <w:start w:val="1"/>
    </w:lvl>
  </w:abstractNum>
  <w:abstractNum w:abstractNumId="113">
    <w:nsid w:val="1816F8C4"/>
    <w:multiLevelType w:val="hybridMultilevel"/>
    <w:lvl w:ilvl="0">
      <w:lvlJc w:val="left"/>
      <w:lvlText w:val="."/>
      <w:numFmt w:val="bullet"/>
      <w:start w:val="1"/>
    </w:lvl>
    <w:lvl w:ilvl="1">
      <w:lvlJc w:val="left"/>
      <w:lvlText w:val="(%2)"/>
      <w:numFmt w:val="lowerLetter"/>
      <w:start w:val="1"/>
    </w:lvl>
  </w:abstractNum>
  <w:abstractNum w:abstractNumId="114">
    <w:nsid w:val="37DF2233"/>
    <w:multiLevelType w:val="hybridMultilevel"/>
    <w:lvl w:ilvl="0">
      <w:lvlJc w:val="left"/>
      <w:lvlText w:val="(%1)"/>
      <w:numFmt w:val="lowerLetter"/>
      <w:start w:val="1"/>
    </w:lvl>
  </w:abstractNum>
  <w:abstractNum w:abstractNumId="115">
    <w:nsid w:val="7AB49DAF"/>
    <w:multiLevelType w:val="hybridMultilevel"/>
    <w:lvl w:ilvl="0">
      <w:lvlJc w:val="left"/>
      <w:lvlText w:val="(%1)"/>
      <w:numFmt w:val="lowerLetter"/>
      <w:start w:val="2"/>
    </w:lvl>
  </w:abstractNum>
  <w:abstractNum w:abstractNumId="116">
    <w:nsid w:val="759F82CD"/>
    <w:multiLevelType w:val="hybridMultilevel"/>
    <w:lvl w:ilvl="0">
      <w:lvlJc w:val="left"/>
      <w:lvlText w:val="(%1)"/>
      <w:numFmt w:val="lowerLetter"/>
      <w:start w:val="1"/>
    </w:lvl>
  </w:abstractNum>
  <w:abstractNum w:abstractNumId="117">
    <w:nsid w:val="61E74EA3"/>
    <w:multiLevelType w:val="hybridMultilevel"/>
    <w:lvl w:ilvl="0">
      <w:lvlJc w:val="left"/>
      <w:lvlText w:val="(%1)"/>
      <w:numFmt w:val="lowerLetter"/>
      <w:start w:val="3"/>
    </w:lvl>
  </w:abstractNum>
  <w:abstractNum w:abstractNumId="118">
    <w:nsid w:val="597B4D84"/>
    <w:multiLevelType w:val="hybridMultilevel"/>
    <w:lvl w:ilvl="0">
      <w:lvlJc w:val="left"/>
      <w:lvlText w:val="(%1)"/>
      <w:numFmt w:val="lowerLetter"/>
      <w:start w:val="2"/>
    </w:lvl>
  </w:abstractNum>
  <w:abstractNum w:abstractNumId="119">
    <w:nsid w:val="F819E7F"/>
    <w:multiLevelType w:val="hybridMultilevel"/>
    <w:lvl w:ilvl="0">
      <w:lvlJc w:val="left"/>
      <w:lvlText w:val="(%1)"/>
      <w:numFmt w:val="lowerLetter"/>
      <w:start w:val="5"/>
    </w:lvl>
  </w:abstractNum>
  <w:abstractNum w:abstractNumId="120">
    <w:nsid w:val="57C7D42D"/>
    <w:multiLevelType w:val="hybridMultilevel"/>
    <w:lvl w:ilvl="0">
      <w:lvlJc w:val="left"/>
      <w:lvlText w:val="."/>
      <w:numFmt w:val="bullet"/>
      <w:start w:val="1"/>
    </w:lvl>
  </w:abstractNum>
  <w:abstractNum w:abstractNumId="121">
    <w:nsid w:val="312167AD"/>
    <w:multiLevelType w:val="hybridMultilevel"/>
    <w:lvl w:ilvl="0">
      <w:lvlJc w:val="left"/>
      <w:lvlText w:val="."/>
      <w:numFmt w:val="bullet"/>
      <w:start w:val="1"/>
    </w:lvl>
  </w:abstractNum>
  <w:abstractNum w:abstractNumId="122">
    <w:nsid w:val="631B64D4"/>
    <w:multiLevelType w:val="hybridMultilevel"/>
    <w:lvl w:ilvl="0">
      <w:lvlJc w:val="left"/>
      <w:lvlText w:val="(%1)"/>
      <w:numFmt w:val="lowerLetter"/>
      <w:start w:val="1"/>
    </w:lvl>
  </w:abstractNum>
  <w:abstractNum w:abstractNumId="123">
    <w:nsid w:val="78B5E776"/>
    <w:multiLevelType w:val="hybridMultilevel"/>
    <w:lvl w:ilvl="0">
      <w:lvlJc w:val="left"/>
      <w:lvlText w:val="(%1)"/>
      <w:numFmt w:val="lowerLetter"/>
      <w:start w:val="1"/>
    </w:lvl>
  </w:abstractNum>
  <w:abstractNum w:abstractNumId="124">
    <w:nsid w:val="75486E47"/>
    <w:multiLevelType w:val="hybridMultilevel"/>
    <w:lvl w:ilvl="0">
      <w:lvlJc w:val="left"/>
      <w:lvlText w:val="(%1)"/>
      <w:numFmt w:val="lowerLetter"/>
      <w:start w:val="3"/>
    </w:lvl>
  </w:abstractNum>
  <w:abstractNum w:abstractNumId="125">
    <w:nsid w:val="6E534CDE"/>
    <w:multiLevelType w:val="hybridMultilevel"/>
    <w:lvl w:ilvl="0">
      <w:lvlJc w:val="left"/>
      <w:lvlText w:val="."/>
      <w:numFmt w:val="bullet"/>
      <w:start w:val="1"/>
    </w:lvl>
  </w:abstractNum>
  <w:abstractNum w:abstractNumId="126">
    <w:nsid w:val="1A0DDE32"/>
    <w:multiLevelType w:val="hybridMultilevel"/>
    <w:lvl w:ilvl="0">
      <w:lvlJc w:val="left"/>
      <w:lvlText w:val="."/>
      <w:numFmt w:val="bullet"/>
      <w:start w:val="1"/>
    </w:lvl>
  </w:abstractNum>
  <w:abstractNum w:abstractNumId="127">
    <w:nsid w:val="65968C1C"/>
    <w:multiLevelType w:val="hybridMultilevel"/>
    <w:lvl w:ilvl="0">
      <w:lvlJc w:val="left"/>
      <w:lvlText w:val="."/>
      <w:numFmt w:val="bullet"/>
      <w:start w:val="1"/>
    </w:lvl>
  </w:abstractNum>
  <w:abstractNum w:abstractNumId="128">
    <w:nsid w:val="46263DEC"/>
    <w:multiLevelType w:val="hybridMultilevel"/>
    <w:lvl w:ilvl="0">
      <w:lvlJc w:val="left"/>
      <w:lvlText w:val="(%1)"/>
      <w:numFmt w:val="lowerRoman"/>
      <w:start w:val="3"/>
    </w:lvl>
    <w:lvl w:ilvl="1">
      <w:lvlJc w:val="left"/>
      <w:lvlText w:val="."/>
      <w:numFmt w:val="bullet"/>
      <w:start w:val="1"/>
    </w:lvl>
  </w:abstractNum>
  <w:abstractNum w:abstractNumId="129">
    <w:nsid w:val="260D8C4A"/>
    <w:multiLevelType w:val="hybridMultilevel"/>
    <w:lvl w:ilvl="0">
      <w:lvlJc w:val="left"/>
      <w:lvlText w:val="."/>
      <w:numFmt w:val="bullet"/>
      <w:start w:val="1"/>
    </w:lvl>
  </w:abstractNum>
  <w:abstractNum w:abstractNumId="130">
    <w:nsid w:val="73D4D3C4"/>
    <w:multiLevelType w:val="hybridMultilevel"/>
    <w:lvl w:ilvl="0">
      <w:lvlJc w:val="left"/>
      <w:lvlText w:val="."/>
      <w:numFmt w:val="bullet"/>
      <w:start w:val="1"/>
    </w:lvl>
  </w:abstractNum>
  <w:abstractNum w:abstractNumId="131">
    <w:nsid w:val="746F2E30"/>
    <w:multiLevelType w:val="hybridMultilevel"/>
    <w:lvl w:ilvl="0">
      <w:lvlJc w:val="left"/>
      <w:lvlText w:val="."/>
      <w:numFmt w:val="bullet"/>
      <w:start w:val="1"/>
    </w:lvl>
  </w:abstractNum>
  <w:abstractNum w:abstractNumId="132">
    <w:nsid w:val="6FDE8AF6"/>
    <w:multiLevelType w:val="hybridMultilevel"/>
    <w:lvl w:ilvl="0">
      <w:lvlJc w:val="left"/>
      <w:lvlText w:val="."/>
      <w:numFmt w:val="bullet"/>
      <w:start w:val="1"/>
    </w:lvl>
  </w:abstractNum>
  <w:abstractNum w:abstractNumId="133">
    <w:nsid w:val="3FC32E20"/>
    <w:multiLevelType w:val="hybridMultilevel"/>
    <w:lvl w:ilvl="0">
      <w:lvlJc w:val="left"/>
      <w:lvlText w:val="."/>
      <w:numFmt w:val="bullet"/>
      <w:start w:val="1"/>
    </w:lvl>
  </w:abstractNum>
  <w:abstractNum w:abstractNumId="134">
    <w:nsid w:val="49C0E823"/>
    <w:multiLevelType w:val="hybridMultilevel"/>
    <w:lvl w:ilvl="0">
      <w:lvlJc w:val="left"/>
      <w:lvlText w:val="."/>
      <w:numFmt w:val="bullet"/>
      <w:start w:val="1"/>
    </w:lvl>
  </w:abstractNum>
  <w:abstractNum w:abstractNumId="135">
    <w:nsid w:val="14D53685"/>
    <w:multiLevelType w:val="hybridMultilevel"/>
    <w:lvl w:ilvl="0">
      <w:lvlJc w:val="left"/>
      <w:lvlText w:val="."/>
      <w:numFmt w:val="bullet"/>
      <w:start w:val="1"/>
    </w:lvl>
  </w:abstractNum>
  <w:abstractNum w:abstractNumId="136">
    <w:nsid w:val="230F856C"/>
    <w:multiLevelType w:val="hybridMultilevel"/>
    <w:lvl w:ilvl="0">
      <w:lvlJc w:val="left"/>
      <w:lvlText w:val="."/>
      <w:numFmt w:val="bullet"/>
      <w:start w:val="1"/>
    </w:lvl>
  </w:abstractNum>
  <w:abstractNum w:abstractNumId="137">
    <w:nsid w:val="6EAA85FB"/>
    <w:multiLevelType w:val="hybridMultilevel"/>
    <w:lvl w:ilvl="0">
      <w:lvlJc w:val="left"/>
      <w:lvlText w:val="%1"/>
      <w:numFmt w:val="upperLetter"/>
      <w:start w:val="1"/>
    </w:lvl>
    <w:lvl w:ilvl="1">
      <w:lvlJc w:val="left"/>
      <w:lvlText w:val="(%2)"/>
      <w:numFmt w:val="lowerLetter"/>
      <w:start w:val="1"/>
    </w:lvl>
  </w:abstractNum>
  <w:abstractNum w:abstractNumId="138">
    <w:nsid w:val="3F06ECB2"/>
    <w:multiLevelType w:val="hybridMultilevel"/>
    <w:lvl w:ilvl="0">
      <w:lvlJc w:val="left"/>
      <w:lvlText w:val="(%1)"/>
      <w:numFmt w:val="upperLetter"/>
      <w:start w:val="2"/>
    </w:lvl>
    <w:lvl w:ilvl="1">
      <w:lvlJc w:val="left"/>
      <w:lvlText w:val="%2"/>
      <w:numFmt w:val="lowerLetter"/>
      <w:start w:val="1"/>
    </w:lvl>
  </w:abstractNum>
  <w:abstractNum w:abstractNumId="139">
    <w:nsid w:val="3B594807"/>
    <w:multiLevelType w:val="hybridMultilevel"/>
    <w:lvl w:ilvl="0">
      <w:lvlJc w:val="left"/>
      <w:lvlText w:val="(%1)"/>
      <w:numFmt w:val="lowerLetter"/>
      <w:start w:val="1"/>
    </w:lvl>
  </w:abstractNum>
  <w:abstractNum w:abstractNumId="140">
    <w:nsid w:val="6CAA2304"/>
    <w:multiLevelType w:val="hybridMultilevel"/>
    <w:lvl w:ilvl="0">
      <w:lvlJc w:val="left"/>
      <w:lvlText w:val="(%1)"/>
      <w:numFmt w:val="lowerLetter"/>
      <w:start w:val="2"/>
    </w:lvl>
  </w:abstractNum>
  <w:abstractNum w:abstractNumId="141">
    <w:nsid w:val="3F7C2FF4"/>
    <w:multiLevelType w:val="hybridMultilevel"/>
    <w:lvl w:ilvl="0">
      <w:lvlJc w:val="left"/>
      <w:lvlText w:val="(%1)"/>
      <w:numFmt w:val="lowerLetter"/>
      <w:start w:val="1"/>
    </w:lvl>
  </w:abstractNum>
  <w:abstractNum w:abstractNumId="142">
    <w:nsid w:val="25413BEC"/>
    <w:multiLevelType w:val="hybridMultilevel"/>
    <w:lvl w:ilvl="0">
      <w:lvlJc w:val="left"/>
      <w:lvlText w:val="(%1)"/>
      <w:numFmt w:val="lowerLetter"/>
      <w:start w:val="3"/>
    </w:lvl>
  </w:abstractNum>
  <w:abstractNum w:abstractNumId="143">
    <w:nsid w:val="17180B0B"/>
    <w:multiLevelType w:val="hybridMultilevel"/>
    <w:lvl w:ilvl="0">
      <w:lvlJc w:val="left"/>
      <w:lvlText w:val="."/>
      <w:numFmt w:val="bullet"/>
      <w:start w:val="1"/>
    </w:lvl>
  </w:abstractNum>
  <w:abstractNum w:abstractNumId="144">
    <w:nsid w:val="579328B9"/>
    <w:multiLevelType w:val="hybridMultilevel"/>
    <w:lvl w:ilvl="0">
      <w:lvlJc w:val="left"/>
      <w:lvlText w:val="."/>
      <w:numFmt w:val="bullet"/>
      <w:start w:val="1"/>
    </w:lvl>
  </w:abstractNum>
  <w:abstractNum w:abstractNumId="145">
    <w:nsid w:val="5D205E20"/>
    <w:multiLevelType w:val="hybridMultilevel"/>
    <w:lvl w:ilvl="0">
      <w:lvlJc w:val="left"/>
      <w:lvlText w:val="."/>
      <w:numFmt w:val="bullet"/>
      <w:start w:val="1"/>
    </w:lvl>
  </w:abstractNum>
  <w:abstractNum w:abstractNumId="146">
    <w:nsid w:val="11CCA8BA"/>
    <w:multiLevelType w:val="hybridMultilevel"/>
    <w:lvl w:ilvl="0">
      <w:lvlJc w:val="left"/>
      <w:lvlText w:val="."/>
      <w:numFmt w:val="bullet"/>
      <w:start w:val="1"/>
    </w:lvl>
  </w:abstractNum>
  <w:abstractNum w:abstractNumId="147">
    <w:nsid w:val="4D32AB86"/>
    <w:multiLevelType w:val="hybridMultilevel"/>
    <w:lvl w:ilvl="0">
      <w:lvlJc w:val="left"/>
      <w:lvlText w:val="."/>
      <w:numFmt w:val="bullet"/>
      <w:start w:val="1"/>
    </w:lvl>
  </w:abstractNum>
  <w:abstractNum w:abstractNumId="148">
    <w:nsid w:val="3F07ACC3"/>
    <w:multiLevelType w:val="hybridMultilevel"/>
    <w:lvl w:ilvl="0">
      <w:lvlJc w:val="left"/>
      <w:lvlText w:val="."/>
      <w:numFmt w:val="bullet"/>
      <w:start w:val="1"/>
    </w:lvl>
  </w:abstractNum>
  <w:abstractNum w:abstractNumId="149">
    <w:nsid w:val="6B47F63E"/>
    <w:multiLevelType w:val="hybridMultilevel"/>
    <w:lvl w:ilvl="0">
      <w:lvlJc w:val="left"/>
      <w:lvlText w:val="."/>
      <w:numFmt w:val="bullet"/>
      <w:start w:val="1"/>
    </w:lvl>
  </w:abstractNum>
  <w:abstractNum w:abstractNumId="150">
    <w:nsid w:val="5CB44A05"/>
    <w:multiLevelType w:val="hybridMultilevel"/>
    <w:lvl w:ilvl="0">
      <w:lvlJc w:val="left"/>
      <w:lvlText w:val="."/>
      <w:numFmt w:val="bullet"/>
      <w:start w:val="1"/>
    </w:lvl>
  </w:abstractNum>
  <w:abstractNum w:abstractNumId="151">
    <w:nsid w:val="16CF80F1"/>
    <w:multiLevelType w:val="hybridMultilevel"/>
    <w:lvl w:ilvl="0">
      <w:lvlJc w:val="left"/>
      <w:lvlText w:val="."/>
      <w:numFmt w:val="bullet"/>
      <w:start w:val="1"/>
    </w:lvl>
  </w:abstractNum>
  <w:abstractNum w:abstractNumId="152">
    <w:nsid w:val="1C695DEC"/>
    <w:multiLevelType w:val="hybridMultilevel"/>
    <w:lvl w:ilvl="0">
      <w:lvlJc w:val="left"/>
      <w:lvlText w:val="."/>
      <w:numFmt w:val="bullet"/>
      <w:start w:val="1"/>
    </w:lvl>
    <w:lvl w:ilvl="1">
      <w:lvlJc w:val="left"/>
      <w:lvlText w:val="*"/>
      <w:numFmt w:val="bullet"/>
      <w:start w:val="1"/>
    </w:lvl>
  </w:abstractNum>
  <w:abstractNum w:abstractNumId="153">
    <w:nsid w:val="3FCFAED9"/>
    <w:multiLevelType w:val="hybridMultilevel"/>
    <w:lvl w:ilvl="0">
      <w:lvlJc w:val="left"/>
      <w:lvlText w:val="(%1)"/>
      <w:numFmt w:val="lowerLetter"/>
      <w:start w:val="1"/>
    </w:lvl>
  </w:abstractNum>
  <w:abstractNum w:abstractNumId="154">
    <w:nsid w:val="F856867"/>
    <w:multiLevelType w:val="hybridMultilevel"/>
    <w:lvl w:ilvl="0">
      <w:lvlJc w:val="left"/>
      <w:lvlText w:val="(%1)"/>
      <w:numFmt w:val="lowerLetter"/>
      <w:start w:val="2"/>
    </w:lvl>
  </w:abstractNum>
  <w:abstractNum w:abstractNumId="155">
    <w:nsid w:val="11B1CC33"/>
    <w:multiLevelType w:val="hybridMultilevel"/>
    <w:lvl w:ilvl="0">
      <w:lvlJc w:val="left"/>
      <w:lvlText w:val="(%1)"/>
      <w:numFmt w:val="lowerLetter"/>
      <w:start w:val="1"/>
    </w:lvl>
  </w:abstractNum>
  <w:abstractNum w:abstractNumId="156">
    <w:nsid w:val="2E22FBB7"/>
    <w:multiLevelType w:val="hybridMultilevel"/>
    <w:lvl w:ilvl="0">
      <w:lvlJc w:val="left"/>
      <w:lvlText w:val="(%1)"/>
      <w:numFmt w:val="lowerLetter"/>
      <w:start w:val="2"/>
    </w:lvl>
  </w:abstractNum>
  <w:abstractNum w:abstractNumId="157">
    <w:nsid w:val="29934699"/>
    <w:multiLevelType w:val="hybridMultilevel"/>
    <w:lvl w:ilvl="0">
      <w:lvlJc w:val="left"/>
      <w:lvlText w:val="(%1)"/>
      <w:numFmt w:val="lowerLetter"/>
      <w:start w:val="4"/>
    </w:lvl>
  </w:abstractNum>
  <w:abstractNum w:abstractNumId="158">
    <w:nsid w:val="77485850"/>
    <w:multiLevelType w:val="hybridMultilevel"/>
    <w:lvl w:ilvl="0">
      <w:lvlJc w:val="left"/>
      <w:lvlText w:val="(%1)"/>
      <w:numFmt w:val="lowerLetter"/>
      <w:start w:val="1"/>
    </w:lvl>
  </w:abstractNum>
  <w:abstractNum w:abstractNumId="159">
    <w:nsid w:val="744939A3"/>
    <w:multiLevelType w:val="hybridMultilevel"/>
    <w:lvl w:ilvl="0">
      <w:lvlJc w:val="left"/>
      <w:lvlText w:val="(%1)"/>
      <w:numFmt w:val="lowerLetter"/>
      <w:start w:val="5"/>
    </w:lvl>
  </w:abstractNum>
  <w:abstractNum w:abstractNumId="160">
    <w:nsid w:val="4FA0D2E3"/>
    <w:multiLevelType w:val="hybridMultilevel"/>
    <w:lvl w:ilvl="0">
      <w:lvlJc w:val="left"/>
      <w:lvlText w:val="(%1)"/>
      <w:numFmt w:val="lowerLetter"/>
      <w:start w:val="1"/>
    </w:lvl>
  </w:abstractNum>
  <w:abstractNum w:abstractNumId="161">
    <w:nsid w:val="6B1D2C14"/>
    <w:multiLevelType w:val="hybridMultilevel"/>
    <w:lvl w:ilvl="0">
      <w:lvlJc w:val="left"/>
      <w:lvlText w:val="%1"/>
      <w:numFmt w:val="lowerLetter"/>
      <w:start w:val="1"/>
    </w:lvl>
    <w:lvl w:ilvl="1">
      <w:lvlJc w:val="left"/>
      <w:lvlText w:val="(%2)"/>
      <w:numFmt w:val="lowerLetter"/>
      <w:start w:val="1"/>
    </w:lvl>
  </w:abstractNum>
  <w:abstractNum w:abstractNumId="162">
    <w:nsid w:val="68B867D3"/>
    <w:multiLevelType w:val="hybridMultilevel"/>
    <w:lvl w:ilvl="0">
      <w:lvlJc w:val="left"/>
      <w:lvlText w:val="(%1)"/>
      <w:numFmt w:val="lowerLetter"/>
      <w:start w:val="11"/>
    </w:lvl>
    <w:lvl w:ilvl="1">
      <w:lvlJc w:val="left"/>
      <w:lvlText w:val="%2"/>
      <w:numFmt w:val="lowerLetter"/>
      <w:start w:val="1"/>
    </w:lvl>
  </w:abstractNum>
  <w:abstractNum w:abstractNumId="163">
    <w:nsid w:val="3F7F5DD9"/>
    <w:multiLevelType w:val="hybridMultilevel"/>
    <w:lvl w:ilvl="0">
      <w:lvlJc w:val="left"/>
      <w:lvlText w:val="1"/>
      <w:numFmt w:val="bullet"/>
      <w:start w:val="1"/>
    </w:lvl>
  </w:abstractNum>
  <w:abstractNum w:abstractNumId="164">
    <w:nsid w:val="2AE05A34"/>
    <w:multiLevelType w:val="hybridMultilevel"/>
    <w:lvl w:ilvl="0">
      <w:lvlJc w:val="left"/>
      <w:lvlText w:val="(%1)"/>
      <w:numFmt w:val="lowerLetter"/>
      <w:start w:val="1"/>
    </w:lvl>
  </w:abstractNum>
  <w:abstractNum w:abstractNumId="165">
    <w:nsid w:val="32794FF7"/>
    <w:multiLevelType w:val="hybridMultilevel"/>
    <w:lvl w:ilvl="0">
      <w:lvlJc w:val="left"/>
      <w:lvlText w:val="(%1)"/>
      <w:numFmt w:val="lowerLetter"/>
      <w:start w:val="3"/>
    </w:lvl>
  </w:abstractNum>
  <w:abstractNum w:abstractNumId="166">
    <w:nsid w:val="5454945E"/>
    <w:multiLevelType w:val="hybridMultilevel"/>
    <w:lvl w:ilvl="0">
      <w:lvlJc w:val="left"/>
      <w:lvlText w:val="•"/>
      <w:numFmt w:val="bullet"/>
      <w:start w:val="1"/>
    </w:lvl>
  </w:abstractNum>
  <w:abstractNum w:abstractNumId="167">
    <w:nsid w:val="4DEFDFA0"/>
    <w:multiLevelType w:val="hybridMultilevel"/>
    <w:lvl w:ilvl="0">
      <w:lvlJc w:val="left"/>
      <w:lvlText w:val="%1."/>
      <w:numFmt w:val="decimal"/>
      <w:start w:val="1"/>
    </w:lvl>
    <w:lvl w:ilvl="1">
      <w:lvlJc w:val="left"/>
      <w:lvlText w:val="(%2)"/>
      <w:numFmt w:val="lowerLetter"/>
      <w:start w:val="1"/>
    </w:lvl>
  </w:abstractNum>
  <w:abstractNum w:abstractNumId="168">
    <w:nsid w:val="2123D5F2"/>
    <w:multiLevelType w:val="hybridMultilevel"/>
    <w:lvl w:ilvl="0">
      <w:lvlJc w:val="left"/>
      <w:lvlText w:val="%1."/>
      <w:numFmt w:val="decimal"/>
      <w:start w:val="1"/>
    </w:lvl>
    <w:lvl w:ilvl="1">
      <w:lvlJc w:val="left"/>
      <w:lvlText w:val="(%2)"/>
      <w:numFmt w:val="lowerLetter"/>
      <w:start w:val="1"/>
    </w:lvl>
  </w:abstractNum>
  <w:abstractNum w:abstractNumId="169">
    <w:nsid w:val="135B8110"/>
    <w:multiLevelType w:val="hybridMultilevel"/>
    <w:lvl w:ilvl="0">
      <w:lvlJc w:val="left"/>
      <w:lvlText w:val="(%1)"/>
      <w:numFmt w:val="decimal"/>
      <w:start w:val="1"/>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84" Type="http://schemas.openxmlformats.org/officeDocument/2006/relationships/hyperlink" Target="http://www.sec.gov/Archives/edgar/data/0001667011/000119312521289866/d52087dex31.htm" TargetMode="External"/><Relationship Id="rId85" Type="http://schemas.openxmlformats.org/officeDocument/2006/relationships/hyperlink" Target="https://www.sec.gov/Archives/edgar/data/0001667011/000119312521313553/d211035dex32.htm" TargetMode="External"/><Relationship Id="rId86" Type="http://schemas.openxmlformats.org/officeDocument/2006/relationships/hyperlink" Target="https://www.sec.gov/Archives/edgar/data/1667011/000119312521300473/d520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2022-11-08T17:35:58Z</dcterms:created>
  <dcterms:modified xsi:type="dcterms:W3CDTF">2022-11-08T17:35:58Z</dcterms:modified>
</cp:coreProperties>
</file>