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249" w:lineRule="exact"/>
        <w:rPr>
          <w:sz w:val="24"/>
          <w:szCs w:val="24"/>
          <w:color w:val="auto"/>
        </w:rPr>
      </w:pPr>
    </w:p>
    <w:p>
      <w:pPr>
        <w:jc w:val="center"/>
        <w:ind w:right="20"/>
        <w:spacing w:after="0"/>
        <w:rPr>
          <w:sz w:val="20"/>
          <w:szCs w:val="20"/>
          <w:color w:val="auto"/>
        </w:rPr>
      </w:pPr>
      <w:r>
        <w:rPr>
          <w:rFonts w:ascii="Verdana" w:cs="Verdana" w:eastAsia="Verdana" w:hAnsi="Verdana"/>
          <w:sz w:val="20"/>
          <w:szCs w:val="20"/>
          <w:b w:val="1"/>
          <w:bCs w:val="1"/>
          <w:color w:val="auto"/>
        </w:rPr>
        <w:t>FORM 10-Q</w:t>
      </w:r>
    </w:p>
    <w:p>
      <w:pPr>
        <w:spacing w:after="0"/>
        <w:rPr>
          <w:sz w:val="20"/>
          <w:szCs w:val="20"/>
          <w:color w:val="auto"/>
        </w:rPr>
      </w:pPr>
      <w:r>
        <w:rPr>
          <w:rFonts w:ascii="Verdana" w:cs="Verdana" w:eastAsia="Verdana" w:hAnsi="Verdana"/>
          <w:sz w:val="14"/>
          <w:szCs w:val="14"/>
          <w:b w:val="1"/>
          <w:bCs w:val="1"/>
          <w:color w:val="auto"/>
        </w:rPr>
        <w:t>(Mark One)</w:t>
      </w:r>
    </w:p>
    <w:p>
      <w:pPr>
        <w:spacing w:after="0" w:line="86" w:lineRule="exact"/>
        <w:rPr>
          <w:sz w:val="24"/>
          <w:szCs w:val="24"/>
          <w:color w:val="auto"/>
        </w:rPr>
      </w:pPr>
    </w:p>
    <w:p>
      <w:pPr>
        <w:ind w:left="540" w:hanging="379"/>
        <w:spacing w:after="0"/>
        <w:tabs>
          <w:tab w:leader="none" w:pos="540" w:val="left"/>
        </w:tabs>
        <w:numPr>
          <w:ilvl w:val="0"/>
          <w:numId w:val="1"/>
        </w:numPr>
        <w:rPr>
          <w:rFonts w:ascii="Wingdings" w:cs="Wingdings" w:eastAsia="Wingdings" w:hAnsi="Wingdings"/>
          <w:sz w:val="14"/>
          <w:szCs w:val="14"/>
          <w:b w:val="1"/>
          <w:bCs w:val="1"/>
          <w:color w:val="auto"/>
          <w:highlight w:val="black"/>
        </w:rPr>
      </w:pPr>
      <w:r>
        <w:rPr>
          <w:rFonts w:ascii="Verdana" w:cs="Verdana" w:eastAsia="Verdana" w:hAnsi="Verdana"/>
          <w:sz w:val="14"/>
          <w:szCs w:val="14"/>
          <w:color w:val="auto"/>
        </w:rPr>
        <w:t>QUARTERLY REPORT PURSUANT TO SECTION 13 OR 15(d) OF THE SECURITIES EXCHANGE ACT OF 1934</w:t>
      </w:r>
    </w:p>
    <w:p>
      <w:pPr>
        <w:spacing w:after="0" w:line="325" w:lineRule="exact"/>
        <w:rPr>
          <w:sz w:val="24"/>
          <w:szCs w:val="24"/>
          <w:color w:val="auto"/>
        </w:rPr>
      </w:pPr>
    </w:p>
    <w:p>
      <w:pPr>
        <w:jc w:val="center"/>
        <w:ind w:right="20"/>
        <w:spacing w:after="0"/>
        <w:rPr>
          <w:sz w:val="20"/>
          <w:szCs w:val="20"/>
          <w:color w:val="auto"/>
        </w:rPr>
      </w:pPr>
      <w:r>
        <w:rPr>
          <w:rFonts w:ascii="Verdana" w:cs="Verdana" w:eastAsia="Verdana" w:hAnsi="Verdana"/>
          <w:sz w:val="16"/>
          <w:szCs w:val="16"/>
          <w:b w:val="1"/>
          <w:bCs w:val="1"/>
          <w:color w:val="auto"/>
        </w:rPr>
        <w:t>For the quarterly period ended June 30, 2024</w:t>
      </w:r>
    </w:p>
    <w:p>
      <w:pPr>
        <w:spacing w:after="0" w:line="67"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OR</w:t>
      </w:r>
    </w:p>
    <w:p>
      <w:pPr>
        <w:spacing w:after="0" w:line="262" w:lineRule="exact"/>
        <w:rPr>
          <w:sz w:val="24"/>
          <w:szCs w:val="24"/>
          <w:color w:val="auto"/>
        </w:rPr>
      </w:pPr>
    </w:p>
    <w:p>
      <w:pPr>
        <w:ind w:left="540" w:hanging="367"/>
        <w:spacing w:after="0"/>
        <w:tabs>
          <w:tab w:leader="none" w:pos="540" w:val="left"/>
        </w:tabs>
        <w:numPr>
          <w:ilvl w:val="0"/>
          <w:numId w:val="2"/>
        </w:numPr>
        <w:rPr>
          <w:rFonts w:ascii="Wingdings" w:cs="Wingdings" w:eastAsia="Wingdings" w:hAnsi="Wingdings"/>
          <w:sz w:val="14"/>
          <w:szCs w:val="14"/>
          <w:b w:val="1"/>
          <w:bCs w:val="1"/>
          <w:color w:val="auto"/>
        </w:rPr>
      </w:pPr>
      <w:r>
        <w:rPr>
          <w:rFonts w:ascii="Verdana" w:cs="Verdana" w:eastAsia="Verdana" w:hAnsi="Verdana"/>
          <w:sz w:val="14"/>
          <w:szCs w:val="14"/>
          <w:color w:val="auto"/>
        </w:rPr>
        <w:t>TRANSITION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transition period from to</w:t>
      </w:r>
    </w:p>
    <w:p>
      <w:pPr>
        <w:spacing w:after="0" w:line="185"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Commission file number 001-40960</w:t>
      </w:r>
    </w:p>
    <w:p>
      <w:pPr>
        <w:spacing w:after="0" w:line="161" w:lineRule="exact"/>
        <w:rPr>
          <w:sz w:val="24"/>
          <w:szCs w:val="24"/>
          <w:color w:val="auto"/>
        </w:rPr>
      </w:pPr>
    </w:p>
    <w:p>
      <w:pPr>
        <w:jc w:val="center"/>
        <w:ind w:right="20"/>
        <w:spacing w:after="0"/>
        <w:rPr>
          <w:sz w:val="20"/>
          <w:szCs w:val="20"/>
          <w:color w:val="auto"/>
        </w:rPr>
      </w:pPr>
      <w:r>
        <w:rPr>
          <w:rFonts w:ascii="Verdana" w:cs="Verdana" w:eastAsia="Verdana" w:hAnsi="Verdana"/>
          <w:sz w:val="32"/>
          <w:szCs w:val="32"/>
          <w:b w:val="1"/>
          <w:bCs w:val="1"/>
          <w:color w:val="auto"/>
        </w:rPr>
        <w:t>Arteris, Inc.</w:t>
      </w:r>
    </w:p>
    <w:p>
      <w:pPr>
        <w:sectPr>
          <w:pgSz w:w="11900" w:h="16838" w:orient="portrait"/>
          <w:cols w:equalWidth="0" w:num="1">
            <w:col w:w="11260"/>
          </w:cols>
          <w:pgMar w:left="320" w:top="242" w:right="319" w:bottom="1440" w:gutter="0" w:footer="0" w:header="0"/>
        </w:sectPr>
      </w:pPr>
    </w:p>
    <w:p>
      <w:pPr>
        <w:spacing w:after="0" w:line="5" w:lineRule="exact"/>
        <w:rPr>
          <w:sz w:val="24"/>
          <w:szCs w:val="24"/>
          <w:color w:val="auto"/>
        </w:rPr>
      </w:pPr>
    </w:p>
    <w:p>
      <w:pPr>
        <w:ind w:left="3500"/>
        <w:spacing w:after="0"/>
        <w:rPr>
          <w:sz w:val="20"/>
          <w:szCs w:val="20"/>
          <w:color w:val="auto"/>
        </w:rPr>
      </w:pPr>
      <w:r>
        <w:rPr>
          <w:rFonts w:ascii="Verdana" w:cs="Verdana" w:eastAsia="Verdana" w:hAnsi="Verdana"/>
          <w:sz w:val="16"/>
          <w:szCs w:val="16"/>
          <w:color w:val="auto"/>
        </w:rPr>
        <w:t>(Exact name of registrant as specified in its charter)</w:t>
      </w:r>
    </w:p>
    <w:p>
      <w:pPr>
        <w:spacing w:after="0" w:line="269" w:lineRule="exact"/>
        <w:rPr>
          <w:sz w:val="24"/>
          <w:szCs w:val="24"/>
          <w:color w:val="auto"/>
        </w:rPr>
      </w:pPr>
    </w:p>
    <w:p>
      <w:pPr>
        <w:ind w:left="1380"/>
        <w:spacing w:after="0"/>
        <w:rPr>
          <w:sz w:val="20"/>
          <w:szCs w:val="20"/>
          <w:color w:val="auto"/>
        </w:rPr>
      </w:pPr>
      <w:r>
        <w:rPr>
          <w:rFonts w:ascii="Verdana" w:cs="Verdana" w:eastAsia="Verdana" w:hAnsi="Verdana"/>
          <w:sz w:val="14"/>
          <w:szCs w:val="14"/>
          <w:b w:val="1"/>
          <w:bCs w:val="1"/>
          <w:color w:val="auto"/>
        </w:rPr>
        <w:t>Delaware</w:t>
      </w:r>
    </w:p>
    <w:p>
      <w:pPr>
        <w:spacing w:after="0" w:line="127" w:lineRule="exact"/>
        <w:rPr>
          <w:sz w:val="24"/>
          <w:szCs w:val="24"/>
          <w:color w:val="auto"/>
        </w:rPr>
      </w:pPr>
    </w:p>
    <w:p>
      <w:pPr>
        <w:ind w:left="100"/>
        <w:spacing w:after="0"/>
        <w:rPr>
          <w:sz w:val="20"/>
          <w:szCs w:val="20"/>
          <w:color w:val="auto"/>
        </w:rPr>
      </w:pPr>
      <w:r>
        <w:rPr>
          <w:rFonts w:ascii="Verdana" w:cs="Verdana" w:eastAsia="Verdana" w:hAnsi="Verdana"/>
          <w:sz w:val="14"/>
          <w:szCs w:val="14"/>
          <w:color w:val="auto"/>
        </w:rPr>
        <w:t>(State or other jurisdiction of incorporation or</w:t>
      </w:r>
    </w:p>
    <w:p>
      <w:pPr>
        <w:spacing w:after="0" w:line="5" w:lineRule="exact"/>
        <w:rPr>
          <w:sz w:val="24"/>
          <w:szCs w:val="24"/>
          <w:color w:val="auto"/>
        </w:rPr>
      </w:pPr>
    </w:p>
    <w:p>
      <w:pPr>
        <w:jc w:val="center"/>
        <w:ind w:right="5240"/>
        <w:spacing w:after="0"/>
        <w:rPr>
          <w:sz w:val="20"/>
          <w:szCs w:val="20"/>
          <w:color w:val="auto"/>
        </w:rPr>
      </w:pPr>
      <w:r>
        <w:rPr>
          <w:rFonts w:ascii="Verdana" w:cs="Verdana" w:eastAsia="Verdana" w:hAnsi="Verdana"/>
          <w:sz w:val="14"/>
          <w:szCs w:val="14"/>
          <w:color w:val="auto"/>
        </w:rPr>
        <w:t>organization)</w:t>
      </w:r>
    </w:p>
    <w:p>
      <w:pPr>
        <w:spacing w:after="0" w:line="173" w:lineRule="exact"/>
        <w:rPr>
          <w:sz w:val="24"/>
          <w:szCs w:val="24"/>
          <w:color w:val="auto"/>
        </w:rPr>
      </w:pPr>
    </w:p>
    <w:p>
      <w:pPr>
        <w:jc w:val="center"/>
        <w:ind w:right="5240"/>
        <w:spacing w:after="0"/>
        <w:rPr>
          <w:sz w:val="20"/>
          <w:szCs w:val="20"/>
          <w:color w:val="auto"/>
        </w:rPr>
      </w:pPr>
      <w:r>
        <w:rPr>
          <w:rFonts w:ascii="Verdana" w:cs="Verdana" w:eastAsia="Verdana" w:hAnsi="Verdana"/>
          <w:sz w:val="14"/>
          <w:szCs w:val="14"/>
          <w:b w:val="1"/>
          <w:bCs w:val="1"/>
          <w:color w:val="auto"/>
        </w:rPr>
        <w:t>900 E. Hamilton Ave., Suite 300</w:t>
      </w:r>
    </w:p>
    <w:p>
      <w:pPr>
        <w:jc w:val="center"/>
        <w:ind w:right="5240"/>
        <w:spacing w:after="0"/>
        <w:rPr>
          <w:sz w:val="20"/>
          <w:szCs w:val="20"/>
          <w:color w:val="auto"/>
        </w:rPr>
      </w:pPr>
      <w:r>
        <w:rPr>
          <w:rFonts w:ascii="Verdana" w:cs="Verdana" w:eastAsia="Verdana" w:hAnsi="Verdana"/>
          <w:sz w:val="14"/>
          <w:szCs w:val="14"/>
          <w:b w:val="1"/>
          <w:bCs w:val="1"/>
          <w:color w:val="auto"/>
        </w:rPr>
        <w:t>Campbell, CA</w:t>
      </w:r>
    </w:p>
    <w:p>
      <w:pPr>
        <w:spacing w:after="0" w:line="19" w:lineRule="exact"/>
        <w:rPr>
          <w:sz w:val="24"/>
          <w:szCs w:val="24"/>
          <w:color w:val="auto"/>
        </w:rPr>
      </w:pPr>
    </w:p>
    <w:p>
      <w:pPr>
        <w:ind w:left="360"/>
        <w:spacing w:after="0"/>
        <w:rPr>
          <w:sz w:val="20"/>
          <w:szCs w:val="20"/>
          <w:color w:val="auto"/>
        </w:rPr>
      </w:pPr>
      <w:r>
        <w:rPr>
          <w:rFonts w:ascii="Verdana" w:cs="Verdana" w:eastAsia="Verdana" w:hAnsi="Verdana"/>
          <w:sz w:val="14"/>
          <w:szCs w:val="14"/>
          <w:color w:val="auto"/>
        </w:rPr>
        <w:t>(Address of principal executive offices)</w:t>
      </w:r>
    </w:p>
    <w:p>
      <w:pPr>
        <w:spacing w:after="0" w:line="4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(408) 470-7300</w:t>
      </w:r>
    </w:p>
    <w:p>
      <w:pPr>
        <w:spacing w:after="0" w:line="3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(Registrant’s telephone number, including area code)</w:t>
      </w:r>
    </w:p>
    <w:p>
      <w:pPr>
        <w:spacing w:after="0" w:line="3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N/A</w:t>
      </w:r>
    </w:p>
    <w:p>
      <w:pPr>
        <w:spacing w:after="0" w:line="31" w:lineRule="exact"/>
        <w:rPr>
          <w:sz w:val="24"/>
          <w:szCs w:val="24"/>
          <w:color w:val="auto"/>
        </w:rPr>
      </w:pPr>
    </w:p>
    <w:p>
      <w:pPr>
        <w:jc w:val="center"/>
        <w:ind w:left="2480"/>
        <w:spacing w:after="0"/>
        <w:rPr>
          <w:sz w:val="20"/>
          <w:szCs w:val="20"/>
          <w:color w:val="auto"/>
        </w:rPr>
      </w:pPr>
      <w:r>
        <w:rPr>
          <w:rFonts w:ascii="Verdana" w:cs="Verdana" w:eastAsia="Verdana" w:hAnsi="Verdana"/>
          <w:sz w:val="13"/>
          <w:szCs w:val="13"/>
          <w:b w:val="1"/>
          <w:bCs w:val="1"/>
          <w:color w:val="auto"/>
        </w:rPr>
        <w:t>(Former name, former address and former fiscal year, if changed since last report)</w:t>
      </w:r>
    </w:p>
    <w:p>
      <w:pPr>
        <w:spacing w:after="0" w:line="171" w:lineRule="exact"/>
        <w:rPr>
          <w:sz w:val="24"/>
          <w:szCs w:val="24"/>
          <w:color w:val="auto"/>
        </w:rPr>
      </w:pPr>
    </w:p>
    <w:p>
      <w:pPr>
        <w:spacing w:after="0"/>
        <w:rPr>
          <w:sz w:val="20"/>
          <w:szCs w:val="20"/>
          <w:color w:val="auto"/>
        </w:rPr>
      </w:pPr>
      <w:r>
        <w:rPr>
          <w:rFonts w:ascii="Verdana" w:cs="Verdana" w:eastAsia="Verdana" w:hAnsi="Verdana"/>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800"/>
        <w:spacing w:after="0"/>
        <w:rPr>
          <w:sz w:val="20"/>
          <w:szCs w:val="20"/>
          <w:color w:val="auto"/>
        </w:rPr>
      </w:pPr>
      <w:r>
        <w:rPr>
          <w:rFonts w:ascii="Verdana" w:cs="Verdana" w:eastAsia="Verdana" w:hAnsi="Verdana"/>
          <w:sz w:val="14"/>
          <w:szCs w:val="14"/>
          <w:b w:val="1"/>
          <w:bCs w:val="1"/>
          <w:color w:val="auto"/>
        </w:rPr>
        <w:t>27-0117058</w:t>
      </w:r>
    </w:p>
    <w:p>
      <w:pPr>
        <w:spacing w:after="0" w:line="167" w:lineRule="exact"/>
        <w:rPr>
          <w:sz w:val="24"/>
          <w:szCs w:val="24"/>
          <w:color w:val="auto"/>
        </w:rPr>
      </w:pPr>
    </w:p>
    <w:p>
      <w:pPr>
        <w:jc w:val="both"/>
        <w:ind w:right="800" w:firstLine="51"/>
        <w:spacing w:after="0" w:line="327" w:lineRule="auto"/>
        <w:rPr>
          <w:sz w:val="20"/>
          <w:szCs w:val="20"/>
          <w:color w:val="auto"/>
        </w:rPr>
      </w:pPr>
      <w:r>
        <w:rPr>
          <w:rFonts w:ascii="Verdana" w:cs="Verdana" w:eastAsia="Verdana" w:hAnsi="Verdana"/>
          <w:sz w:val="14"/>
          <w:szCs w:val="14"/>
          <w:color w:val="auto"/>
        </w:rPr>
        <w:t>(I.R.S. Employer Identification No.)</w:t>
      </w:r>
    </w:p>
    <w:p>
      <w:pPr>
        <w:spacing w:after="0" w:line="76" w:lineRule="exact"/>
        <w:rPr>
          <w:sz w:val="24"/>
          <w:szCs w:val="24"/>
          <w:color w:val="auto"/>
        </w:rPr>
      </w:pPr>
    </w:p>
    <w:p>
      <w:pPr>
        <w:jc w:val="center"/>
        <w:ind w:right="800"/>
        <w:spacing w:after="0"/>
        <w:rPr>
          <w:sz w:val="20"/>
          <w:szCs w:val="20"/>
          <w:color w:val="auto"/>
        </w:rPr>
      </w:pPr>
      <w:r>
        <w:rPr>
          <w:rFonts w:ascii="Verdana" w:cs="Verdana" w:eastAsia="Verdana" w:hAnsi="Verdana"/>
          <w:sz w:val="14"/>
          <w:szCs w:val="14"/>
          <w:b w:val="1"/>
          <w:bCs w:val="1"/>
          <w:color w:val="auto"/>
        </w:rPr>
        <w:t>95008</w:t>
      </w:r>
    </w:p>
    <w:p>
      <w:pPr>
        <w:spacing w:after="0" w:line="167" w:lineRule="exact"/>
        <w:rPr>
          <w:sz w:val="24"/>
          <w:szCs w:val="24"/>
          <w:color w:val="auto"/>
        </w:rPr>
      </w:pPr>
    </w:p>
    <w:p>
      <w:pPr>
        <w:jc w:val="center"/>
        <w:ind w:right="800"/>
        <w:spacing w:after="0"/>
        <w:rPr>
          <w:sz w:val="20"/>
          <w:szCs w:val="20"/>
          <w:color w:val="auto"/>
        </w:rPr>
      </w:pPr>
      <w:r>
        <w:rPr>
          <w:rFonts w:ascii="Verdana" w:cs="Verdana" w:eastAsia="Verdana" w:hAnsi="Verdana"/>
          <w:sz w:val="14"/>
          <w:szCs w:val="14"/>
          <w:color w:val="auto"/>
        </w:rPr>
        <w:t>(Zip Code)</w:t>
      </w:r>
    </w:p>
    <w:p>
      <w:pPr>
        <w:spacing w:after="0" w:line="1306" w:lineRule="exact"/>
        <w:rPr>
          <w:sz w:val="24"/>
          <w:szCs w:val="24"/>
          <w:color w:val="auto"/>
        </w:rPr>
      </w:pPr>
    </w:p>
    <w:p>
      <w:pPr>
        <w:sectPr>
          <w:pgSz w:w="11900" w:h="16838" w:orient="portrait"/>
          <w:cols w:equalWidth="0" w:num="2">
            <w:col w:w="8760" w:space="400"/>
            <w:col w:w="2100"/>
          </w:cols>
          <w:pgMar w:left="320" w:top="242" w:right="319" w:bottom="1440" w:gutter="0" w:footer="0" w:header="0"/>
          <w:type w:val="continuous"/>
        </w:sectPr>
      </w:pPr>
    </w:p>
    <w:p>
      <w:pPr>
        <w:spacing w:after="0" w:line="11"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Name of each exchange on which registered</w:t>
            </w:r>
          </w:p>
        </w:tc>
      </w:tr>
      <w:tr>
        <w:trPr>
          <w:trHeight w:val="169"/>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8"/>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7"/>
              </w:rPr>
              <w:t>The Nasdaq Stock Market LLC</w:t>
            </w:r>
          </w:p>
        </w:tc>
      </w:tr>
    </w:tbl>
    <w:p>
      <w:pPr>
        <w:spacing w:after="0" w:line="157" w:lineRule="exact"/>
        <w:rPr>
          <w:sz w:val="24"/>
          <w:szCs w:val="24"/>
          <w:color w:val="auto"/>
        </w:rPr>
      </w:pPr>
    </w:p>
    <w:p>
      <w:pPr>
        <w:ind w:right="140"/>
        <w:spacing w:after="0" w:line="233" w:lineRule="auto"/>
        <w:rPr>
          <w:sz w:val="20"/>
          <w:szCs w:val="20"/>
          <w:color w:val="auto"/>
        </w:rPr>
      </w:pPr>
      <w:r>
        <w:rPr>
          <w:rFonts w:ascii="Verdana" w:cs="Verdana" w:eastAsia="Verdana" w:hAnsi="Verdana"/>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Verdana" w:cs="Verdana" w:eastAsia="Verdana" w:hAnsi="Verdana"/>
          <w:sz w:val="13"/>
          <w:szCs w:val="13"/>
          <w:color w:val="auto"/>
        </w:rPr>
        <w:t xml:space="preserve"> No </w:t>
      </w:r>
      <w:r>
        <w:rPr>
          <w:rFonts w:ascii="Wingdings" w:cs="Wingdings" w:eastAsia="Wingdings" w:hAnsi="Wingdings"/>
          <w:sz w:val="13"/>
          <w:szCs w:val="13"/>
          <w:b w:val="1"/>
          <w:bCs w:val="1"/>
          <w:color w:val="auto"/>
        </w:rPr>
        <w:t>o</w:t>
      </w:r>
    </w:p>
    <w:p>
      <w:pPr>
        <w:spacing w:after="0" w:line="174" w:lineRule="exact"/>
        <w:rPr>
          <w:sz w:val="24"/>
          <w:szCs w:val="24"/>
          <w:color w:val="auto"/>
        </w:rPr>
      </w:pPr>
    </w:p>
    <w:p>
      <w:pPr>
        <w:spacing w:after="0"/>
        <w:rPr>
          <w:sz w:val="20"/>
          <w:szCs w:val="20"/>
          <w:color w:val="auto"/>
        </w:rPr>
      </w:pPr>
      <w:r>
        <w:rPr>
          <w:rFonts w:ascii="Verdana" w:cs="Verdana" w:eastAsia="Verdana" w:hAnsi="Verdana"/>
          <w:sz w:val="12"/>
          <w:szCs w:val="12"/>
          <w:color w:val="auto"/>
        </w:rPr>
        <w:t>Indicate by check mark whether the registrant has submitted electronically and posted on its corporate web site, if any, every Interactive Data File required to be submitted and</w:t>
      </w:r>
    </w:p>
    <w:p>
      <w:pPr>
        <w:spacing w:after="0" w:line="16" w:lineRule="exact"/>
        <w:rPr>
          <w:sz w:val="24"/>
          <w:szCs w:val="24"/>
          <w:color w:val="auto"/>
        </w:rPr>
      </w:pPr>
    </w:p>
    <w:p>
      <w:pPr>
        <w:ind w:right="80"/>
        <w:spacing w:after="0" w:line="237" w:lineRule="auto"/>
        <w:rPr>
          <w:sz w:val="20"/>
          <w:szCs w:val="20"/>
          <w:color w:val="auto"/>
        </w:rPr>
      </w:pPr>
      <w:r>
        <w:rPr>
          <w:rFonts w:ascii="Verdana" w:cs="Verdana" w:eastAsia="Verdana" w:hAnsi="Verdana"/>
          <w:sz w:val="13"/>
          <w:szCs w:val="13"/>
          <w:color w:val="auto"/>
        </w:rPr>
        <w:t xml:space="preserve">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3"/>
          <w:szCs w:val="13"/>
          <w:b w:val="1"/>
          <w:bCs w:val="1"/>
          <w:color w:val="auto"/>
        </w:rPr>
        <w:t>x</w:t>
      </w:r>
      <w:r>
        <w:rPr>
          <w:rFonts w:ascii="Verdana" w:cs="Verdana" w:eastAsia="Verdana" w:hAnsi="Verdana"/>
          <w:sz w:val="13"/>
          <w:szCs w:val="13"/>
          <w:color w:val="auto"/>
        </w:rPr>
        <w:t xml:space="preserve"> No </w:t>
      </w:r>
      <w:r>
        <w:rPr>
          <w:rFonts w:ascii="Wingdings" w:cs="Wingdings" w:eastAsia="Wingdings" w:hAnsi="Wingdings"/>
          <w:sz w:val="13"/>
          <w:szCs w:val="13"/>
          <w:b w:val="1"/>
          <w:bCs w:val="1"/>
          <w:color w:val="auto"/>
        </w:rPr>
        <w:t>o</w:t>
      </w:r>
    </w:p>
    <w:p>
      <w:pPr>
        <w:spacing w:after="0" w:line="174" w:lineRule="exact"/>
        <w:rPr>
          <w:sz w:val="24"/>
          <w:szCs w:val="24"/>
          <w:color w:val="auto"/>
        </w:rPr>
      </w:pPr>
    </w:p>
    <w:p>
      <w:pPr>
        <w:ind w:right="360"/>
        <w:spacing w:after="0" w:line="237" w:lineRule="auto"/>
        <w:rPr>
          <w:sz w:val="20"/>
          <w:szCs w:val="20"/>
          <w:color w:val="auto"/>
        </w:rPr>
      </w:pPr>
      <w:r>
        <w:rPr>
          <w:rFonts w:ascii="Verdana" w:cs="Verdana" w:eastAsia="Verdana" w:hAnsi="Verdana"/>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Verdana" w:cs="Verdana" w:eastAsia="Verdana" w:hAnsi="Verdana"/>
                <w:sz w:val="13"/>
                <w:szCs w:val="13"/>
                <w:color w:val="auto"/>
              </w:rPr>
              <w:t>Large accelerated filer</w:t>
            </w:r>
          </w:p>
        </w:tc>
        <w:tc>
          <w:tcPr>
            <w:tcW w:w="2960" w:type="dxa"/>
            <w:vAlign w:val="bottom"/>
          </w:tcPr>
          <w:p>
            <w:pPr>
              <w:ind w:left="820"/>
              <w:spacing w:after="0"/>
              <w:rPr>
                <w:sz w:val="20"/>
                <w:szCs w:val="20"/>
                <w:color w:val="auto"/>
              </w:rPr>
            </w:pPr>
            <w:r>
              <w:rPr>
                <w:rFonts w:ascii="Wingdings" w:cs="Wingdings" w:eastAsia="Wingdings" w:hAnsi="Wingdings"/>
                <w:sz w:val="13"/>
                <w:szCs w:val="13"/>
                <w:b w:val="1"/>
                <w:bCs w:val="1"/>
                <w:color w:val="auto"/>
              </w:rPr>
              <w:t>o</w:t>
            </w:r>
          </w:p>
        </w:tc>
        <w:tc>
          <w:tcPr>
            <w:tcW w:w="4800" w:type="dxa"/>
            <w:vAlign w:val="bottom"/>
          </w:tcPr>
          <w:p>
            <w:pPr>
              <w:ind w:left="2000"/>
              <w:spacing w:after="0"/>
              <w:rPr>
                <w:sz w:val="20"/>
                <w:szCs w:val="20"/>
                <w:color w:val="auto"/>
              </w:rPr>
            </w:pPr>
            <w:r>
              <w:rPr>
                <w:rFonts w:ascii="Verdana" w:cs="Verdana" w:eastAsia="Verdana" w:hAnsi="Verdana"/>
                <w:sz w:val="13"/>
                <w:szCs w:val="13"/>
                <w:color w:val="auto"/>
              </w:rPr>
              <w:t>Accelerated filer</w:t>
            </w:r>
          </w:p>
        </w:tc>
        <w:tc>
          <w:tcPr>
            <w:tcW w:w="1200" w:type="dxa"/>
            <w:vAlign w:val="bottom"/>
          </w:tcPr>
          <w:p>
            <w:pPr>
              <w:jc w:val="right"/>
              <w:spacing w:after="0"/>
              <w:rPr>
                <w:sz w:val="20"/>
                <w:szCs w:val="20"/>
                <w:color w:val="auto"/>
              </w:rPr>
            </w:pPr>
            <w:r>
              <w:rPr>
                <w:rFonts w:ascii="Wingdings" w:cs="Wingdings" w:eastAsia="Wingdings" w:hAnsi="Wingdings"/>
                <w:sz w:val="13"/>
                <w:szCs w:val="13"/>
                <w:b w:val="1"/>
                <w:bCs w:val="1"/>
                <w:color w:val="auto"/>
              </w:rPr>
              <w:t>o</w:t>
            </w:r>
          </w:p>
        </w:tc>
        <w:tc>
          <w:tcPr>
            <w:tcW w:w="0" w:type="dxa"/>
            <w:vAlign w:val="bottom"/>
          </w:tcPr>
          <w:p>
            <w:pPr>
              <w:spacing w:after="0"/>
              <w:rPr>
                <w:sz w:val="1"/>
                <w:szCs w:val="1"/>
                <w:color w:val="auto"/>
              </w:rPr>
            </w:pPr>
          </w:p>
        </w:tc>
      </w:tr>
      <w:tr>
        <w:trPr>
          <w:trHeight w:val="284"/>
        </w:trPr>
        <w:tc>
          <w:tcPr>
            <w:tcW w:w="2240" w:type="dxa"/>
            <w:vAlign w:val="bottom"/>
          </w:tcPr>
          <w:p>
            <w:pPr>
              <w:spacing w:after="0"/>
              <w:rPr>
                <w:sz w:val="20"/>
                <w:szCs w:val="20"/>
                <w:color w:val="auto"/>
              </w:rPr>
            </w:pPr>
            <w:r>
              <w:rPr>
                <w:rFonts w:ascii="Verdana" w:cs="Verdana" w:eastAsia="Verdana" w:hAnsi="Verdana"/>
                <w:sz w:val="13"/>
                <w:szCs w:val="13"/>
                <w:color w:val="auto"/>
              </w:rPr>
              <w:t>Non-accelerated filer</w:t>
            </w:r>
          </w:p>
        </w:tc>
        <w:tc>
          <w:tcPr>
            <w:tcW w:w="2960" w:type="dxa"/>
            <w:vAlign w:val="bottom"/>
          </w:tcPr>
          <w:p>
            <w:pPr>
              <w:ind w:left="820"/>
              <w:spacing w:after="0"/>
              <w:rPr>
                <w:sz w:val="20"/>
                <w:szCs w:val="20"/>
                <w:color w:val="auto"/>
              </w:rPr>
            </w:pPr>
            <w:r>
              <w:rPr>
                <w:rFonts w:ascii="Wingdings" w:cs="Wingdings" w:eastAsia="Wingdings" w:hAnsi="Wingdings"/>
                <w:sz w:val="13"/>
                <w:szCs w:val="13"/>
                <w:b w:val="1"/>
                <w:bCs w:val="1"/>
                <w:color w:val="auto"/>
              </w:rPr>
              <w:t>x</w:t>
            </w:r>
          </w:p>
        </w:tc>
        <w:tc>
          <w:tcPr>
            <w:tcW w:w="4800" w:type="dxa"/>
            <w:vAlign w:val="bottom"/>
          </w:tcPr>
          <w:p>
            <w:pPr>
              <w:ind w:left="2000"/>
              <w:spacing w:after="0"/>
              <w:rPr>
                <w:sz w:val="20"/>
                <w:szCs w:val="20"/>
                <w:color w:val="auto"/>
              </w:rPr>
            </w:pPr>
            <w:r>
              <w:rPr>
                <w:rFonts w:ascii="Verdana" w:cs="Verdana" w:eastAsia="Verdana" w:hAnsi="Verdana"/>
                <w:sz w:val="13"/>
                <w:szCs w:val="13"/>
                <w:color w:val="auto"/>
              </w:rPr>
              <w:t>Smaller reporting company</w:t>
            </w:r>
          </w:p>
        </w:tc>
        <w:tc>
          <w:tcPr>
            <w:tcW w:w="1200" w:type="dxa"/>
            <w:vAlign w:val="bottom"/>
            <w:vMerge w:val="restart"/>
          </w:tcPr>
          <w:p>
            <w:pPr>
              <w:jc w:val="right"/>
              <w:spacing w:after="0"/>
              <w:rPr>
                <w:sz w:val="20"/>
                <w:szCs w:val="20"/>
                <w:color w:val="auto"/>
              </w:rPr>
            </w:pPr>
            <w:r>
              <w:rPr>
                <w:rFonts w:ascii="Wingdings" w:cs="Wingdings" w:eastAsia="Wingdings" w:hAnsi="Wingdings"/>
                <w:sz w:val="13"/>
                <w:szCs w:val="13"/>
                <w:b w:val="1"/>
                <w:bCs w:val="1"/>
                <w:color w:val="auto"/>
              </w:rPr>
              <w:t>x</w:t>
            </w: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2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00" w:type="dxa"/>
            <w:vAlign w:val="bottom"/>
          </w:tcPr>
          <w:p>
            <w:pPr>
              <w:ind w:left="2000"/>
              <w:spacing w:after="0"/>
              <w:rPr>
                <w:sz w:val="20"/>
                <w:szCs w:val="20"/>
                <w:color w:val="auto"/>
              </w:rPr>
            </w:pPr>
            <w:r>
              <w:rPr>
                <w:rFonts w:ascii="Verdana" w:cs="Verdana" w:eastAsia="Verdana" w:hAnsi="Verdana"/>
                <w:sz w:val="13"/>
                <w:szCs w:val="13"/>
                <w:color w:val="auto"/>
              </w:rPr>
              <w:t>Emerging growth company</w:t>
            </w:r>
          </w:p>
        </w:tc>
        <w:tc>
          <w:tcPr>
            <w:tcW w:w="1200" w:type="dxa"/>
            <w:vAlign w:val="bottom"/>
            <w:vMerge w:val="restart"/>
          </w:tcPr>
          <w:p>
            <w:pPr>
              <w:jc w:val="right"/>
              <w:spacing w:after="0"/>
              <w:rPr>
                <w:sz w:val="20"/>
                <w:szCs w:val="20"/>
                <w:color w:val="auto"/>
              </w:rPr>
            </w:pPr>
            <w:r>
              <w:rPr>
                <w:rFonts w:ascii="Wingdings" w:cs="Wingdings" w:eastAsia="Wingdings" w:hAnsi="Wingdings"/>
                <w:sz w:val="13"/>
                <w:szCs w:val="13"/>
                <w:b w:val="1"/>
                <w:bCs w:val="1"/>
                <w:color w:val="auto"/>
              </w:rPr>
              <w:t>x</w:t>
            </w: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0" w:lineRule="exact"/>
        <w:rPr>
          <w:sz w:val="24"/>
          <w:szCs w:val="24"/>
          <w:color w:val="auto"/>
        </w:rPr>
      </w:pPr>
    </w:p>
    <w:p>
      <w:pPr>
        <w:ind w:right="200"/>
        <w:spacing w:after="0" w:line="237" w:lineRule="auto"/>
        <w:rPr>
          <w:sz w:val="20"/>
          <w:szCs w:val="20"/>
          <w:color w:val="auto"/>
        </w:rPr>
      </w:pPr>
      <w:r>
        <w:rPr>
          <w:rFonts w:ascii="Verdana" w:cs="Verdana" w:eastAsia="Verdana" w:hAnsi="Verdana"/>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87" w:lineRule="exact"/>
        <w:rPr>
          <w:sz w:val="24"/>
          <w:szCs w:val="24"/>
          <w:color w:val="auto"/>
        </w:rPr>
      </w:pPr>
    </w:p>
    <w:p>
      <w:pPr>
        <w:spacing w:after="0"/>
        <w:tabs>
          <w:tab w:leader="none" w:pos="6740" w:val="left"/>
          <w:tab w:leader="none" w:pos="7300" w:val="left"/>
        </w:tabs>
        <w:rPr>
          <w:sz w:val="20"/>
          <w:szCs w:val="20"/>
          <w:color w:val="auto"/>
        </w:rPr>
      </w:pPr>
      <w:r>
        <w:rPr>
          <w:rFonts w:ascii="Verdana" w:cs="Verdana" w:eastAsia="Verdana" w:hAnsi="Verdana"/>
          <w:sz w:val="13"/>
          <w:szCs w:val="13"/>
          <w:color w:val="auto"/>
        </w:rPr>
        <w:t>Indicate by check mark whether the registrant is a shell company (as defined in Rule 12b-2 of the Act).</w:t>
        <w:tab/>
        <w:t xml:space="preserve">Yes  </w:t>
      </w:r>
      <w:r>
        <w:rPr>
          <w:rFonts w:ascii="Wingdings" w:cs="Wingdings" w:eastAsia="Wingdings" w:hAnsi="Wingdings"/>
          <w:sz w:val="13"/>
          <w:szCs w:val="13"/>
          <w:b w:val="1"/>
          <w:bCs w:val="1"/>
          <w:color w:val="auto"/>
        </w:rPr>
        <w:t>o</w:t>
      </w:r>
      <w:r>
        <w:rPr>
          <w:rFonts w:ascii="Verdana" w:cs="Verdana" w:eastAsia="Verdana" w:hAnsi="Verdana"/>
          <w:sz w:val="13"/>
          <w:szCs w:val="13"/>
          <w:color w:val="auto"/>
        </w:rPr>
        <w:tab/>
        <w:t xml:space="preserve">No </w:t>
      </w:r>
      <w:r>
        <w:rPr>
          <w:rFonts w:ascii="Wingdings" w:cs="Wingdings" w:eastAsia="Wingdings" w:hAnsi="Wingdings"/>
          <w:sz w:val="13"/>
          <w:szCs w:val="13"/>
          <w:b w:val="1"/>
          <w:bCs w:val="1"/>
          <w:color w:val="auto"/>
        </w:rPr>
        <w:t>x</w:t>
      </w:r>
    </w:p>
    <w:p>
      <w:pPr>
        <w:spacing w:after="0" w:line="179" w:lineRule="exact"/>
        <w:rPr>
          <w:sz w:val="24"/>
          <w:szCs w:val="24"/>
          <w:color w:val="auto"/>
        </w:rPr>
      </w:pPr>
    </w:p>
    <w:p>
      <w:pPr>
        <w:spacing w:after="0"/>
        <w:rPr>
          <w:sz w:val="20"/>
          <w:szCs w:val="20"/>
          <w:color w:val="auto"/>
        </w:rPr>
      </w:pPr>
      <w:r>
        <w:rPr>
          <w:rFonts w:ascii="Verdana" w:cs="Verdana" w:eastAsia="Verdana" w:hAnsi="Verdana"/>
          <w:sz w:val="13"/>
          <w:szCs w:val="13"/>
          <w:color w:val="auto"/>
        </w:rPr>
        <w:t>As of July 25, 2024, there were 39,257,166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42" w:right="31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78"/>
        </w:trPr>
        <w:tc>
          <w:tcPr>
            <w:tcW w:w="9580" w:type="dxa"/>
            <w:vAlign w:val="bottom"/>
            <w:gridSpan w:val="23"/>
          </w:tcPr>
          <w:p>
            <w:pPr>
              <w:spacing w:after="0"/>
              <w:rPr>
                <w:sz w:val="20"/>
                <w:szCs w:val="20"/>
                <w:color w:val="auto"/>
              </w:rPr>
            </w:pPr>
            <w:r>
              <w:rPr>
                <w:rFonts w:ascii="Arial" w:cs="Arial" w:eastAsia="Arial" w:hAnsi="Arial"/>
                <w:sz w:val="14"/>
                <w:szCs w:val="14"/>
                <w:b w:val="1"/>
                <w:bCs w:val="1"/>
                <w:color w:val="0000FF"/>
              </w:rPr>
              <w:t>Part I. Financial Information</w:t>
            </w: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8780" w:type="dxa"/>
            <w:vAlign w:val="bottom"/>
            <w:gridSpan w:val="19"/>
          </w:tcPr>
          <w:p>
            <w:pPr>
              <w:spacing w:after="0"/>
              <w:rPr>
                <w:sz w:val="20"/>
                <w:szCs w:val="20"/>
                <w:color w:val="auto"/>
              </w:rPr>
            </w:pPr>
            <w:r>
              <w:rPr>
                <w:rFonts w:ascii="Arial" w:cs="Arial" w:eastAsia="Arial" w:hAnsi="Arial"/>
                <w:sz w:val="14"/>
                <w:szCs w:val="14"/>
                <w:color w:val="0000FF"/>
              </w:rPr>
              <w:t>Financial Statements (unaudited)</w:t>
            </w: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Condensed Consolidated Balance Sheets as of June 30, 2024 and December 31, 2023</w:t>
            </w:r>
          </w:p>
        </w:tc>
        <w:tc>
          <w:tcPr>
            <w:tcW w:w="3220" w:type="dxa"/>
            <w:vAlign w:val="bottom"/>
            <w:gridSpan w:val="6"/>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Condensed Consolidated Statements of Loss for the Three and Six Months Ended June 30, 2024 and 2023</w:t>
            </w:r>
          </w:p>
        </w:tc>
        <w:tc>
          <w:tcPr>
            <w:tcW w:w="1940" w:type="dxa"/>
            <w:vAlign w:val="bottom"/>
            <w:gridSpan w:val="3"/>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Comprehensive Loss for the Three and Six Months Ended June 30, 2024 and 2023</w:t>
            </w: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8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0000FF"/>
              </w:rPr>
              <w:t>Condensed Consolidated Statements of Stockholders' Equity for the Three and Six Months Ended June 30, 2024 and 2023</w:t>
            </w:r>
          </w:p>
        </w:tc>
        <w:tc>
          <w:tcPr>
            <w:tcW w:w="9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20" w:type="dxa"/>
            <w:vAlign w:val="bottom"/>
            <w:tcBorders>
              <w:top w:val="single" w:sz="8" w:color="0000FF"/>
            </w:tcBorders>
            <w:gridSpan w:val="17"/>
          </w:tcPr>
          <w:p>
            <w:pPr>
              <w:spacing w:after="0"/>
              <w:rPr>
                <w:sz w:val="20"/>
                <w:szCs w:val="20"/>
                <w:color w:val="auto"/>
              </w:rPr>
            </w:pPr>
            <w:r>
              <w:rPr>
                <w:rFonts w:ascii="Arial" w:cs="Arial" w:eastAsia="Arial" w:hAnsi="Arial"/>
                <w:sz w:val="14"/>
                <w:szCs w:val="14"/>
                <w:color w:val="0000FF"/>
              </w:rPr>
              <w:t>Condensed Consolidated Statements of Cash Flows for the Six Months Ended June 30, 2024 and 2023</w:t>
            </w:r>
          </w:p>
        </w:tc>
        <w:tc>
          <w:tcPr>
            <w:tcW w:w="960" w:type="dxa"/>
            <w:vAlign w:val="bottom"/>
            <w:gridSpan w:val="2"/>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300" w:type="dxa"/>
            <w:vAlign w:val="bottom"/>
            <w:tcBorders>
              <w:top w:val="single" w:sz="8" w:color="0000FF"/>
            </w:tcBorders>
            <w:gridSpan w:val="3"/>
          </w:tcPr>
          <w:p>
            <w:pPr>
              <w:spacing w:after="0"/>
              <w:rPr>
                <w:sz w:val="17"/>
                <w:szCs w:val="17"/>
                <w:color w:val="auto"/>
              </w:rPr>
            </w:pPr>
          </w:p>
        </w:tc>
        <w:tc>
          <w:tcPr>
            <w:tcW w:w="2200" w:type="dxa"/>
            <w:vAlign w:val="bottom"/>
            <w:gridSpan w:val="4"/>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2.</w:t>
            </w:r>
          </w:p>
        </w:tc>
        <w:tc>
          <w:tcPr>
            <w:tcW w:w="878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3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3.</w:t>
            </w:r>
          </w:p>
        </w:tc>
        <w:tc>
          <w:tcPr>
            <w:tcW w:w="878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3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878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13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580" w:type="dxa"/>
            <w:vAlign w:val="bottom"/>
            <w:gridSpan w:val="23"/>
          </w:tcPr>
          <w:p>
            <w:pPr>
              <w:spacing w:after="0"/>
              <w:rPr>
                <w:sz w:val="20"/>
                <w:szCs w:val="20"/>
                <w:color w:val="auto"/>
              </w:rPr>
            </w:pPr>
            <w:r>
              <w:rPr>
                <w:rFonts w:ascii="Arial" w:cs="Arial" w:eastAsia="Arial" w:hAnsi="Arial"/>
                <w:sz w:val="14"/>
                <w:szCs w:val="14"/>
                <w:b w:val="1"/>
                <w:bCs w:val="1"/>
                <w:color w:val="0000FF"/>
              </w:rPr>
              <w:t>Part II. Other Information</w:t>
            </w:r>
          </w:p>
        </w:tc>
        <w:tc>
          <w:tcPr>
            <w:tcW w:w="13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Item 1.</w:t>
            </w:r>
          </w:p>
        </w:tc>
        <w:tc>
          <w:tcPr>
            <w:tcW w:w="260" w:type="dxa"/>
            <w:vAlign w:val="bottom"/>
            <w:gridSpan w:val="2"/>
          </w:tcPr>
          <w:p>
            <w:pPr>
              <w:spacing w:after="0"/>
              <w:rPr>
                <w:sz w:val="17"/>
                <w:szCs w:val="17"/>
                <w:color w:val="auto"/>
              </w:rPr>
            </w:pPr>
          </w:p>
        </w:tc>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Legal Proceedings</w:t>
            </w:r>
          </w:p>
        </w:tc>
        <w:tc>
          <w:tcPr>
            <w:tcW w:w="7580" w:type="dxa"/>
            <w:vAlign w:val="bottom"/>
            <w:gridSpan w:val="13"/>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8780" w:type="dxa"/>
            <w:vAlign w:val="bottom"/>
            <w:gridSpan w:val="19"/>
          </w:tcPr>
          <w:p>
            <w:pPr>
              <w:spacing w:after="0"/>
              <w:rPr>
                <w:sz w:val="20"/>
                <w:szCs w:val="20"/>
                <w:color w:val="auto"/>
              </w:rPr>
            </w:pPr>
            <w:r>
              <w:rPr>
                <w:rFonts w:ascii="Arial" w:cs="Arial" w:eastAsia="Arial" w:hAnsi="Arial"/>
                <w:sz w:val="14"/>
                <w:szCs w:val="14"/>
                <w:color w:val="0000FF"/>
              </w:rPr>
              <w:t>Risk Factors</w:t>
            </w:r>
          </w:p>
        </w:tc>
        <w:tc>
          <w:tcPr>
            <w:tcW w:w="13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3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96"/>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Item 3.</w:t>
            </w:r>
          </w:p>
        </w:tc>
        <w:tc>
          <w:tcPr>
            <w:tcW w:w="100" w:type="dxa"/>
            <w:vAlign w:val="bottom"/>
          </w:tcPr>
          <w:p>
            <w:pPr>
              <w:spacing w:after="0"/>
              <w:rPr>
                <w:sz w:val="17"/>
                <w:szCs w:val="17"/>
                <w:color w:val="auto"/>
              </w:rPr>
            </w:pPr>
          </w:p>
        </w:tc>
        <w:tc>
          <w:tcPr>
            <w:tcW w:w="388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Defaults Upon Senior Securities</w:t>
            </w:r>
          </w:p>
        </w:tc>
        <w:tc>
          <w:tcPr>
            <w:tcW w:w="4900" w:type="dxa"/>
            <w:vAlign w:val="bottom"/>
            <w:gridSpan w:val="8"/>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7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8780" w:type="dxa"/>
            <w:vAlign w:val="bottom"/>
            <w:gridSpan w:val="19"/>
          </w:tcPr>
          <w:p>
            <w:pPr>
              <w:spacing w:after="0"/>
              <w:rPr>
                <w:sz w:val="20"/>
                <w:szCs w:val="20"/>
                <w:color w:val="auto"/>
              </w:rPr>
            </w:pPr>
            <w:r>
              <w:rPr>
                <w:rFonts w:ascii="Arial" w:cs="Arial" w:eastAsia="Arial" w:hAnsi="Arial"/>
                <w:sz w:val="14"/>
                <w:szCs w:val="14"/>
                <w:color w:val="0000FF"/>
              </w:rPr>
              <w:t>Mine Safety Disclosures</w:t>
            </w:r>
          </w:p>
        </w:tc>
        <w:tc>
          <w:tcPr>
            <w:tcW w:w="13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40" w:type="dxa"/>
            <w:vAlign w:val="bottom"/>
            <w:gridSpan w:val="1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8780" w:type="dxa"/>
            <w:vAlign w:val="bottom"/>
            <w:gridSpan w:val="19"/>
          </w:tcPr>
          <w:p>
            <w:pPr>
              <w:spacing w:after="0"/>
              <w:rPr>
                <w:sz w:val="20"/>
                <w:szCs w:val="20"/>
                <w:color w:val="auto"/>
              </w:rPr>
            </w:pPr>
            <w:r>
              <w:rPr>
                <w:rFonts w:ascii="Arial" w:cs="Arial" w:eastAsia="Arial" w:hAnsi="Arial"/>
                <w:sz w:val="14"/>
                <w:szCs w:val="14"/>
                <w:color w:val="0000FF"/>
              </w:rPr>
              <w:t>Other Information</w:t>
            </w:r>
          </w:p>
        </w:tc>
        <w:tc>
          <w:tcPr>
            <w:tcW w:w="13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7660" w:type="dxa"/>
            <w:vAlign w:val="bottom"/>
            <w:gridSpan w:val="1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8780" w:type="dxa"/>
            <w:vAlign w:val="bottom"/>
            <w:gridSpan w:val="19"/>
          </w:tcPr>
          <w:p>
            <w:pPr>
              <w:spacing w:after="0"/>
              <w:rPr>
                <w:sz w:val="20"/>
                <w:szCs w:val="20"/>
                <w:color w:val="auto"/>
              </w:rPr>
            </w:pPr>
            <w:r>
              <w:rPr>
                <w:rFonts w:ascii="Arial" w:cs="Arial" w:eastAsia="Arial" w:hAnsi="Arial"/>
                <w:sz w:val="14"/>
                <w:szCs w:val="14"/>
                <w:color w:val="0000FF"/>
              </w:rPr>
              <w:t>Exhibits</w:t>
            </w:r>
          </w:p>
        </w:tc>
        <w:tc>
          <w:tcPr>
            <w:tcW w:w="13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Signatures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 w:right="479" w:bottom="1440" w:gutter="0" w:footer="0" w:header="0"/>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gridSpan w:val="2"/>
          </w:tcPr>
          <w:p>
            <w:pPr>
              <w:ind w:left="240"/>
              <w:spacing w:after="0" w:line="155"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600" w:type="dxa"/>
            <w:vAlign w:val="bottom"/>
          </w:tcPr>
          <w:p>
            <w:pPr>
              <w:jc w:val="right"/>
              <w:ind w:right="361"/>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Short-term investments (Note 5)</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23,629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27,477</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 of allowance of $93 as of both June 30, 2024 and December 31, 2023</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12,003</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58,430</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 (Note 5)</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11,802</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Equity method investment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5,999</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96,371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102,801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11,831</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31,537</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financing arrangements, current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46,402</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24,503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25,172</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3,610</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Vendor financing arrangements, noncurrent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noncurrent</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8,810</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87,698</w:t>
            </w: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Arial" w:cs="Arial" w:eastAsia="Arial" w:hAnsi="Arial"/>
                <w:sz w:val="16"/>
                <w:szCs w:val="16"/>
                <w:color w:val="auto"/>
              </w:rPr>
              <w:t>Preferred stock, par value of $0.001 - 10,000,000 shares authorized as of both June 30, 2024 and</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00" w:type="dxa"/>
            <w:vAlign w:val="bottom"/>
          </w:tcPr>
          <w:p>
            <w:pPr>
              <w:ind w:left="140"/>
              <w:spacing w:after="0" w:line="154" w:lineRule="exact"/>
              <w:rPr>
                <w:sz w:val="20"/>
                <w:szCs w:val="20"/>
                <w:color w:val="auto"/>
              </w:rPr>
            </w:pPr>
            <w:r>
              <w:rPr>
                <w:rFonts w:ascii="Arial" w:cs="Arial" w:eastAsia="Arial" w:hAnsi="Arial"/>
                <w:sz w:val="16"/>
                <w:szCs w:val="16"/>
                <w:color w:val="auto"/>
              </w:rPr>
              <w:t>December 31, 2023; no shares issued and outstanding as of both June 30, 2024 and December 31,</w:t>
            </w:r>
          </w:p>
        </w:tc>
        <w:tc>
          <w:tcPr>
            <w:tcW w:w="360" w:type="dxa"/>
            <w:vAlign w:val="bottom"/>
          </w:tcPr>
          <w:p>
            <w:pPr>
              <w:spacing w:after="0"/>
              <w:rPr>
                <w:sz w:val="13"/>
                <w:szCs w:val="13"/>
                <w:color w:val="auto"/>
              </w:rPr>
            </w:pP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400" w:type="dxa"/>
            <w:vAlign w:val="bottom"/>
          </w:tcPr>
          <w:p>
            <w:pPr>
              <w:ind w:left="140"/>
              <w:spacing w:after="0"/>
              <w:rPr>
                <w:sz w:val="20"/>
                <w:szCs w:val="20"/>
                <w:color w:val="auto"/>
              </w:rPr>
            </w:pPr>
            <w:r>
              <w:rPr>
                <w:rFonts w:ascii="Arial" w:cs="Arial" w:eastAsia="Arial" w:hAnsi="Arial"/>
                <w:sz w:val="16"/>
                <w:szCs w:val="16"/>
                <w:color w:val="auto"/>
              </w:rPr>
              <w:t>2023</w:t>
            </w:r>
          </w:p>
        </w:tc>
        <w:tc>
          <w:tcPr>
            <w:tcW w:w="3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400" w:type="dxa"/>
            <w:vAlign w:val="bottom"/>
            <w:shd w:val="clear" w:color="auto" w:fill="CCEEFF"/>
          </w:tcPr>
          <w:p>
            <w:pPr>
              <w:ind w:left="140"/>
              <w:spacing w:after="0" w:line="164" w:lineRule="exact"/>
              <w:rPr>
                <w:sz w:val="20"/>
                <w:szCs w:val="20"/>
                <w:color w:val="auto"/>
              </w:rPr>
            </w:pPr>
            <w:r>
              <w:rPr>
                <w:rFonts w:ascii="Arial" w:cs="Arial" w:eastAsia="Arial" w:hAnsi="Arial"/>
                <w:sz w:val="16"/>
                <w:szCs w:val="16"/>
                <w:color w:val="auto"/>
              </w:rPr>
              <w:t>Common stock, par value of $0.001 - 300,000,000 shares authorized as of both June 30, 2024 and</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0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December 31, 2023; 39,193,088 and 37,518,583 shares issued and outstanding as of June 30, 2024</w:t>
            </w:r>
          </w:p>
        </w:tc>
        <w:tc>
          <w:tcPr>
            <w:tcW w:w="36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December 31, 2023, respectively</w:t>
            </w:r>
          </w:p>
        </w:tc>
        <w:tc>
          <w:tcPr>
            <w:tcW w:w="3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118,193</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(103,247)</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15,103</w:t>
            </w:r>
          </w:p>
        </w:tc>
        <w:tc>
          <w:tcPr>
            <w:tcW w:w="0" w:type="dxa"/>
            <w:vAlign w:val="bottom"/>
          </w:tcPr>
          <w:p>
            <w:pPr>
              <w:spacing w:after="0"/>
              <w:rPr>
                <w:sz w:val="1"/>
                <w:szCs w:val="1"/>
                <w:color w:val="auto"/>
              </w:rPr>
            </w:pPr>
          </w:p>
        </w:tc>
      </w:tr>
      <w:tr>
        <w:trPr>
          <w:trHeight w:val="208"/>
        </w:trPr>
        <w:tc>
          <w:tcPr>
            <w:tcW w:w="74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102,801</w:t>
            </w:r>
          </w:p>
        </w:tc>
        <w:tc>
          <w:tcPr>
            <w:tcW w:w="0" w:type="dxa"/>
            <w:vAlign w:val="bottom"/>
          </w:tcPr>
          <w:p>
            <w:pPr>
              <w:spacing w:after="0"/>
              <w:rPr>
                <w:sz w:val="1"/>
                <w:szCs w:val="1"/>
                <w:color w:val="auto"/>
              </w:rPr>
            </w:pPr>
          </w:p>
        </w:tc>
      </w:tr>
      <w:tr>
        <w:trPr>
          <w:trHeight w:val="23"/>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Condensed Consolidated Statements of Loss</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Licensing, support and maintenance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13,553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12,998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25,292</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24,842</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royalties and other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27,522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27,888</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25,539</w:t>
            </w: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23,468</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8,905</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41,171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42,979</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(17,440)</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and loss from equity method investment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(15,756)</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Loss from equity method investment, net of tax</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(18,175)</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 $</w:t>
            </w:r>
          </w:p>
        </w:tc>
        <w:tc>
          <w:tcPr>
            <w:tcW w:w="108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(0.47)</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Weighted average shares used in computing per share amounts, basic</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38,476,934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35,250,157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38,092,996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34,925,800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6" w:right="51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10"/>
        </w:trPr>
        <w:tc>
          <w:tcPr>
            <w:tcW w:w="5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34"/>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(18,175)</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53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(18,242)</w:t>
            </w:r>
          </w:p>
        </w:tc>
      </w:tr>
      <w:tr>
        <w:trPr>
          <w:trHeight w:val="21"/>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6" w:right="51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BALANCE—March 31, 2024</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38,291,425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$ 122,104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9,546</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287,978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63"/>
        </w:trPr>
        <w:tc>
          <w:tcPr>
            <w:tcW w:w="552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613,685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60"/>
              <w:spacing w:after="0" w:line="16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(RSUs)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3,760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(8,344)</w:t>
            </w:r>
          </w:p>
        </w:tc>
        <w:tc>
          <w:tcPr>
            <w:tcW w:w="0" w:type="dxa"/>
            <w:vAlign w:val="bottom"/>
          </w:tcPr>
          <w:p>
            <w:pPr>
              <w:spacing w:after="0"/>
              <w:rPr>
                <w:sz w:val="1"/>
                <w:szCs w:val="1"/>
                <w:color w:val="auto"/>
              </w:rPr>
            </w:pPr>
          </w:p>
        </w:tc>
      </w:tr>
      <w:tr>
        <w:trPr>
          <w:trHeight w:val="235"/>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BALANCE—June 30, 2024</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39,193,088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 xml:space="preserve"> 126,192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BALANCE—March 31, 2023</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35,298,223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$ 107,009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31,768</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245,780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RSUs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ind w:left="340"/>
              <w:spacing w:after="0"/>
              <w:rPr>
                <w:sz w:val="20"/>
                <w:szCs w:val="20"/>
                <w:color w:val="auto"/>
              </w:rPr>
            </w:pPr>
            <w:r>
              <w:rPr>
                <w:rFonts w:ascii="Arial" w:cs="Arial" w:eastAsia="Arial" w:hAnsi="Arial"/>
                <w:sz w:val="16"/>
                <w:szCs w:val="16"/>
                <w:color w:val="auto"/>
              </w:rPr>
              <w:t>(9,056)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0" w:type="dxa"/>
            <w:vAlign w:val="bottom"/>
          </w:tcPr>
          <w:p>
            <w:pPr>
              <w:spacing w:after="0"/>
              <w:rPr>
                <w:sz w:val="1"/>
                <w:szCs w:val="1"/>
                <w:color w:val="auto"/>
              </w:rPr>
            </w:pPr>
          </w:p>
        </w:tc>
      </w:tr>
      <w:tr>
        <w:trPr>
          <w:trHeight w:val="21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BALANCE—June 30, 2023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36,033,361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95"/>
              </w:rPr>
              <w:t>$ 111,403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26,920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2023</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37,518,583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$ 118,193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15,103</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534,670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163"/>
        </w:trPr>
        <w:tc>
          <w:tcPr>
            <w:tcW w:w="552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1,139,835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60"/>
              <w:spacing w:after="0" w:line="16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(RSUs)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(17,747)</w:t>
            </w:r>
          </w:p>
        </w:tc>
        <w:tc>
          <w:tcPr>
            <w:tcW w:w="0" w:type="dxa"/>
            <w:vAlign w:val="bottom"/>
          </w:tcPr>
          <w:p>
            <w:pPr>
              <w:spacing w:after="0"/>
              <w:rPr>
                <w:sz w:val="1"/>
                <w:szCs w:val="1"/>
                <w:color w:val="auto"/>
              </w:rPr>
            </w:pPr>
          </w:p>
        </w:tc>
      </w:tr>
      <w:tr>
        <w:trPr>
          <w:trHeight w:val="235"/>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BALANCE—June 30, 2024</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39,193,088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 xml:space="preserve"> 126,192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34,625,875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5"/>
              </w:rPr>
              <w:t>$ 103,778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643,477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RSUs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(11,554)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(18,175)</w:t>
            </w:r>
          </w:p>
        </w:tc>
        <w:tc>
          <w:tcPr>
            <w:tcW w:w="0" w:type="dxa"/>
            <w:vAlign w:val="bottom"/>
          </w:tcPr>
          <w:p>
            <w:pPr>
              <w:spacing w:after="0"/>
              <w:rPr>
                <w:sz w:val="1"/>
                <w:szCs w:val="1"/>
                <w:color w:val="auto"/>
              </w:rPr>
            </w:pPr>
          </w:p>
        </w:tc>
      </w:tr>
      <w:tr>
        <w:trPr>
          <w:trHeight w:val="21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BALANCE—June 30, 2023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36,033,361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95"/>
              </w:rPr>
              <w:t>$ 111,403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26,920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Six Months Ended</w:t>
      </w:r>
    </w:p>
    <w:p>
      <w:pPr>
        <w:jc w:val="center"/>
        <w:ind w:left="74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9"/>
        </w:trPr>
        <w:tc>
          <w:tcPr>
            <w:tcW w:w="74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(17,747)</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(18,175)</w:t>
            </w:r>
          </w:p>
        </w:tc>
      </w:tr>
      <w:tr>
        <w:trPr>
          <w:trHeight w:val="206"/>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1,275</w:t>
            </w:r>
          </w:p>
        </w:tc>
      </w:tr>
      <w:tr>
        <w:trPr>
          <w:trHeight w:val="206"/>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7,267</w:t>
            </w: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Amortization of deferred income</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(585)</w:t>
            </w:r>
          </w:p>
        </w:tc>
      </w:tr>
      <w:tr>
        <w:trPr>
          <w:trHeight w:val="206"/>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equity method investment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Net accretion of discounts on available-for-sale securities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206"/>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44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r>
      <w:tr>
        <w:trPr>
          <w:trHeight w:val="198"/>
        </w:trPr>
        <w:tc>
          <w:tcPr>
            <w:tcW w:w="744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(710)</w:t>
            </w:r>
          </w:p>
        </w:tc>
      </w:tr>
      <w:tr>
        <w:trPr>
          <w:trHeight w:val="207"/>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98"/>
        </w:trPr>
        <w:tc>
          <w:tcPr>
            <w:tcW w:w="744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revenue</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2,696</w:t>
            </w:r>
          </w:p>
        </w:tc>
      </w:tr>
      <w:tr>
        <w:trPr>
          <w:trHeight w:val="192"/>
        </w:trPr>
        <w:tc>
          <w:tcPr>
            <w:tcW w:w="74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provided by (used in) operating activities</w:t>
            </w:r>
          </w:p>
        </w:tc>
        <w:tc>
          <w:tcPr>
            <w:tcW w:w="1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(9,944)</w:t>
            </w:r>
          </w:p>
        </w:tc>
      </w:tr>
      <w:tr>
        <w:trPr>
          <w:trHeight w:val="18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(735)</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available-for-sale securities</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(19,544)</w:t>
            </w:r>
          </w:p>
        </w:tc>
      </w:tr>
      <w:tr>
        <w:trPr>
          <w:trHeight w:val="19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maturities of available-for-sale securities and other</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20,650</w:t>
            </w:r>
          </w:p>
        </w:tc>
      </w:tr>
      <w:tr>
        <w:trPr>
          <w:trHeight w:val="200"/>
        </w:trPr>
        <w:tc>
          <w:tcPr>
            <w:tcW w:w="74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investing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78"/>
        </w:trPr>
        <w:tc>
          <w:tcPr>
            <w:tcW w:w="74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contingent consideration for business combination</w:t>
            </w:r>
          </w:p>
        </w:tc>
        <w:tc>
          <w:tcPr>
            <w:tcW w:w="1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Principal payments under vendor financing arrangements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Payments to tax authorities for shares withheld from employees</w:t>
            </w:r>
          </w:p>
        </w:tc>
        <w:tc>
          <w:tcPr>
            <w:tcW w:w="1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0"/>
        </w:trPr>
        <w:tc>
          <w:tcPr>
            <w:tcW w:w="74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provided by (used in) financing activities</w:t>
            </w: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8,432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(10,701)</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37,423</w:t>
            </w: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22,516</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26,722</w:t>
            </w:r>
          </w:p>
        </w:tc>
      </w:tr>
      <w:tr>
        <w:trPr>
          <w:trHeight w:val="25"/>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7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22,128</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26,334</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noncurrent</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92"/>
        </w:trPr>
        <w:tc>
          <w:tcPr>
            <w:tcW w:w="74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22,516</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26,722</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1"/>
        </w:trPr>
        <w:tc>
          <w:tcPr>
            <w:tcW w:w="7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Noncash activities:</w:t>
            </w: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through vendor financing</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w:t>
            </w:r>
          </w:p>
        </w:tc>
      </w:tr>
      <w:tr>
        <w:trPr>
          <w:trHeight w:val="194"/>
        </w:trPr>
        <w:tc>
          <w:tcPr>
            <w:tcW w:w="7440" w:type="dxa"/>
            <w:vAlign w:val="bottom"/>
          </w:tcPr>
          <w:p>
            <w:pPr>
              <w:ind w:left="20"/>
              <w:spacing w:after="0"/>
              <w:rPr>
                <w:sz w:val="20"/>
                <w:szCs w:val="20"/>
                <w:color w:val="auto"/>
              </w:rPr>
            </w:pPr>
            <w:r>
              <w:rPr>
                <w:rFonts w:ascii="Arial" w:cs="Arial" w:eastAsia="Arial" w:hAnsi="Arial"/>
                <w:sz w:val="14"/>
                <w:szCs w:val="14"/>
                <w:color w:val="auto"/>
              </w:rPr>
              <w:t>Operating lease right-of-use assets, exchanged for lease obligations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480</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 In June 2024, the Company registered a subsidiary in Poland and is taking steps to establish an office there.</w:t>
      </w:r>
    </w:p>
    <w:p>
      <w:pPr>
        <w:spacing w:after="0" w:line="18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2023 and the related notes included in the Company’s Form 10-K filed on February 20, 2024 (2023 Form 10-K) with the U.S. Securities and Exchange Commission (SEC). The December 31, 2023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operating results for the three and six months ended June 30, 2024 are not necessarily indicative of the results to be expected for the full year or any other future interim or annual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unaudited condensed consolidated financial statements include the accounts of Arteris, Inc. and its wholly-owned subsidiaries. All intercompany transactions and accounts have been eliminated.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June 30, 2024,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loss.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both June 30, 2024 and December 31, 2023, the Company’s long-term restricted cash balance was $0.4 million, primarily related to a letter of credit for its facility lease agreement. Restricted cash, noncurrent is included in other assets on the unaudited condensed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7"/>
                <w:szCs w:val="17"/>
                <w:color w:val="auto"/>
              </w:rPr>
            </w:pPr>
          </w:p>
        </w:tc>
      </w:tr>
      <w:tr>
        <w:trPr>
          <w:trHeight w:val="147"/>
        </w:trPr>
        <w:tc>
          <w:tcPr>
            <w:tcW w:w="7560" w:type="dxa"/>
            <w:vAlign w:val="bottom"/>
          </w:tcPr>
          <w:p>
            <w:pPr>
              <w:spacing w:after="0"/>
              <w:rPr>
                <w:sz w:val="12"/>
                <w:szCs w:val="12"/>
                <w:color w:val="auto"/>
              </w:rPr>
            </w:pPr>
          </w:p>
        </w:tc>
        <w:tc>
          <w:tcPr>
            <w:tcW w:w="1300" w:type="dxa"/>
            <w:vAlign w:val="bottom"/>
          </w:tcPr>
          <w:p>
            <w:pPr>
              <w:jc w:val="center"/>
              <w:ind w:left="408"/>
              <w:spacing w:after="0" w:line="147"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6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88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2023</w:t>
            </w:r>
          </w:p>
        </w:tc>
      </w:tr>
      <w:tr>
        <w:trPr>
          <w:trHeight w:val="19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94"/>
        </w:trPr>
        <w:tc>
          <w:tcPr>
            <w:tcW w:w="886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26 %</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accounts receivable at period 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jc w:val="center"/>
              <w:ind w:left="988"/>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5"/>
        </w:trPr>
        <w:tc>
          <w:tcPr>
            <w:tcW w:w="40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bottom w:val="single" w:sz="8" w:color="auto"/>
            </w:tcBorders>
            <w:gridSpan w:val="3"/>
          </w:tcPr>
          <w:p>
            <w:pPr>
              <w:jc w:val="center"/>
              <w:ind w:left="98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5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780" w:type="dxa"/>
            <w:vAlign w:val="bottom"/>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97"/>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5140" w:type="dxa"/>
            <w:vAlign w:val="bottom"/>
            <w:gridSpan w:val="2"/>
          </w:tcPr>
          <w:p>
            <w:pPr>
              <w:spacing w:after="0"/>
              <w:rPr>
                <w:sz w:val="20"/>
                <w:szCs w:val="20"/>
                <w:color w:val="auto"/>
              </w:rPr>
            </w:pPr>
            <w:r>
              <w:rPr>
                <w:rFonts w:ascii="Arial" w:cs="Arial" w:eastAsia="Arial" w:hAnsi="Arial"/>
                <w:sz w:val="14"/>
                <w:szCs w:val="14"/>
                <w:color w:val="auto"/>
              </w:rPr>
              <w:t>* Customer accounted for less than 10% of total revenue during the period.</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measures equity classified stock-based awards, including stock options and RSUs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income (loss). For awards that include performance conditions stock-based compensation expense is recognized on a graded vesting basis over the requisite service period. Compensation expense is not recognized until the performance condition becomes probable. The Company accounts for forfeitures related to these awards as they occur.</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measured as the fair value per share of the Company’s common stock on the date of grant.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adopted the 2021 Employee Stock Purchase Plan (the 2021 ESPP) effective on October 26, 2021. The first offering under the 2021 ESPP began on May 22, 2024. Eligible employees are entitled to purchase common stock at the end of six-month offering periods, by means of limited payroll deductions, at a 15% discount from the fair market value of the common stock as of specific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of common stock to be issued under the 2021 ESPP is estimated using the Black-Scholes option pricing model.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ESPP awards is recognized on a straight-line basis over the term of each ESPP offering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significant changes to the Company’s significant accounting policies during the six months ended June 30, 2024 from those disclosed in the annual consolidated financial statements for the year ended December 31,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amends the guidance in ASC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either prospectively or retrospectively, the Company will adopt this ASU on a prospective basis. The Company is currently evaluating the impact of adopting this ASU on its consolidated financial statements and disclosures.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of adopting this ASU on its consolidated financial statements and disclosures.</w:t>
      </w:r>
    </w:p>
    <w:p>
      <w:pPr>
        <w:spacing w:after="0" w:line="17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4"/>
                <w:szCs w:val="14"/>
                <w:color w:val="auto"/>
              </w:rPr>
            </w:pPr>
          </w:p>
        </w:tc>
      </w:tr>
      <w:tr>
        <w:trPr>
          <w:trHeight w:val="185"/>
        </w:trPr>
        <w:tc>
          <w:tcPr>
            <w:tcW w:w="4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25,292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ind w:left="20"/>
              <w:spacing w:after="0"/>
              <w:rPr>
                <w:sz w:val="20"/>
                <w:szCs w:val="20"/>
                <w:color w:val="auto"/>
              </w:rPr>
            </w:pPr>
            <w:r>
              <w:rPr>
                <w:rFonts w:ascii="Verdana" w:cs="Verdana" w:eastAsia="Verdana" w:hAnsi="Verdana"/>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Verdana" w:cs="Verdana" w:eastAsia="Verdana" w:hAnsi="Verdana"/>
                <w:sz w:val="14"/>
                <w:szCs w:val="14"/>
                <w:color w:val="auto"/>
              </w:rPr>
              <w:t>24,842</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1,789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Verdana" w:cs="Verdana" w:eastAsia="Verdana" w:hAnsi="Verdana"/>
                <w:sz w:val="14"/>
                <w:szCs w:val="14"/>
                <w:color w:val="auto"/>
              </w:rPr>
              <w:t>2,990</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Verdana" w:cs="Verdana" w:eastAsia="Verdana" w:hAnsi="Verdana"/>
                <w:sz w:val="14"/>
                <w:szCs w:val="14"/>
                <w:color w:val="auto"/>
              </w:rPr>
              <w:t>56</w:t>
            </w:r>
          </w:p>
        </w:tc>
      </w:tr>
      <w:tr>
        <w:trPr>
          <w:trHeight w:val="192"/>
        </w:trPr>
        <w:tc>
          <w:tcPr>
            <w:tcW w:w="4180" w:type="dxa"/>
            <w:vAlign w:val="bottom"/>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14,575</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27,522</w:t>
            </w:r>
          </w:p>
        </w:tc>
        <w:tc>
          <w:tcPr>
            <w:tcW w:w="80" w:type="dxa"/>
            <w:vAlign w:val="bottom"/>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27,888</w:t>
            </w:r>
          </w:p>
        </w:tc>
      </w:tr>
      <w:tr>
        <w:trPr>
          <w:trHeight w:val="24"/>
        </w:trPr>
        <w:tc>
          <w:tcPr>
            <w:tcW w:w="4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7"/>
        </w:trPr>
        <w:tc>
          <w:tcPr>
            <w:tcW w:w="774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12,003</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 current portion</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 noncurrent portion</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r>
      <w:tr>
        <w:trPr>
          <w:trHeight w:val="194"/>
        </w:trPr>
        <w:tc>
          <w:tcPr>
            <w:tcW w:w="774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61,442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56,709</w:t>
            </w:r>
          </w:p>
        </w:tc>
      </w:tr>
    </w:tbl>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recognized revenue of $11.5 million and $ 8.9 million for the three months ended June 30, 2024 and 2023, respectively, and $20.6 million and $16.5 million for the six months ended June 30, 2024 and 2023, respectively, that was included in the deferred revenue balance at the beginning of the respective periods. Contract assets, current, and contract assets, noncurrent are included in prepaid expenses and other current assets and other assets, respectively, on the unaudited condensed consolidated balance sheets.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2024, non-cancelable contracted but unsatisfied or partially satisfied performance obligations that have not yet been recognized is $75.5 million which includes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$ 43.1 million of this balance over the next 12 months and the remainder thereafter. FSA commitments amounted to $5.6 million and $6.2 million as of June 30, 2024 and December 31, 2023, respectively. The Company has elected to exclude the potential future royalty receipts from these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 capitalized in prepaid expenses and other current assets</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 capitalized in other assets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of capitalized sales commissions was $0.9 million and $1.0 million for the three months ended June 30, 2024 and 2023, respectively, and $1.8 million and $1.9 million for the six months ended June 30, 2024 and 2023, respectively, and are included in sales and marketing expense in the unaudited condensed consolidated statements of loss.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5"/>
        </w:trPr>
        <w:tc>
          <w:tcPr>
            <w:tcW w:w="4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84"/>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8"/>
        </w:trPr>
        <w:tc>
          <w:tcPr>
            <w:tcW w:w="41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(8,344)</w:t>
            </w:r>
          </w:p>
        </w:tc>
        <w:tc>
          <w:tcPr>
            <w:tcW w:w="10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(9,165)</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(17,747)</w:t>
            </w:r>
          </w:p>
        </w:tc>
        <w:tc>
          <w:tcPr>
            <w:tcW w:w="10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(18,175)</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basic and diluted</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38,476,934</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35,250,157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38,092,996</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34,925,800</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0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2060" w:type="dxa"/>
            <w:vAlign w:val="bottom"/>
            <w:gridSpan w:val="3"/>
          </w:tcPr>
          <w:p>
            <w:pPr>
              <w:ind w:left="380"/>
              <w:spacing w:after="0"/>
              <w:rPr>
                <w:sz w:val="20"/>
                <w:szCs w:val="20"/>
                <w:color w:val="auto"/>
              </w:rPr>
            </w:pPr>
            <w:r>
              <w:rPr>
                <w:rFonts w:ascii="Arial" w:cs="Arial" w:eastAsia="Arial" w:hAnsi="Arial"/>
                <w:sz w:val="14"/>
                <w:szCs w:val="14"/>
                <w:b w:val="1"/>
                <w:bCs w:val="1"/>
                <w:color w:val="auto"/>
              </w:rPr>
              <w:t>June 30, 2024</w:t>
            </w: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2023</w:t>
            </w:r>
          </w:p>
        </w:tc>
      </w:tr>
      <w:tr>
        <w:trPr>
          <w:trHeight w:val="197"/>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2,285,281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3,225,714</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6,254,930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7,163,008</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common shares issued for business combination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331,574</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 committed under the 2021 ESPP</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83,445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8,858,515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10,720,296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tables summarize the fair value and amortized cost of the Company’s cash equivalents and available-for-sale securities by major security type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As of June 30, 2024</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16,117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3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16,117</w:t>
            </w: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15,110</w:t>
            </w: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8,676</w:t>
            </w: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8,212</w:t>
            </w: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3,242</w:t>
            </w: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51,399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51,357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 2023</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2"/>
                <w:szCs w:val="12"/>
                <w:color w:val="auto"/>
              </w:rPr>
            </w:pPr>
          </w:p>
        </w:tc>
        <w:tc>
          <w:tcPr>
            <w:tcW w:w="16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19,461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19,490</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10,633</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8,026</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5,658</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Certificate of deposit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96"/>
        </w:trPr>
        <w:tc>
          <w:tcPr>
            <w:tcW w:w="5940" w:type="dxa"/>
            <w:vAlign w:val="bottom"/>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49,796</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dates of the Company’s investments are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June 30, 2024</w:t>
            </w:r>
          </w:p>
        </w:tc>
      </w:tr>
      <w:tr>
        <w:trPr>
          <w:trHeight w:val="197"/>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43,233</w:t>
            </w:r>
          </w:p>
        </w:tc>
      </w:tr>
      <w:tr>
        <w:trPr>
          <w:trHeight w:val="198"/>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 years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8,124</w:t>
            </w:r>
          </w:p>
        </w:tc>
      </w:tr>
      <w:tr>
        <w:trPr>
          <w:trHeight w:val="221"/>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51,357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2024 and December 31, 2023, securities with a fair value of $2.2 million and $3.7 million, respectively, were in a continuous net unrealized loss position for more than 12 months. As of both June 30, 2024 and December 31,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June 30, 2024 and December 31, 2023 no allowance for credit losses or impairment losses for the Company’s investments were recorded.</w:t>
      </w:r>
    </w:p>
    <w:p>
      <w:pPr>
        <w:spacing w:after="0" w:line="18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Equity method investments, and certain non-financial assets, such as intangible assets are remeasured at fair value only if an impairment or observable price adjustment is recognized in the current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was $ 2.8 million and $ 3.4 million as of June 30, 2024 and December 31, 2023,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1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June 30, 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r>
      <w:tr>
        <w:trPr>
          <w:trHeight w:val="208"/>
        </w:trPr>
        <w:tc>
          <w:tcPr>
            <w:tcW w:w="370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
        </w:trPr>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16,117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16,117</w:t>
            </w:r>
          </w:p>
        </w:tc>
      </w:tr>
      <w:tr>
        <w:trPr>
          <w:trHeight w:val="208"/>
        </w:trPr>
        <w:tc>
          <w:tcPr>
            <w:tcW w:w="3700" w:type="dxa"/>
            <w:vAlign w:val="bottom"/>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3,487</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3,487</w:t>
            </w:r>
          </w:p>
        </w:tc>
      </w:tr>
      <w:tr>
        <w:trPr>
          <w:trHeight w:val="22"/>
        </w:trPr>
        <w:tc>
          <w:tcPr>
            <w:tcW w:w="37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16,117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19,604</w:t>
            </w:r>
          </w:p>
        </w:tc>
      </w:tr>
      <w:tr>
        <w:trPr>
          <w:trHeight w:val="188"/>
        </w:trPr>
        <w:tc>
          <w:tcPr>
            <w:tcW w:w="370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22"/>
        </w:trPr>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w:t>
            </w:r>
          </w:p>
        </w:tc>
      </w:tr>
      <w:tr>
        <w:trPr>
          <w:trHeight w:val="208"/>
        </w:trPr>
        <w:tc>
          <w:tcPr>
            <w:tcW w:w="370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7,710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7,710</w:t>
            </w:r>
          </w:p>
        </w:tc>
      </w:tr>
      <w:tr>
        <w:trPr>
          <w:trHeight w:val="22"/>
        </w:trPr>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7,488</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7,488</w:t>
            </w:r>
          </w:p>
        </w:tc>
      </w:tr>
      <w:tr>
        <w:trPr>
          <w:trHeight w:val="208"/>
        </w:trPr>
        <w:tc>
          <w:tcPr>
            <w:tcW w:w="3700" w:type="dxa"/>
            <w:vAlign w:val="bottom"/>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5,189</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5,189</w:t>
            </w:r>
          </w:p>
        </w:tc>
      </w:tr>
      <w:tr>
        <w:trPr>
          <w:trHeight w:val="22"/>
        </w:trPr>
        <w:tc>
          <w:tcPr>
            <w:tcW w:w="37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23,629</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23,629</w:t>
            </w:r>
          </w:p>
        </w:tc>
      </w:tr>
      <w:tr>
        <w:trPr>
          <w:trHeight w:val="188"/>
        </w:trPr>
        <w:tc>
          <w:tcPr>
            <w:tcW w:w="3700" w:type="dxa"/>
            <w:vAlign w:val="bottom"/>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22"/>
        </w:trPr>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208"/>
        </w:trPr>
        <w:tc>
          <w:tcPr>
            <w:tcW w:w="370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7,622</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7,622</w:t>
            </w: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8,124</w:t>
            </w:r>
          </w:p>
        </w:tc>
      </w:tr>
      <w:tr>
        <w:trPr>
          <w:trHeight w:val="196"/>
        </w:trPr>
        <w:tc>
          <w:tcPr>
            <w:tcW w:w="3700" w:type="dxa"/>
            <w:vAlign w:val="bottom"/>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16,117</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35,240</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51,357</w:t>
            </w:r>
          </w:p>
        </w:tc>
      </w:tr>
      <w:tr>
        <w:trPr>
          <w:trHeight w:val="20"/>
        </w:trPr>
        <w:tc>
          <w:tcPr>
            <w:tcW w:w="3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December 31, 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19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418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8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8,026</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U.S. treasury securities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2,491</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equivalents</w:t>
            </w:r>
          </w:p>
        </w:tc>
        <w:tc>
          <w:tcPr>
            <w:tcW w:w="1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10,517</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Certificate of deposit</w:t>
            </w:r>
          </w:p>
        </w:tc>
        <w:tc>
          <w:tcPr>
            <w:tcW w:w="1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989</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3,696</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3,696</w:t>
            </w: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9,650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9,650</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8,142</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8,142</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27,477</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27,477</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9"/>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1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418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1,962</w:t>
            </w:r>
          </w:p>
        </w:tc>
      </w:tr>
      <w:tr>
        <w:trPr>
          <w:trHeight w:val="22"/>
        </w:trPr>
        <w:tc>
          <w:tcPr>
            <w:tcW w:w="4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9,840</w:t>
            </w:r>
          </w:p>
        </w:tc>
      </w:tr>
      <w:tr>
        <w:trPr>
          <w:trHeight w:val="188"/>
        </w:trPr>
        <w:tc>
          <w:tcPr>
            <w:tcW w:w="4180" w:type="dxa"/>
            <w:vAlign w:val="bottom"/>
          </w:tcPr>
          <w:p>
            <w:pPr>
              <w:ind w:left="20"/>
              <w:spacing w:after="0"/>
              <w:rPr>
                <w:sz w:val="20"/>
                <w:szCs w:val="20"/>
                <w:color w:val="auto"/>
              </w:rPr>
            </w:pPr>
            <w:r>
              <w:rPr>
                <w:rFonts w:ascii="Arial" w:cs="Arial" w:eastAsia="Arial" w:hAnsi="Arial"/>
                <w:sz w:val="14"/>
                <w:szCs w:val="14"/>
                <w:color w:val="auto"/>
              </w:rPr>
              <w:t>Total long-term investments</w:t>
            </w:r>
          </w:p>
        </w:tc>
        <w:tc>
          <w:tcPr>
            <w:tcW w:w="1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11,802</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11,802</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49,796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pacing w:after="0" w:line="15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June 30, 2024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2023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1"/>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of intangible assets was $0.2 million for both the three months ended June 30, 2024 and 2023 and $0.4 million for both the six months ended June 30, 2024 and 2023.</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of these intangible assets as of June 30, 2024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Amount</w:t>
            </w:r>
          </w:p>
        </w:tc>
      </w:tr>
      <w:tr>
        <w:trPr>
          <w:trHeight w:val="19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5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756</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5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5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9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r>
      <w:tr>
        <w:trPr>
          <w:trHeight w:val="225"/>
        </w:trPr>
        <w:tc>
          <w:tcPr>
            <w:tcW w:w="8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future amortization expense</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both June 30, 2024 and December 31, 2023, goodwill was $4.2 million. No goodwill impairments were recorded during the three and six months ended June 30, 2024 and 2023.</w:t>
      </w:r>
    </w:p>
    <w:p>
      <w:pPr>
        <w:spacing w:after="0" w:line="15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19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weighted-average remaining term of the Company’s operating leases was 4.4 years and 4.8 years as of June 30, 2024 and December 31, 2023, respectively, and the weighted-average discount rate used to measure the present value of the operating lease liabilities was 10.0% as of both June 30, 2024 and December 31, 2023. Cash payments made related to operating lease liabilities were $0.2 million and $0.3 million for the three months ended June 30, 2024 and 2023, respectively, and $0.5 million and $0.6 million for the six months ended June 30, 2024 and 2023,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June 30, 2024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1,100</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2027</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9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3,123</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lease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10.0%, which is an estimate based on the Company’s collateralized borrowing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Expected cash flows related to vendor financing arrangements as of June 30, 2024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2024</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1,089</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r>
      <w:tr>
        <w:trPr>
          <w:trHeight w:val="192"/>
        </w:trPr>
        <w:tc>
          <w:tcPr>
            <w:tcW w:w="9540" w:type="dxa"/>
            <w:vAlign w:val="bottom"/>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2,994</w:t>
            </w:r>
          </w:p>
        </w:tc>
      </w:tr>
      <w:tr>
        <w:trPr>
          <w:trHeight w:val="20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92"/>
        </w:trPr>
        <w:tc>
          <w:tcPr>
            <w:tcW w:w="9540" w:type="dxa"/>
            <w:vAlign w:val="bottom"/>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2,794</w:t>
            </w: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1"/>
        </w:trPr>
        <w:tc>
          <w:tcPr>
            <w:tcW w:w="9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1,905</w:t>
            </w: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r>
      <w:tr>
        <w:trPr>
          <w:trHeight w:val="196"/>
        </w:trPr>
        <w:tc>
          <w:tcPr>
            <w:tcW w:w="954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2,794</w:t>
            </w:r>
          </w:p>
        </w:tc>
      </w:tr>
      <w:tr>
        <w:trPr>
          <w:trHeight w:val="24"/>
        </w:trPr>
        <w:tc>
          <w:tcPr>
            <w:tcW w:w="9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from vendor financing arrangements was $0.1 million and less than $0.1 million for the three months ended June 30, 2024 and 2023, respectively, and $0.1 million for both the six months ended June 30, 2024 and 2023.</w:t>
      </w:r>
    </w:p>
    <w:p>
      <w:pPr>
        <w:spacing w:after="0" w:line="15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—In conjunction with the execution of the operating lease for the Company’s new headquarter facility, a letter of credit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$0.4 million was issued and outstanding as of both June 30, 2024 and December 31, 2023. No draws have been made under such letter of credit.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often enters into limited indemnification provisions in license agreements in the ordinary course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incurred no actual payment obligations from these above-noted indemnification provisions and director and officer indemnity agreements for the three and six months ended June 30, 2024 and 2023 and the unaudited condensed consolidated financial statements do not include liabilities for any potential indemnity-related obligations as of June 30, 2024 and December 31,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—The Company has been and will continue to be subject to legal proceedings and claims.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2022, the Company received notice of a complaint filed against the Company and another defendant in the semiconductor industry, by Network System Technologies, LLC (NST) in the United States District Court for the Western District of Texas. Additional complaints were filed in the Eastern District of Texas against certain companies, including some customers of the Company, asserting among other things patent infringement seeking damages and injunctive relief. On June 10, 2024, the Company and NST jointly moved for an order to stay all deadlines against the Company in the Western District of Texas, except for deadlines relating to a discovery motion brought by NST. The court in the Western District of Texas signed the order on June 11, 2024. After NST’s discovery motion has been resolved, NST and Arteris will file a stipulation of dismissal. The Company will continue to monitor this matter.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judgement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contractual noncancelable commitments as of both June 30, 2024 and December 31, 2023.</w:t>
      </w:r>
    </w:p>
    <w:p>
      <w:pPr>
        <w:spacing w:after="0" w:line="17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activities under the Company’s 2016 Incentive Plan, the 2021 Incentive Plan and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2022 Employment Inducement Incentive Plan: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47"/>
        </w:trPr>
        <w:tc>
          <w:tcPr>
            <w:tcW w:w="7740" w:type="dxa"/>
            <w:vAlign w:val="bottom"/>
          </w:tcPr>
          <w:p>
            <w:pPr>
              <w:spacing w:after="0"/>
              <w:rPr>
                <w:sz w:val="12"/>
                <w:szCs w:val="12"/>
                <w:color w:val="auto"/>
              </w:rPr>
            </w:pPr>
          </w:p>
        </w:tc>
        <w:tc>
          <w:tcPr>
            <w:tcW w:w="1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2023</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5,732,950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99"/>
        </w:trPr>
        <w:tc>
          <w:tcPr>
            <w:tcW w:w="7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2,197,402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(1,139,835)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(535,587)</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Unvested—June 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6,254,930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total grant-date fair value of restricted stock units vested was $8.0 million and $6.9 million during the six months ended June 30, 2024 and 2023, respectively.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there was $36.2 million of unamortized stock-based compensation cost related to unvested restricted stock units, which is expected to be recognized over a weighted-average period of 2.8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the 2021 ESPP effective on October 26, 2021. The 2021 ESPP enables eligible employees of the Company to purchase shares of common stock at a discount to fair market value. The 2021 ESPP provides for six-month offering periods beginning May 22 and November 22 of each year, and each offering period will consist of a six-month purchase period. The first offering period began May 22, 2024 and will end on November 21, 2024. As of June 30, 2024, 1,643,749 shares of common stock were available for future issuance under the 2021 ESPP.</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each purchase date, eligible employees will purchase the shares at a price per share equal to 85% of the lesser of (1) the fair market value of our stock on the offering date or (2) the fair market value of our stock on the purchase date.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June 30, 2024, there was $0.2 million of unamortized stock-based compensation cost related to ESPP, which is expected to be recognized over a weighted average period of 0.4 years.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fair value of shares of common stock to be issued under the 2021 ESPP is estimated using the Black-Scholes option pricing model on the first day of the offering period. The Company determines valuation assumptions for Black-Scholes as follows:</w:t>
      </w:r>
    </w:p>
    <w:p>
      <w:pPr>
        <w:spacing w:after="0" w:line="99" w:lineRule="exact"/>
        <w:rPr>
          <w:sz w:val="20"/>
          <w:szCs w:val="20"/>
          <w:color w:val="auto"/>
        </w:rPr>
      </w:pPr>
    </w:p>
    <w:p>
      <w:pPr>
        <w:jc w:val="both"/>
        <w:ind w:left="260" w:right="20"/>
        <w:spacing w:after="0" w:line="28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Company bases the risk-free interest rate used in the Black-Scholes option-pricing model on the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available on US Treasury zero coupon issues with an equivalent expected term of the options for each option group.</w:t>
      </w:r>
    </w:p>
    <w:p>
      <w:pPr>
        <w:spacing w:after="0" w:line="4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represents the period that the Company’s stock-based awards are expected to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assumption is based on the simplified method. The Company expects to continue using the simplified method until sufficient information about the Company’s historical behavior is available.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Volatility</w:t>
      </w:r>
      <w:r>
        <w:rPr>
          <w:rFonts w:ascii="Arial" w:cs="Arial" w:eastAsia="Arial" w:hAnsi="Arial"/>
          <w:sz w:val="18"/>
          <w:szCs w:val="18"/>
          <w:color w:val="auto"/>
        </w:rPr>
        <w:t>—The Company determines the price volatility factor based on the historical volatility of the Company’s common stock.</w:t>
      </w:r>
    </w:p>
    <w:p>
      <w:pPr>
        <w:spacing w:after="0" w:line="117"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Dividend Yield</w:t>
      </w:r>
      <w:r>
        <w:rPr>
          <w:rFonts w:ascii="Arial" w:cs="Arial" w:eastAsia="Arial" w:hAnsi="Arial"/>
          <w:sz w:val="18"/>
          <w:szCs w:val="18"/>
          <w:color w:val="auto"/>
        </w:rPr>
        <w:t>—The Company has never declared or paid any cash dividend and does not currently plan to pay a cash dividend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ESPP valuation assumptions: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918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r>
      <w:tr>
        <w:trPr>
          <w:trHeight w:val="195"/>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r>
      <w:tr>
        <w:trPr>
          <w:trHeight w:val="203"/>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74.4%</w:t>
            </w:r>
          </w:p>
        </w:tc>
      </w:tr>
      <w:tr>
        <w:trPr>
          <w:trHeight w:val="198"/>
        </w:trPr>
        <w:tc>
          <w:tcPr>
            <w:tcW w:w="91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2060" w:type="dxa"/>
            <w:vAlign w:val="bottom"/>
          </w:tcPr>
          <w:p>
            <w:pPr>
              <w:jc w:val="center"/>
              <w:spacing w:after="0"/>
              <w:rPr>
                <w:sz w:val="20"/>
                <w:szCs w:val="20"/>
                <w:color w:val="auto"/>
              </w:rPr>
            </w:pPr>
            <w:r>
              <w:rPr>
                <w:rFonts w:ascii="Arial" w:cs="Arial" w:eastAsia="Arial" w:hAnsi="Arial"/>
                <w:sz w:val="14"/>
                <w:szCs w:val="14"/>
                <w:color w:val="auto"/>
              </w:rPr>
              <w:t>0.5</w:t>
            </w:r>
          </w:p>
        </w:tc>
      </w:tr>
      <w:tr>
        <w:trPr>
          <w:trHeight w:val="206"/>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r>
      <w:tr>
        <w:trPr>
          <w:trHeight w:val="195"/>
        </w:trPr>
        <w:tc>
          <w:tcPr>
            <w:tcW w:w="91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060" w:type="dxa"/>
            <w:vAlign w:val="bottom"/>
          </w:tcPr>
          <w:p>
            <w:pPr>
              <w:jc w:val="center"/>
              <w:spacing w:after="0"/>
              <w:rPr>
                <w:sz w:val="20"/>
                <w:szCs w:val="20"/>
                <w:color w:val="auto"/>
              </w:rPr>
            </w:pPr>
            <w:r>
              <w:rPr>
                <w:rFonts w:ascii="Arial" w:cs="Arial" w:eastAsia="Arial" w:hAnsi="Arial"/>
                <w:sz w:val="14"/>
                <w:szCs w:val="14"/>
                <w:color w:val="auto"/>
                <w:w w:val="98"/>
              </w:rPr>
              <w:t>0%</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loss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3,396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3,914</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r>
      <w:tr>
        <w:trPr>
          <w:trHeight w:val="19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was (8.2)% and (4.9)% for the six months ended June 30, 2024 and 2023, respectively. The Company’s income tax provision was $1.3 million and $ 0.9 million for the six months ended June 30, 2024 and 2023, respectively. The change in forecasted foreign withholding tax, changes in the geographic mix of worldwide earnings which are taxed at different rates, and the impact of losses in jurisdictions with full valuation allowances, has resulted in an increase in the income tax provision for the period ended June 30, 2024 compared to the period ended June 30, 2023.</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management continuously evaluates the need for a valuation allowance and, as of June 30, 2024, concluded that a full valuation allowance on its federal, state, and certain foreign jurisdictions deferred tax assets was still appropriate.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2024 and 2023, the Company’s gross liability for unrecognized tax benefits was $3.5 million and $2.6 million, respectively. The Company’s practice is to recognize interest and/or penalties related to income tax matters in income tax expense. As of June 30, 2024 and 2023,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$0.1 million for both the three months ended June 30, 2024 and 2023, and $0.1 million for both the six months ended June 30, 2024 and 2023.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each of the three and six months ended June 30, 2024 and 2023, the Company paid Ms. Geday $0.1 million for consulting services. Lastly, the 455,000 stock options and 62,200 RSUs granted in connection with Ms. Geday’s prior employment continue to vest.</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2022, the Company entered into a no-fee non-exclusive evaluation license agreement of Magillem products with Transchip Technology (Nanjing) Co., Ltd. (Transchip), an equity method investee, which concluded. A separate no-fee evaluation of additional Company products was also concluded. Refer to Note 15 in the 2023 Form 10-K for additional discussion of the Company’s transactions with Transchip.</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2023 included in the 2023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2023 Form 10-K.</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Unless the context otherwise requires, all references in this report to “we,” “us,” “our,” the “Company,” and “Arteris” refer to Arteris, Inc. and its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provider of semiconductor system IP, including interconnect and other intellectual property, (collectively, System IP) technology. Our System IP technology manages the on-chip communications and IP block deployments in System-on-Chip (SoC) semiconductors and systems of chiplets. Our leading proprietary System IP solutions achieve this by connecting client IP blocks such as processors, memories, artificial intelligence/machine learning (AI/ML) accelerators, graphics subsystems, safety and security, and other input/output subsystems (I/Os) via multiple Network-on-Chips (NoCs) in order for our customers to experience faster SoC targeting, as well as, more efficient, and lower cost solutions. Growth for our solutions is being driven by growing SoC sophistication and associated complexity, now extending into disaggregation of SoCs into systems for which implement the communication protocol aspects and partner with industry leading providers like Synopsys, Cadence, Alphawave and others to connect to their die to die interfaces. The addition of more processors, channels of memory access, machine learning sections,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SoC Integration Automation software (SIA) (formerly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SIA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2024, we had 252 full-time employees and offices in eight locations in the United States, France, China, South Korea, and Japan. As of June 30, 2024, we are taking steps to establish an office in Poland. For the three months ended June 30, 2024, we generated revenue of $14.6 million, net loss of $8.3 million, and net loss per share, basic and diluted of $0.22. As of June 30, 2024, we had Annual Contract Value (as defined below) of $56.1 million. During the three months ended June 30, 2024, we had 21 Confirmed Design Starts (as defined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our Agreements with Customers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from period to period can be impacted by the terms of the agreements we enter into with our customers. For example, in 2023, we made certain changes to SIA agreements that result in the ratable recognition of the related license revenue over the contract term. As a result of how these contracts are structured and the revenue is recognized, our revenue in the three and six months ended June 30, 2024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 and Market Growth</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continue to include growth in engineering headcount, have resulted in substantially increased research and development expenses in recent periods.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growth opportunities through acquisitions of other businesses.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Operating Globally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products’ global footprint provides us with the opportunity to enter new markets and accelerate our growth. For the six months ended June 30, 2024, 64.7% of our revenue was derived from sales to customers outside of the United States and 30.1% of our revenue was derived from customers located in China, respectively. For 2023, 65.4% of our revenue was derived from sales to customers outside of the United States and 31.1%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and further amended effective November 17, 2023,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$56.1 million and $53.6 million as of June 30, 2024 and 2023, respectively. In addition, total ACV and trailing-twelve-months variable royalties and other revenue was $60.1 million and $58.2 million as of June 30, 2024 and 2023, respectively.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added six and 12 net new Active Customers during the three months ended June 30, 2024 and 2023,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Confirmed Design Starts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21 and 22 design starts during the three months ended June 30, 2024 and 2023, respectively. We believe that the number of Confirmed Design Starts is an important indicator of the growth of our business and future royalty revenue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deferred revenue, billed and unbilled cancelable and non-cancelable contracted amounts.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$77.5 million and $65.1 million as of June 30, 2024 and 2023,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Our revenue is primarily derived from licensing intellectual property, licensing software, support and maintenance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training services, and royalties. Our agreements often include other service elements including training and professional services which were immaterial for the three and six months ended June 30, 2024 and 2023,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typically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SIA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12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relates to costs associated with our licensing agreements and support and maintenance,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Allocation of Overhead Costs: </w:t>
      </w:r>
      <w:r>
        <w:rPr>
          <w:rFonts w:ascii="Arial" w:cs="Arial" w:eastAsia="Arial" w:hAnsi="Arial"/>
          <w:sz w:val="18"/>
          <w:szCs w:val="18"/>
          <w:color w:val="auto"/>
        </w:rPr>
        <w:t>Overhead costs that are not substantially dedicated for use by a specific functional group are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headcount. Such costs include costs associated with office facilities, depreciation of property and equipment, certain support function personnel costs and 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(R&amp;D) expenses: </w:t>
      </w:r>
      <w:r>
        <w:rPr>
          <w:rFonts w:ascii="Arial" w:cs="Arial" w:eastAsia="Arial" w:hAnsi="Arial"/>
          <w:sz w:val="18"/>
          <w:szCs w:val="18"/>
          <w:color w:val="auto"/>
        </w:rPr>
        <w:t>R&amp;D expenses consist primarily of salaries and associated personnel-related costs,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Sales and marketing (S&amp;M) expenses: </w:t>
      </w:r>
      <w:r>
        <w:rPr>
          <w:rFonts w:ascii="Arial" w:cs="Arial" w:eastAsia="Arial" w:hAnsi="Arial"/>
          <w:sz w:val="18"/>
          <w:szCs w:val="18"/>
          <w:color w:val="auto"/>
        </w:rPr>
        <w:t>S&amp;M expenses consist primarily of salaries, commissions, travel and other costs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(G&amp;A) expenses: </w:t>
      </w:r>
      <w:r>
        <w:rPr>
          <w:rFonts w:ascii="Arial" w:cs="Arial" w:eastAsia="Arial" w:hAnsi="Arial"/>
          <w:sz w:val="18"/>
          <w:szCs w:val="18"/>
          <w:color w:val="auto"/>
        </w:rPr>
        <w:t>G&amp;A expenses consist primarily of salaries for management and administrative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consists primarily of interest expense on our vendor financing arrangements.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consists primarily of interest income earned on our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available-for-sale investments, gains and losses from foreign currency exchange, gain on deconsolidation of subsidiary, realized gains and losses from available-for-sale investments as well as deferred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Loss from equity method investment: </w:t>
      </w:r>
      <w:r>
        <w:rPr>
          <w:rFonts w:ascii="Arial" w:cs="Arial" w:eastAsia="Arial" w:hAnsi="Arial"/>
          <w:sz w:val="18"/>
          <w:szCs w:val="18"/>
          <w:color w:val="auto"/>
        </w:rPr>
        <w:t>Loss from equity method investment consists of our proportionate share of net losses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method investee.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income tax provision consists primarily of income taxes in certain foreign jurisdictions in which we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gridSpan w:val="3"/>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27,888</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(1)</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2,926</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2,349</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13,117</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24,596</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25,539</w:t>
            </w:r>
          </w:p>
        </w:tc>
        <w:tc>
          <w:tcPr>
            <w:tcW w:w="0" w:type="dxa"/>
            <w:vAlign w:val="bottom"/>
          </w:tcPr>
          <w:p>
            <w:pPr>
              <w:spacing w:after="0"/>
              <w:rPr>
                <w:sz w:val="1"/>
                <w:szCs w:val="1"/>
                <w:color w:val="auto"/>
              </w:rPr>
            </w:pPr>
          </w:p>
        </w:tc>
      </w:tr>
      <w:tr>
        <w:trPr>
          <w:trHeight w:val="178"/>
        </w:trPr>
        <w:tc>
          <w:tcPr>
            <w:tcW w:w="41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23,468</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5,601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10,469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10,606</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4,828</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9,150</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22,192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42,979</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(17,440)</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133"/>
        </w:trPr>
        <w:tc>
          <w:tcPr>
            <w:tcW w:w="4180" w:type="dxa"/>
            <w:vAlign w:val="bottom"/>
          </w:tcPr>
          <w:p>
            <w:pPr>
              <w:ind w:left="20"/>
              <w:spacing w:after="0" w:line="133" w:lineRule="exact"/>
              <w:rPr>
                <w:sz w:val="20"/>
                <w:szCs w:val="20"/>
                <w:color w:val="auto"/>
              </w:rPr>
            </w:pPr>
            <w:r>
              <w:rPr>
                <w:rFonts w:ascii="Arial" w:cs="Arial" w:eastAsia="Arial" w:hAnsi="Arial"/>
                <w:sz w:val="14"/>
                <w:szCs w:val="14"/>
                <w:color w:val="auto"/>
              </w:rPr>
              <w:t>Loss before income taxes and loss from equity method</w:t>
            </w:r>
          </w:p>
        </w:tc>
        <w:tc>
          <w:tcPr>
            <w:tcW w:w="10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(6,644)</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(7,875)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(14,918)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(15,756)</w:t>
            </w:r>
          </w:p>
        </w:tc>
        <w:tc>
          <w:tcPr>
            <w:tcW w:w="0" w:type="dxa"/>
            <w:vAlign w:val="bottom"/>
          </w:tcPr>
          <w:p>
            <w:pPr>
              <w:spacing w:after="0"/>
              <w:rPr>
                <w:sz w:val="1"/>
                <w:szCs w:val="1"/>
                <w:color w:val="auto"/>
              </w:rPr>
            </w:pPr>
          </w:p>
        </w:tc>
      </w:tr>
      <w:tr>
        <w:trPr>
          <w:trHeight w:val="185"/>
        </w:trPr>
        <w:tc>
          <w:tcPr>
            <w:tcW w:w="4180" w:type="dxa"/>
            <w:vAlign w:val="bottom"/>
          </w:tcPr>
          <w:p>
            <w:pPr>
              <w:ind w:left="20"/>
              <w:spacing w:after="0"/>
              <w:rPr>
                <w:sz w:val="20"/>
                <w:szCs w:val="20"/>
                <w:color w:val="auto"/>
              </w:rPr>
            </w:pPr>
            <w:r>
              <w:rPr>
                <w:rFonts w:ascii="Arial" w:cs="Arial" w:eastAsia="Arial" w:hAnsi="Arial"/>
                <w:sz w:val="14"/>
                <w:szCs w:val="14"/>
                <w:color w:val="auto"/>
              </w:rPr>
              <w:t>investment</w:t>
            </w:r>
          </w:p>
        </w:tc>
        <w:tc>
          <w:tcPr>
            <w:tcW w:w="10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3"/>
        </w:trPr>
        <w:tc>
          <w:tcPr>
            <w:tcW w:w="4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gridSpan w:val="3"/>
          </w:tcPr>
          <w:p>
            <w:pPr>
              <w:jc w:val="right"/>
              <w:ind w:right="568"/>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3,396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3,914</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r>
      <w:tr>
        <w:trPr>
          <w:trHeight w:val="19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w w:val="99"/>
              </w:rPr>
              <w:t>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r>
      <w:tr>
        <w:trPr>
          <w:trHeight w:val="196"/>
        </w:trPr>
        <w:tc>
          <w:tcPr>
            <w:tcW w:w="5040" w:type="dxa"/>
            <w:vAlign w:val="bottom"/>
            <w:gridSpan w:val="2"/>
          </w:tcPr>
          <w:p>
            <w:pPr>
              <w:ind w:left="4700"/>
              <w:spacing w:after="0"/>
              <w:rPr>
                <w:sz w:val="20"/>
                <w:szCs w:val="20"/>
                <w:color w:val="auto"/>
              </w:rPr>
            </w:pPr>
            <w:r>
              <w:rPr>
                <w:rFonts w:ascii="Arial" w:cs="Arial" w:eastAsia="Arial" w:hAnsi="Arial"/>
                <w:sz w:val="14"/>
                <w:szCs w:val="14"/>
                <w:b w:val="1"/>
                <w:bCs w:val="1"/>
                <w:color w:val="auto"/>
              </w:rPr>
              <w:t>2024</w:t>
            </w:r>
          </w:p>
        </w:tc>
        <w:tc>
          <w:tcPr>
            <w:tcW w:w="1960" w:type="dxa"/>
            <w:vAlign w:val="bottom"/>
            <w:gridSpan w:val="3"/>
          </w:tcPr>
          <w:p>
            <w:pPr>
              <w:ind w:left="1500"/>
              <w:spacing w:after="0"/>
              <w:rPr>
                <w:sz w:val="20"/>
                <w:szCs w:val="20"/>
                <w:color w:val="auto"/>
              </w:rPr>
            </w:pPr>
            <w:r>
              <w:rPr>
                <w:rFonts w:ascii="Arial" w:cs="Arial" w:eastAsia="Arial" w:hAnsi="Arial"/>
                <w:sz w:val="14"/>
                <w:szCs w:val="14"/>
                <w:b w:val="1"/>
                <w:bCs w:val="1"/>
                <w:color w:val="auto"/>
              </w:rPr>
              <w:t>2023</w:t>
            </w:r>
          </w:p>
        </w:tc>
        <w:tc>
          <w:tcPr>
            <w:tcW w:w="1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2023</w:t>
            </w:r>
          </w:p>
        </w:tc>
      </w:tr>
      <w:tr>
        <w:trPr>
          <w:trHeight w:val="193"/>
        </w:trPr>
        <w:tc>
          <w:tcPr>
            <w:tcW w:w="40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4"/>
          </w:tcPr>
          <w:p>
            <w:pPr>
              <w:ind w:left="720"/>
              <w:spacing w:after="0"/>
              <w:rPr>
                <w:sz w:val="20"/>
                <w:szCs w:val="20"/>
                <w:color w:val="auto"/>
              </w:rPr>
            </w:pPr>
            <w:r>
              <w:rPr>
                <w:rFonts w:ascii="Arial" w:cs="Arial" w:eastAsia="Arial" w:hAnsi="Arial"/>
                <w:sz w:val="14"/>
                <w:szCs w:val="14"/>
                <w:i w:val="1"/>
                <w:iCs w:val="1"/>
                <w:color w:val="auto"/>
              </w:rPr>
              <w:t>(as a percentage of total revenue)</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0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w:t>
            </w:r>
          </w:p>
        </w:tc>
      </w:tr>
      <w:tr>
        <w:trPr>
          <w:trHeight w:val="20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89</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r>
      <w:tr>
        <w:trPr>
          <w:trHeight w:val="178"/>
        </w:trPr>
        <w:tc>
          <w:tcPr>
            <w:tcW w:w="4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w:t>
            </w: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38</w:t>
            </w:r>
          </w:p>
        </w:tc>
      </w:tr>
      <w:tr>
        <w:trPr>
          <w:trHeight w:val="20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141</w:t>
            </w:r>
          </w:p>
        </w:tc>
        <w:tc>
          <w:tcPr>
            <w:tcW w:w="8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r>
      <w:tr>
        <w:trPr>
          <w:trHeight w:val="20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(62)</w:t>
            </w: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960" w:type="dxa"/>
            <w:vAlign w:val="bottom"/>
            <w:gridSpan w:val="3"/>
          </w:tcPr>
          <w:p>
            <w:pPr>
              <w:jc w:val="right"/>
              <w:ind w:right="1388"/>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13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r>
      <w:tr>
        <w:trPr>
          <w:trHeight w:val="142"/>
        </w:trPr>
        <w:tc>
          <w:tcPr>
            <w:tcW w:w="4000" w:type="dxa"/>
            <w:vAlign w:val="bottom"/>
          </w:tcPr>
          <w:p>
            <w:pPr>
              <w:ind w:left="20"/>
              <w:spacing w:after="0" w:line="142" w:lineRule="exact"/>
              <w:rPr>
                <w:sz w:val="20"/>
                <w:szCs w:val="20"/>
                <w:color w:val="auto"/>
              </w:rPr>
            </w:pPr>
            <w:r>
              <w:rPr>
                <w:rFonts w:ascii="Arial" w:cs="Arial" w:eastAsia="Arial" w:hAnsi="Arial"/>
                <w:sz w:val="14"/>
                <w:szCs w:val="14"/>
                <w:color w:val="auto"/>
              </w:rPr>
              <w:t>Loss before income taxes and loss from equity method</w:t>
            </w:r>
          </w:p>
        </w:tc>
        <w:tc>
          <w:tcPr>
            <w:tcW w:w="10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ind w:left="700"/>
              <w:spacing w:after="0" w:line="142" w:lineRule="exact"/>
              <w:rPr>
                <w:sz w:val="20"/>
                <w:szCs w:val="20"/>
                <w:color w:val="auto"/>
              </w:rPr>
            </w:pPr>
            <w:r>
              <w:rPr>
                <w:rFonts w:ascii="Arial" w:cs="Arial" w:eastAsia="Arial" w:hAnsi="Arial"/>
                <w:sz w:val="14"/>
                <w:szCs w:val="14"/>
                <w:color w:val="auto"/>
              </w:rPr>
              <w:t>(56)</w:t>
            </w:r>
          </w:p>
        </w:tc>
      </w:tr>
      <w:tr>
        <w:trPr>
          <w:trHeight w:val="175"/>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investment</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r>
      <w:tr>
        <w:trPr>
          <w:trHeight w:val="198"/>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w:t>
            </w:r>
          </w:p>
        </w:tc>
      </w:tr>
      <w:tr>
        <w:trPr>
          <w:trHeight w:val="22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(65)%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2024 and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13,553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971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42 %</w:t>
            </w: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14,575</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4"/>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Revenue from licensing, support and maintenance increased $0.6 million for the three months ended June 30, 2024 when compared to the three months ended June 30, 2023. The increase was primarily due to new license arrangements with existing customers. The change in variable royalty revenue was due to fixed and up-front royalties from certain customers in the second quarter of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233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increased $0.2 million or 19%, to $ 1.5 million for the three months ended June 30, 2024 from $1.2 million for the three months ended June 30, 2023. The increase in cost of revenue during the three months ended June 30, 2024 was primarily due to higher FAE employee-related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10,717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5,013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4,828</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20,558</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22,192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R&amp;D expenses decreased, $1.4 million, or 11%, to $10.7 million for the three months ended June 30, 2024 from $12.1 million for the three months ended June 30, 2023. The decrease in R&amp;D expenses was primarily due to lower stock-based compensation expense of $0.7 million, predominantly related to the modification of certain performance stock unit awards in 2023 and $0.4 million of grants received by our subsidiary in France for R&amp;D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S&amp;M expenses decreased, $0.6 million, or 10%, to $5.0 million for the three months ended June 30, 2024 from $5.6 million for the three months ended June 30, 2023. The decrease in S&amp;M expenses was primarily due to a decrease in company-wide event costs of $0.2 million related to an in-person sales event that was held in the second quarter of 2023 versus the first quarter of 2024 and a decrease in professional fees of $0.1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G&amp;A expenses increased, $0.3 million, or 7%, to $4.8 million for the three months ended June 30, 2024 from $4.5 million for the three months ended June 30, 2023. The increase in G&amp;A expenses was primarily due to higher legal fees of $0.3 million related to our intellectual property litigation.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7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(41)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r>
    </w:tbl>
    <w:p>
      <w:pPr>
        <w:spacing w:after="0" w:line="2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Interest expense remained relatively flat for the three months ended June 30, 2024 when compared to the three months ended June 30,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30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income (expense), net remained relatively flat for the three months ended June 30, 2024 when compared to the three months ended June 30,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5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40" w:type="dxa"/>
            <w:vAlign w:val="bottom"/>
          </w:tcPr>
          <w:p>
            <w:pPr>
              <w:jc w:val="right"/>
              <w:ind w:right="16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0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2340" w:type="dxa"/>
            <w:vAlign w:val="bottom"/>
            <w:vMerge w:val="restart"/>
          </w:tcPr>
          <w:p>
            <w:pPr>
              <w:jc w:val="right"/>
              <w:ind w:right="10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1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4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Loss from equity method investment remained relatively flat for the three months ended June 30, 2024 when compared to the three months ended June 30, 2023. Such losses are expected to continue in the near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419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income taxes was $ 1.0 million for the three months ended June 30, 2024 compared to $0.6 million for the three months ended June 30, 2023.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2024 and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25,292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4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1,789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27,522</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27,888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4"/>
        </w:trPr>
        <w:tc>
          <w:tcPr>
            <w:tcW w:w="4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licensing, support and maintenance remained relatively flat for the six months ended June 30, 2024 when compared to the six months ended June 30, 2023. The change in variable royalty revenue was due to a temporary decrease in volume from a certain large customer in the first quarter of 2024 as well as fixed and up-front royalties from certain customers in the second quarter of 2023. Other revenue increased due to timing of completion of professional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2,926</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577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revenue increased, $0.6 million, or 25%, to $2.9 million for the six months ended June 30, 2024 from $2.3 million for the six months ended June 30, 2023. The increase in cost of revenue was primarily due to higher FAE employee-related expenses.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21,552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4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10,469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10,606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9,150</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41,171</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42,979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R&amp;D expenses decreased, $1.9 million, or 8%, to $21.6 million for the six months ended June 30, 2024 from $23.5 million for the six months ended June 30, 2023. The decrease in R&amp;D expenses was primarily due to $0.8 million of grants received by our subsidiary in France for R&amp;D projects. We also incurred lower employee-related costs of $0.8 million, lower stock-based compensation expense of $0.5 million primarily related to the modification of certain performance stock unit awards in 2023 and a decrease of software expense of $0.2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S&amp;M expenses remained relatively flat for the six months ended June 30, 2024 compared to the six months ended June 30,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G&amp;A expenses remained relatively flat for the six months ended June 30, 2024 compared to the six months ended June 30,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6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(85)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relatively flat for the six months ended June 30, 2024 when compared to the six months ended June 30, 2023.</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1,801</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58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income (expense), net remained relatively flat for the six months ended June 30, 2024 when compared to the six months ended June 30,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1,484</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(84)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Loss from equity method investment remained relatively flat for the six months ended June 30, 2024 when compared to the six months ended June 30, 2023. Such losses are expected to continue in the near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1,345</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494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six months ended June 30, 2024 was $ 1.3 million, compared to $0.9 million for the six months ended June 30, 2023.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 June 30, 2024, we had $45.8 million in cash and cash equivalents and short-term investments of which $1.5 million was held by our foreign subsidiaries. In addition, as of June 30, 2024, we also had $8.1 million in long-term investments.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63"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Six Months Ended</w:t>
      </w:r>
    </w:p>
    <w:p>
      <w:pPr>
        <w:ind w:left="920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93"/>
        </w:trPr>
        <w:tc>
          <w:tcPr>
            <w:tcW w:w="7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6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w:t>
            </w:r>
          </w:p>
        </w:tc>
      </w:tr>
      <w:tr>
        <w:trPr>
          <w:trHeight w:val="199"/>
        </w:trPr>
        <w:tc>
          <w:tcPr>
            <w:tcW w:w="7740" w:type="dxa"/>
            <w:vAlign w:val="bottom"/>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7,545</w:t>
            </w:r>
          </w:p>
        </w:tc>
        <w:tc>
          <w:tcPr>
            <w:tcW w:w="6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6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customers. The timing of receipts of accounts receivable from customers is based upon the completion of agreed milestones or agreed dates as set forth in the contracts.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2024, net cash provided by operating activities was $ 0.8 million, primarily due to our net loss of $17.7 million, adjusted for non-cash charges of $9.6 million and $8.9 million changes in operating assets and liabilities. Non-cash charges primarily consisted of stock-based compensation of $7.4 million, depreciation and amortization of $1.6 million and loss from our equity method investment of $1.5 million, partially offset by amortization of deferred income of $ 0.6 million and net accretion of discounts on available-for-sale securities of $0.3 million. The drivers of the changes in operating assets and liabilities were a $4.7 million increase in deferred revenue, a $3.1 million decrease in accounts receivable, a $0.9 million decrease in prepaid expense and other assets, a $0.2 million increase in accounts payable and a $0.1 million increase in accrued expenses and other liabilities.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June 30, 2023, net cash used in operating activities was $9.9 million primarily due to our net loss of $18.2 million, adjusted for non-cash charges of $9.0 million and $0.8 million changes in operating assets and liabilities. Non-cash charges primarily consisted of stock-based compensation of $7.3 million, loss from our equity method investment of $1.6 million and depreciation and amortization of $1.3 million, partially offset by amortization of deferred income of $0.6 million and net accretion of discounts on available-for-sale securities of $0.5 million. The drivers of the changes in operating assets and liabilities were a $2.7 million increase in deferred revenue, partially offset by a $2.4 million increase in accounts receivable, a $0.7 million increase in prepaid expense and other current assets and a $0.4 million decrease in accounts payable.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for the six months ended June 30, 2024 was $7.5 million, primarily attributable to proceeds from maturities of available-for-sale securities and certificate of deposit, partially offset by purchases of available-for-sale securities and property and equipment.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provided by investing activities for the six months ended June 30, 2023 was $0.4 million, primarily attributable to proceeds from maturities of available-for-sale securities, partially offset by purchases of property and equipment and available-for-sale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provided by financing activities for the six months ended June 30, 2024 was $0.1 million, primarily attributable proceeds from exercise of stock options, primarily offset by principal payments under vendor financing arrangements.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cash used in financing activities for the six months ended June 30, 2023 was $1.1 million, primarily attributable to payments of contingent consideration for business combination of $1.0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2023 Form 10-K, other than those discussed in Note 2 to our unaudited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2023 Form 10-K. As a result, our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See Note 10 Commitments and Contingencies, to our unaudited condensed consolidated financial statements included elsewhere in this Quarterly Report on Form 10-Q.</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spacing w:after="0" w:line="117" w:lineRule="exact"/>
        <w:rPr>
          <w:sz w:val="20"/>
          <w:szCs w:val="20"/>
          <w:color w:val="auto"/>
        </w:rPr>
      </w:pPr>
    </w:p>
    <w:p>
      <w:pPr>
        <w:ind w:left="660" w:right="20" w:hanging="328"/>
        <w:spacing w:after="0" w:line="287" w:lineRule="auto"/>
        <w:tabs>
          <w:tab w:leader="none" w:pos="647"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We face significant competition from larger companies and third party providers that may deploy their resources so they can develop their IP solutions internally.</w:t>
      </w:r>
    </w:p>
    <w:p>
      <w:pPr>
        <w:spacing w:after="0" w:line="98"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net losses, and we may not achieve or maintain profitability in the future.</w:t>
      </w:r>
    </w:p>
    <w:p>
      <w:pPr>
        <w:spacing w:after="0" w:line="171" w:lineRule="exact"/>
        <w:rPr>
          <w:rFonts w:ascii="Arial" w:cs="Arial" w:eastAsia="Arial" w:hAnsi="Arial"/>
          <w:sz w:val="18"/>
          <w:szCs w:val="18"/>
          <w:color w:val="auto"/>
        </w:rPr>
      </w:pPr>
    </w:p>
    <w:p>
      <w:pPr>
        <w:jc w:val="both"/>
        <w:ind w:left="660" w:hanging="328"/>
        <w:spacing w:after="0" w:line="262" w:lineRule="auto"/>
        <w:tabs>
          <w:tab w:leader="none" w:pos="6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22"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market acceptance of third-party semiconductor IP.</w:t>
      </w:r>
    </w:p>
    <w:p>
      <w:pPr>
        <w:spacing w:after="0" w:line="171"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business depends on sustaining or growing our licensing revenue, and the failure to achieve such revenue would lead to a material decline in our results of operations.</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we succeed in securing design wins for our IP interconnect and other solutions and our SoC Integration Automation software (SIA) solutions (formerly IP deployment solutions), we may not generate timely or sufficient margins or margins from those wins and our financial results could suffer.</w:t>
      </w:r>
    </w:p>
    <w:p>
      <w:pPr>
        <w:spacing w:after="0" w:line="116"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continually pursue new IP interconnect, SoC integration automation, and other technology initiatives, and if we fail to successfully carry out these initiatives, our business could be harmed.</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to invest more resources in research and development than anticipated, which could increase our operating expenses and negatively affect our operating results.</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errors or defects could expose us to liability and harm our reputation and we could lose market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offer high-quality support, our reputation could suffer.</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international customers and operations also subjects us to a range of other additional regulatory, operational, financial, and geopolitical risks and conflicts that could adversely affect our customers’ design schedules, which can adversely impact our financial results.</w:t>
      </w:r>
    </w:p>
    <w:p>
      <w:pPr>
        <w:spacing w:after="0" w:line="116"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protect our proprietary technology and inventions through patents and other intellectual property rights, our ability to compete successfully and our financial results could be adversely impacted.</w:t>
      </w:r>
    </w:p>
    <w:p>
      <w:pPr>
        <w:spacing w:after="0" w:line="98" w:lineRule="exact"/>
        <w:rPr>
          <w:rFonts w:ascii="Arial" w:cs="Arial" w:eastAsia="Arial" w:hAnsi="Arial"/>
          <w:sz w:val="18"/>
          <w:szCs w:val="18"/>
          <w:b w:val="1"/>
          <w:bCs w:val="1"/>
          <w:i w:val="1"/>
          <w:iCs w:val="1"/>
          <w:color w:val="auto"/>
        </w:rPr>
      </w:pPr>
    </w:p>
    <w:p>
      <w:pPr>
        <w:ind w:left="660" w:right="20" w:hanging="328"/>
        <w:spacing w:after="0" w:line="287" w:lineRule="auto"/>
        <w:tabs>
          <w:tab w:leader="none" w:pos="64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government regulation, including import, export and economic sanctions laws and artificial intelligence regulations that may expose us to liability and increase our costs.</w:t>
      </w:r>
    </w:p>
    <w:p>
      <w:pPr>
        <w:spacing w:after="0" w:line="98"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risks associated with doing business in China.</w:t>
      </w:r>
    </w:p>
    <w:p>
      <w:pPr>
        <w:spacing w:after="0" w:line="171"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Litigation, including securities class action litigation, may impair our reputation and lead us to incur significant costs. We are currently a party to a patent litigation.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and third-party providers that may deploy their resources so they can develop their IP solutions internally.</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Limited, Baya Systems, Inc., Cadence Design Systems, EXTOLL GmbH, Openedges Technologies Inc., Sdn. Bhd, Signature IP, SkyeChip, and TrueChip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ability to compete in our market is subject to a variety of factors, many of which are beyond our control. The occurrence of any of the below could adversely affect our ability to compete and harm our business:</w:t>
      </w:r>
    </w:p>
    <w:p>
      <w:pPr>
        <w:spacing w:after="0" w:line="90" w:lineRule="exact"/>
        <w:rPr>
          <w:sz w:val="20"/>
          <w:szCs w:val="20"/>
          <w:color w:val="auto"/>
        </w:rPr>
      </w:pPr>
    </w:p>
    <w:p>
      <w:pPr>
        <w:ind w:left="820" w:right="20" w:hanging="326"/>
        <w:spacing w:after="0" w:line="284"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anticipate and lead critical product development cycles and technological shifts as driven by our target markets, to innovate rapidly and efficiently and to improve our existing solutions.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us in the semiconductor IP interconnect and SIA software technology arena.</w:t>
      </w:r>
    </w:p>
    <w:p>
      <w:pPr>
        <w:spacing w:after="0" w:line="104"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 new entrant with substantially greater resources and/or supported by governmental resources decides to enter the markets in which we compete.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hanging="326"/>
        <w:spacing w:after="0" w:line="284"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any existing or new competitor bundles its technologies into one package at a discounted price that would make it uneconomical for our customers to license our products separately.</w:t>
      </w:r>
    </w:p>
    <w:p>
      <w:pPr>
        <w:spacing w:after="0" w:line="104"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spacing w:after="0" w:line="90"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compete on the basis of payment, pricing, features and/or terms.</w:t>
      </w:r>
    </w:p>
    <w:p>
      <w:pPr>
        <w:spacing w:after="0" w:line="16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spacing w:after="0" w:line="133"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119"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modify or augment tax treatment of our product and service offerings.</w:t>
      </w:r>
    </w:p>
    <w:p>
      <w:pPr>
        <w:spacing w:after="0" w:line="169"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117" w:lineRule="exact"/>
        <w:rPr>
          <w:rFonts w:ascii="Arial" w:cs="Arial" w:eastAsia="Arial" w:hAnsi="Arial"/>
          <w:sz w:val="17"/>
          <w:szCs w:val="17"/>
          <w:color w:val="auto"/>
        </w:rPr>
      </w:pPr>
    </w:p>
    <w:p>
      <w:pPr>
        <w:jc w:val="both"/>
        <w:ind w:left="820" w:hanging="326"/>
        <w:spacing w:after="0" w:line="259"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military conflict between Russia and Ukraine and the conflict in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 Specifically, the conflict in Israel and Gaza has created an uncertain business and investment environment in the region. Many companies, particularly small to medium enterprises, are experiencing challenges raising money leading to cutbacks and project delays.</w:t>
      </w:r>
    </w:p>
    <w:p>
      <w:pPr>
        <w:spacing w:after="0" w:line="124"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Competition, embargoes, sanctions, boycotts and/or social unrest.</w:t>
      </w:r>
    </w:p>
    <w:p>
      <w:pPr>
        <w:spacing w:after="0" w:line="169"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Local or international economic headwind trends that may lead to recessions, economic slowdowns or sudden changes in economic needs of regions and consumers.</w:t>
      </w:r>
    </w:p>
    <w:p>
      <w:pPr>
        <w:spacing w:after="0" w:line="104" w:lineRule="exact"/>
        <w:rPr>
          <w:rFonts w:ascii="Arial" w:cs="Arial" w:eastAsia="Arial" w:hAnsi="Arial"/>
          <w:sz w:val="17"/>
          <w:szCs w:val="17"/>
          <w:color w:val="auto"/>
        </w:rPr>
      </w:pPr>
    </w:p>
    <w:p>
      <w:pPr>
        <w:ind w:left="820" w:right="20" w:hanging="326"/>
        <w:spacing w:after="0" w:line="301" w:lineRule="auto"/>
        <w:tabs>
          <w:tab w:leader="none" w:pos="829"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Silicon chip supply chain and shipment volume restrictions on our customers and their end customers that will impact the amount of royalties payable to us.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we may not achieve or maintain profitability in the future.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incurred net losses in certain periods historically. We incurred a net loss of $8.3 million and $9.2 million in the three months ended June 30, 2024 and 2023, respectively, and $17.7 million and $18.2 million in the six months ended June 30, 2024 and 2023, respectively. As of June 30, 2024, we had an accumulated deficit of $121.0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COVID-19 or any future pandemic and other global economic factors.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long-term success is dependent upon our ability to successfully market our interconnect IP and SIA solutions, develop new interconnect IP and SIA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spacing w:after="0" w:line="120"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169" w:lineRule="exact"/>
        <w:rPr>
          <w:rFonts w:ascii="Arial" w:cs="Arial" w:eastAsia="Arial" w:hAnsi="Arial"/>
          <w:sz w:val="17"/>
          <w:szCs w:val="17"/>
          <w:color w:val="auto"/>
        </w:rPr>
      </w:pPr>
    </w:p>
    <w:p>
      <w:pPr>
        <w:jc w:val="both"/>
        <w:ind w:left="820" w:right="20" w:hanging="326"/>
        <w:spacing w:after="0" w:line="274"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 including, but not limited to, natural disasters, telecommunications failures, cyber-attacks, terrorist attacks, regional conflicts, pandemics, epidemics or other outbreaks of infectious disease, including the COVID-19 pandemic, breaches of security or loss of critical data.</w:t>
      </w:r>
    </w:p>
    <w:p>
      <w:pPr>
        <w:spacing w:after="0" w:line="113"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markets’ supply chain and other manufacturing and production operations.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expand or dedicate the resources necessary to promote and commercialize their products.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 and uncertainty caused by new developments in export and related regulations.</w:t>
      </w:r>
    </w:p>
    <w:p>
      <w:pPr>
        <w:spacing w:after="0" w:line="169"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Regional and global effect of inflation or other adverse economic conditions, such as rising interest rates, recessions or economic slowdowns, resulting in delays or cancellations of new product design starts.</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impact of multiple interest rate increases implemented and forecasted by the U.S. Federal Reserve.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market acceptance of third-party semiconductor IP.</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SIA.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trends that would enable our growth are largely beyond our control. Semiconductor customers also may choose to adopt a multi -chip,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12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Even if we succeed in securing design wins for our IP interconnect and other solutions and our SIA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14"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Changing customer requirements, resulting in an extended development cycle for the product.</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 in the ramp-up of volume production of the customer’s products into which our solutions are designed.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 or cancellation of the customer’s product development plans.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or competitive pressures to reduce the selling price of the customer’s end-product.</w:t>
      </w:r>
    </w:p>
    <w:p>
      <w:pPr>
        <w:spacing w:after="0" w:line="169"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90"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Lower than expected acceptance of the customers’ end-products.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continually pursue new IP interconnect, SoC integration automation, and other technology initiatives, and if we fail to successfully carry out these initiatives, our business could be harmed.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SIA solutions in a timely and cost-effective manner, or if we fail to introduce new technologies that meet market demand, we may lose our competitive position, our products may become obsolete, and our business could be harmed.</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Moreover, new technologies and products may not be profitable, and even if they are profitable, operating margins for new products and businesses may not be as high as the margins we have experienced historically or originally anticipated.</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from time to time, we invest in expansion into adjacent markets, including the acquisition of Magillem and Semifore, and our growth into the IP interconnect and SIA 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spacing w:after="0" w:line="125"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continue to attract new customers in industries in which we have less experience.</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successful development of sales and marketing strategies that meet customer requirements.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accurately predict, prepare for, and promptly respond to technological developments in existing and new fields.</w:t>
      </w:r>
    </w:p>
    <w:p>
      <w:pPr>
        <w:spacing w:after="0" w:line="16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SIA solutions.</w:t>
      </w:r>
    </w:p>
    <w:p>
      <w:pPr>
        <w:spacing w:after="0" w:line="133"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continually balance our investment in adjacent markets with investment in our existing products and services.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and retain employees with expertise in new or emerging fields affecting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COVID-19 or other pandemics, could harm our business.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devote substantial resources to the research and development of new and enhanced interconnect IP and SIA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2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we will continue to experience hiring challenges, including for engineering resources.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SIA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SIA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support, our reputation could suffer.</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Interconnect IP and SIA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derived 65.4% of our revenue for 2023, from sales to customers outside of the United States. In particular, we derived 31.1% of our revenue in 2023 from customers located in China. For the six months ended June 30, 2024, 64.7% of our revenue was derived from sales to customers outside of the United States and 30.1%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24"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104" w:lineRule="exact"/>
        <w:rPr>
          <w:rFonts w:ascii="Arial" w:cs="Arial" w:eastAsia="Arial" w:hAnsi="Arial"/>
          <w:sz w:val="17"/>
          <w:szCs w:val="17"/>
          <w:color w:val="auto"/>
        </w:rPr>
      </w:pPr>
    </w:p>
    <w:p>
      <w:pPr>
        <w:jc w:val="both"/>
        <w:ind w:left="820" w:hanging="326"/>
        <w:spacing w:after="0" w:line="274" w:lineRule="auto"/>
        <w:tabs>
          <w:tab w:leader="none" w:pos="82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including the COVID-19 pandemic and future pandemics, which may cause us or our distributors, vendors and/or customers to temporarily suspend our or their respective operations in the affected city or country or completely.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820" w:hanging="326"/>
        <w:spacing w:after="0" w:line="266"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118"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104"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17"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diplomatic and trade relationships.</w:t>
      </w:r>
    </w:p>
    <w:p>
      <w:pPr>
        <w:spacing w:after="0" w:line="169" w:lineRule="exact"/>
        <w:rPr>
          <w:rFonts w:ascii="Arial" w:cs="Arial" w:eastAsia="Arial" w:hAnsi="Arial"/>
          <w:sz w:val="17"/>
          <w:szCs w:val="17"/>
          <w:color w:val="auto"/>
        </w:rPr>
      </w:pPr>
    </w:p>
    <w:p>
      <w:pPr>
        <w:ind w:left="820" w:right="20" w:hanging="326"/>
        <w:spacing w:after="0" w:line="284" w:lineRule="auto"/>
        <w:tabs>
          <w:tab w:leader="none" w:pos="8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Inadequate protection of our intellectual property.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169" w:lineRule="exact"/>
        <w:rPr>
          <w:rFonts w:ascii="Arial" w:cs="Arial" w:eastAsia="Arial" w:hAnsi="Arial"/>
          <w:sz w:val="17"/>
          <w:szCs w:val="17"/>
          <w:color w:val="auto"/>
        </w:rPr>
      </w:pPr>
    </w:p>
    <w:p>
      <w:pPr>
        <w:ind w:left="820" w:hanging="326"/>
        <w:spacing w:after="0" w:line="284" w:lineRule="auto"/>
        <w:tabs>
          <w:tab w:leader="none" w:pos="8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inside and outside of the United States.</w:t>
      </w:r>
    </w:p>
    <w:p>
      <w:pPr>
        <w:spacing w:after="0" w:line="182"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chose to do so in the future.</w:t>
      </w:r>
    </w:p>
    <w:p>
      <w:pPr>
        <w:spacing w:after="0" w:line="104"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regulatory uncertainties with respect to our wholly foreign-owned enterprise operating in China and any joint ventures we may form or contribute IP or other resources to in the future.</w:t>
      </w:r>
    </w:p>
    <w:p>
      <w:pPr>
        <w:spacing w:after="0" w:line="10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Trends such as global and regional inflation, supply shortages and supply chain disruptions, geopolitical conflicts and retaliatory actions and regulations affecting or relating to regions such as but not limited to Ukraine, Russia, Eastern Europe, Israel and the Middle East,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factors, individually or in combination, could impair our ability to effectively operate one or more of our foreign facilities or deliver our semiconductor IP or SIA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Downturns or volatility in general economic conditions, including as a result of geopolitical and macroeconomic conditions in the countries in which we conduct business, the COVID-19 pandemic or any other outbreaks of an infectious disease, could harm our business.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COVID-19 pandemic or other future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disruption in the credit markets, including as a result of the COVID-19 pandemic or other future pandemics,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COVID-19 pandemic.”</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cyclical nature of the semiconductor industry, including significant supply chain disruption, may limit our ability to maintain or improve our revenue.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COVID-19 pandemic, ongoing trade disputes among the United States and China, weakness in demand and pricing for semiconductors across applications and excess inventory.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COVID-19 pandemic as well as other trends such as the increasing demand for semiconductors in automobiles and artificial intelligence, which together have resulted in the inability of fabrication plants to produce sufficient quantities of chips to meet demand, supply chain shortages and other disruptions. Numerous factors, including any further trade tensions between the U.S. and China, such as the revisions to the U.S. regulations governing the export of certain semiconductor related hardware and software to China announced by the U.S. Department of Commerce’s Bureau of Industry and Security on October 7, 2022, and or any military conflict between China and Taiwan may prolong or deepen these challenges faced by the industry.</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significant amount of our revenue is derived from a limited number of customers. We expect that a relatively small number of customers will continue to account for a substantial portion of our revenue for the foreseeable future.</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Failure to effectively expand our sales and marketing capabilities could harm our ability to increase our customer base and achieve broader market acceptance of our products.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portions of our sales are made, and we anticipate will be made, to automotive, enterprise computing, communications, consumer electronics, and industrial suppliers. Any downturn in any of these markets could significantly harm our business.</w:t>
      </w:r>
    </w:p>
    <w:p>
      <w:pPr>
        <w:spacing w:after="0" w:line="9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Each of these sectors is subject to specific market risks. The consumer sector, for example, is subject to changes in end consumer spending patterns, technology developments and general economic conditions.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Moreover, the automotive industry is affected by general economic, trade and geopolitical conditions and associated responses by governments of various countries, the automotive industry, including manufacturers, dealers, distributors, and third-party suppliers may be adversely impacted. For example, during the COVID-19 pandemic,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any adverse effects on the automotive industry could harm our business, as well as our ability to execute our growth strategy.</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business has been, and may continue to be, adversely affected by health epidemics, pandemics and other outbreaks of infectious disease, including the COVID-19 or any similar pandemic.</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 and could reduce our ability to access capital.</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such crises could increase the magnitude of many of the other risks described in our Annual Report on Form 10-K for the year ended December 31, 2023, and may have other material adverse effects on our operations that we are not currently able to predict. If our business and the markets in which we operate experience a prolonged occurrence of adverse public health conditions, it could materially adversely affect our business, financial condition, and results of operations.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 In addition, in May 2020, Semifore, Inc., a company that we recently acquired, was a recipient of $0.1 million of proceeds from a note payable issued under the Paycheck Protection Program (PPP) under section 7(a)(36) of the Small Business Act. The note was repaid in full in December 2020.</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revenue comes from licensing fees, which may vary period to period.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License agreements for our interconnect IP are generally treated as ratable revenue, with revenue being recognized evenly over the license term. In recent periods we have made and will continue to make certain changes to SIA 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rates could decrease for existing and future license agreements, which could materially adversely affect our operating results.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7% of our revenue for the six months ended June 30, 2024. Therefore, a significant decrease in our royalty revenue could materially adversely affect our operating results.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royalty rates may be negatively affected by macroeconomic and geopolitical trends, including from global semiconductor supply chain issues (including from shortages in the availability of the supply of chips in several semiconductor sectors and applications), the COVID-19 or any future pandemic and its world effects and changes in products mix. Furthermore, consolidation among our customers may increase the leverage of our existing customers to extract concessions from us in royalty rates.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Changing currency exchange rates could harm our business.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six months ended June 30, 2024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particular, in light of the military conflict between Russia and Ukraine, the conflict in Israel, and the tensions between the European Union, other European countries, as well as the United States, with Russia, any resulting material change to the valuation of the Euro or other currency relative to the U.S. dollar could adversely impact our operating results.</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38" w:lineRule="exact"/>
        <w:rPr>
          <w:sz w:val="20"/>
          <w:szCs w:val="20"/>
          <w:color w:val="auto"/>
        </w:rPr>
      </w:pPr>
    </w:p>
    <w:p>
      <w:pPr>
        <w:ind w:left="820" w:hanging="326"/>
        <w:spacing w:after="0" w:line="284"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0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133"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hanging="326"/>
        <w:spacing w:after="0" w:line="284"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Pre-closing and post-closing earnings charges could adversely impact operating results in any given period, and the impact may be substantially different from period to period.</w:t>
      </w:r>
    </w:p>
    <w:p>
      <w:pPr>
        <w:spacing w:after="0" w:line="104" w:lineRule="exact"/>
        <w:rPr>
          <w:rFonts w:ascii="Arial" w:cs="Arial" w:eastAsia="Arial" w:hAnsi="Arial"/>
          <w:sz w:val="17"/>
          <w:szCs w:val="17"/>
          <w:color w:val="auto"/>
        </w:rPr>
      </w:pPr>
    </w:p>
    <w:p>
      <w:pPr>
        <w:ind w:left="820" w:hanging="326"/>
        <w:spacing w:after="0" w:line="301"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create demands on our management, operational resources and financial and internal control systems that we are unable to effectively address.</w:t>
      </w:r>
    </w:p>
    <w:p>
      <w:pPr>
        <w:spacing w:after="0" w:line="90"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could experience difficulty in integrating personnel, operations and financial and other controls and systems and retaining key employees and customers.</w:t>
      </w:r>
    </w:p>
    <w:p>
      <w:pPr>
        <w:spacing w:after="0" w:line="104"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unable to achieve cost savings or other synergies anticipated in connection with an acquisition, joint venture or other strategic relationship.</w:t>
      </w:r>
    </w:p>
    <w:p>
      <w:pPr>
        <w:spacing w:after="0" w:line="117" w:lineRule="exact"/>
        <w:rPr>
          <w:rFonts w:ascii="Arial" w:cs="Arial" w:eastAsia="Arial" w:hAnsi="Arial"/>
          <w:sz w:val="17"/>
          <w:szCs w:val="17"/>
          <w:color w:val="auto"/>
        </w:rPr>
      </w:pPr>
    </w:p>
    <w:p>
      <w:pPr>
        <w:jc w:val="both"/>
        <w:ind w:left="820" w:hanging="326"/>
        <w:spacing w:after="0" w:line="260" w:lineRule="auto"/>
        <w:tabs>
          <w:tab w:leader="none" w:pos="8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24"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17" w:lineRule="exact"/>
        <w:rPr>
          <w:rFonts w:ascii="Arial" w:cs="Arial" w:eastAsia="Arial" w:hAnsi="Arial"/>
          <w:sz w:val="17"/>
          <w:szCs w:val="17"/>
          <w:color w:val="auto"/>
        </w:rPr>
      </w:pPr>
    </w:p>
    <w:p>
      <w:pPr>
        <w:jc w:val="both"/>
        <w:ind w:left="820" w:hanging="326"/>
        <w:spacing w:after="0" w:line="275"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32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spacing w:after="0" w:line="118" w:lineRule="exact"/>
        <w:rPr>
          <w:rFonts w:ascii="Arial" w:cs="Arial" w:eastAsia="Arial" w:hAnsi="Arial"/>
          <w:sz w:val="17"/>
          <w:szCs w:val="17"/>
          <w:color w:val="auto"/>
        </w:rPr>
      </w:pPr>
    </w:p>
    <w:p>
      <w:pPr>
        <w:jc w:val="both"/>
        <w:ind w:left="820" w:hanging="326"/>
        <w:spacing w:after="0" w:line="266" w:lineRule="auto"/>
        <w:tabs>
          <w:tab w:leader="none" w:pos="8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Furthermore, potential acquisitions, investments, divestitures,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could prevent us from executing our growth strategy.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market acceptance of our semiconductor IP and other solutions, and our SIA solutions;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our counterparties are unable to fulfill their financial and other obligations to us, our business and results of operations may be affected adversely.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 Information Technology and Data Security and Privacy</w:t>
      </w:r>
    </w:p>
    <w:p>
      <w:pPr>
        <w:spacing w:after="0" w:line="16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seek to protect our proprietary technology and innovations, particularly those relating to the design of our products, through patents, trade secrets and other intellectual property rights. As of June 30, 2024, we had 183 total allowed or issued patents, pending patent applications and non-expired provisional patent applications worldwide. Of these, we had 80 allowed or issued patents, 71 are U.S. allowed or issued patents, five are allowed or issued China patents, two are South Korea issued patents, one is a U.K. issued patent, and one is a Japan issued patent. The 80 allowed or issued patents generally expire between July 2035 and March 2042. As of June 30, 2024, we had 103 pending non-provisional and provisional patent application filings, including 34 in the United States, 26 in Europe, 23 in China, 11 in South Korea and nine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Additionally, it is difficult to predict the impact of generative artificial intelligence (AI) on our intellectual property rights risk portfolio and costly to monitor the use of our intellectual property. It may be the case that our intellectual property is already being infringed and infringement may occur in the future without our knowledge. Litigation may be necessary to enforce our intellectual property rights. While it is our policy to protect and defend our rights to our IP,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IP solutions without infringing the patent, trade secret or other intellectual property rights of others.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Claims by other companies that we infringe their intellectual property rights or that patents on which we rely are invalid could adversely affect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spacing w:after="0" w:line="13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the event that any third-party succeeds in asserting a valid claim against us or any of our customers, we could be forced to do one or more of the following:</w:t>
      </w:r>
    </w:p>
    <w:p>
      <w:pPr>
        <w:spacing w:after="0" w:line="104" w:lineRule="exact"/>
        <w:rPr>
          <w:sz w:val="20"/>
          <w:szCs w:val="20"/>
          <w:color w:val="auto"/>
        </w:rPr>
      </w:pPr>
    </w:p>
    <w:p>
      <w:pPr>
        <w:ind w:left="820" w:hanging="326"/>
        <w:spacing w:after="0" w:line="284" w:lineRule="auto"/>
        <w:tabs>
          <w:tab w:leader="none" w:pos="815"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discontinue selling access to certain technologies that contain the allegedly infringing intellectual property which would result in a decline in our revenue and could result in breach of contract claim by our affected customers and damage to our reputation;</w:t>
      </w:r>
    </w:p>
    <w:p>
      <w:pPr>
        <w:spacing w:after="0" w:line="117" w:lineRule="exact"/>
        <w:rPr>
          <w:rFonts w:ascii="Arial" w:cs="Arial" w:eastAsia="Arial" w:hAnsi="Arial"/>
          <w:sz w:val="17"/>
          <w:szCs w:val="17"/>
          <w:i w:val="1"/>
          <w:iCs w:val="1"/>
          <w:color w:val="auto"/>
        </w:rPr>
      </w:pPr>
    </w:p>
    <w:p>
      <w:pPr>
        <w:ind w:left="820" w:hanging="326"/>
        <w:spacing w:after="0"/>
        <w:tabs>
          <w:tab w:leader="none" w:pos="820"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stop receiving payment from a customer that can no longer sell the end-product if it contains allegedly infringing intellectual property;</w:t>
      </w:r>
    </w:p>
    <w:p>
      <w:pPr>
        <w:spacing w:after="0" w:line="169" w:lineRule="exact"/>
        <w:rPr>
          <w:rFonts w:ascii="Arial" w:cs="Arial" w:eastAsia="Arial" w:hAnsi="Arial"/>
          <w:sz w:val="17"/>
          <w:szCs w:val="17"/>
          <w:i w:val="1"/>
          <w:iCs w:val="1"/>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not be feasible;</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pay substantial monetary damages to the party whose intellectual property rights we may be found to be infringing; and/or</w:t>
      </w:r>
    </w:p>
    <w:p>
      <w:pPr>
        <w:spacing w:after="0" w:line="169" w:lineRule="exact"/>
        <w:rPr>
          <w:rFonts w:ascii="Arial" w:cs="Arial" w:eastAsia="Arial" w:hAnsi="Arial"/>
          <w:sz w:val="17"/>
          <w:szCs w:val="17"/>
          <w:i w:val="1"/>
          <w:iCs w:val="1"/>
          <w:color w:val="auto"/>
        </w:rPr>
      </w:pPr>
    </w:p>
    <w:p>
      <w:pPr>
        <w:ind w:left="820" w:hanging="326"/>
        <w:spacing w:after="0" w:line="301"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 third-party causes us to discontinue the use of any of our technologies, we could be required to design around those technologies. This could be costly and time consuming and could have an adverse impact on our financial results. Any significant impairments of our intellectual property rights from any litigation we face could harm our business and our ability to compete in our industry.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2023,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Any dispute regarding our intellectual property may require us to indemnify certain customers, the cost of which could severely harm our business.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any potential dispute involving our patents or other intellectual property, our customers could also become the target of litigation. Some of our agreements, including those with key customers like Texas Instruments Incorporated and Samsung Electronics Co., Ltd.,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Cybersecurity threats continue to increase in frequency and sophistication; a successful cybersecurity or prolonged outage regardless of cause, attack could interrupt or disrupt our information technology systems, or those of our third-party service providers, or cause the loss of availability of confidential or protected data which could disrupt our business, force us to incur excessive costs or cause reputational harm.</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or any future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maintain cyber liability and business interruption insurance renewed annually; however, this insurance may not be sufficient to cover the financial, legal, business or reputational losses that may result from an interruption or breach of our systems.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amended the CCPA and imposed additional data protection obligations on covered businesses, including additional consumer rights processes, limitations on data uses, new audit requirements for higher risk data, and opt outs for certain uses of sensitive data. As part of CPRA, a new California data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Texas enacted the Texas Data Privacy Act, effective July 1, 2024,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called the EU-US Data Privacy Framework (DPF). On July 10, 2023, the EU adopted an adequacy decision for the EU-U.S. DPF after determining that the additional safeguards included in Executive Order 14086 signed by President Biden on October 7, 2022, provide an adequate level of protection for personal data transferred from the European Union. The adequacy decision allows the EU-U.S. DPF to facilitate the transfer of data from Europe to the United States, benefiting companies and individuals on both sides of the Atlantic. We currently rely on the SCCs to transfer personal data outside the EEA and the U.K., including to the U.S., with respect to both intragroup and third-party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the exit of the U.K. from the EU, often referred to as Brexit,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 such as with respect to Article 38 of the China Personal Information Protection Law (PIPL) Measures for Standard Contract on Outbound Transfer of Personal Information.</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Although we make reasonable efforts to comply with all applicable data protection laws and regulations, our interpretations and such measures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the large body of laws and regulations to which we are subject could materially harm our business.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42"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and economic sanctions laws and artificial intelligence regulations that may expose us to liability and increase our costs.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Certain of our products, including our IP interconnect and other solutions and technology are subject to U.S. export controls, including the U.S. Department of Commerce’s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U.S.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in October 2022 and October 2023, the U.S. federal government modified certain of its regulations affecting the export of semiconductor products and equipment, with particular focus on export to China. We must continue to comply with such regulations and take additional review and precautions as required when such export regulations are updated or changed by the U.S. federal government.</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July 2021, we submitted a voluntary self-disclosure (VSD) to the U.S. Department of Commerce's Bureau of Industry and Security, noting potential violations of the EAR. On April 28, 2022, the Office of Export Enforcement of the U.S. Department of Commerce's Bureau of Industry and Security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six months ended June 30, 2024, we derived 30.1%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Some of the other risks related to doing business in China include:</w:t>
      </w:r>
    </w:p>
    <w:p>
      <w:pPr>
        <w:spacing w:after="0" w:line="132"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182" w:lineRule="exact"/>
        <w:rPr>
          <w:rFonts w:ascii="Arial" w:cs="Arial" w:eastAsia="Arial" w:hAnsi="Arial"/>
          <w:sz w:val="17"/>
          <w:szCs w:val="17"/>
          <w:color w:val="auto"/>
        </w:rPr>
      </w:pPr>
    </w:p>
    <w:p>
      <w:pPr>
        <w:jc w:val="both"/>
        <w:ind w:left="820" w:hanging="326"/>
        <w:spacing w:after="0" w:line="249" w:lineRule="auto"/>
        <w:tabs>
          <w:tab w:leader="none" w:pos="815"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Increased uncertainties related to the protection and enforcement of intellectual property rights, including risk of theft or misappropriation of our products and intellectual property in China, as well as any intellectual property rights that we may license to a Chinese (or other emerging jurisdiction) entity, including any joint ventures we may form.</w:t>
      </w:r>
    </w:p>
    <w:p>
      <w:pPr>
        <w:spacing w:after="0" w:line="120" w:lineRule="exact"/>
        <w:rPr>
          <w:rFonts w:ascii="Arial" w:cs="Arial" w:eastAsia="Arial" w:hAnsi="Arial"/>
          <w:sz w:val="17"/>
          <w:szCs w:val="17"/>
          <w:i w:val="1"/>
          <w:iCs w:val="1"/>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169"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and restrictions imposed by U.S. and Chinese legislation, executive actions and regulations.</w:t>
      </w:r>
    </w:p>
    <w:p>
      <w:pPr>
        <w:spacing w:after="0" w:line="117"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Difficulty of travel to and from China (and to and from United States) arising from or related to the COVID-19 pandemic or any future pandemic.</w:t>
      </w:r>
    </w:p>
    <w:p>
      <w:pPr>
        <w:spacing w:after="0" w:line="104"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169"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Additionally, on October 7, 2022, the U.S. Department of Commerce's Bureau of Industry and Security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U.S. Department of Commerce's Bureau of Industry and Security issued regulations amending the October 7, 2022 export controls governing the export of certain semiconductor-related hardware and software to China. These restrictions, which are effective on November 17, 2023,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August 9, 2023, President Biden signed an “Executive Order 14105 entitled Executive Order on Addressing United States Investments in Certain National Security Technologies and Products in Countries of Concern” that will impact certain investments by U.S. persons and companies in China. On June 21, 2024, the U.S. Department of Treasury issued a Notice of Proposed Rulemaking for implementing Executive Order 14105 with a comment period ending Aug 4, 2024. This new regulatory regime, once the final text is issued, will require notification to the Treasury Department of certain investments by U.S. persons and companies involving certain sectors and technologies in China and will prohibit other types of investments in China.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spacing w:after="0" w:line="12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104" w:lineRule="exact"/>
        <w:rPr>
          <w:sz w:val="20"/>
          <w:szCs w:val="20"/>
          <w:color w:val="auto"/>
        </w:rPr>
      </w:pPr>
    </w:p>
    <w:p>
      <w:pPr>
        <w:ind w:left="820" w:hanging="326"/>
        <w:spacing w:after="0" w:line="284"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not commit sufficient resources to market and distribute our products or to otherwise support the joint venture and its intended operations.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have economic or business interests or goals that are different from ours.</w:t>
      </w:r>
    </w:p>
    <w:p>
      <w:pPr>
        <w:spacing w:after="0" w:line="182"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infringe the IP we assign or license to such joint venture, or the IP of other parties, which may be adverse to us, expose us to litigation and other potential liabilities.</w:t>
      </w:r>
    </w:p>
    <w:p>
      <w:pPr>
        <w:spacing w:after="0" w:line="104" w:lineRule="exact"/>
        <w:rPr>
          <w:rFonts w:ascii="Arial" w:cs="Arial" w:eastAsia="Arial" w:hAnsi="Arial"/>
          <w:sz w:val="17"/>
          <w:szCs w:val="17"/>
          <w:color w:val="auto"/>
        </w:rPr>
      </w:pPr>
    </w:p>
    <w:p>
      <w:pPr>
        <w:jc w:val="both"/>
        <w:ind w:left="820" w:right="20" w:hanging="326"/>
        <w:spacing w:after="0" w:line="266" w:lineRule="auto"/>
        <w:tabs>
          <w:tab w:leader="none" w:pos="8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spacing w:after="0" w:line="133"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joint venture or investment partners may not provide us with timely and accurate information regarding the status, compliance or activities of the joint venture or investment which could, among other things, impact our ability to accurately forecast financial results or provide timely information to our shareholders.</w:t>
      </w:r>
    </w:p>
    <w:p>
      <w:pPr>
        <w:spacing w:after="0" w:line="119"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Risks associated with the ability to generate sufficient revenue and or investment to continue operations.</w:t>
      </w:r>
    </w:p>
    <w:p>
      <w:pPr>
        <w:spacing w:after="0" w:line="169"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of the risks related to doing business in China or having a Chinese joint venture or investment that are discussed elsewhere in these risk factors.</w:t>
      </w:r>
    </w:p>
    <w:p>
      <w:pPr>
        <w:spacing w:after="0" w:line="9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occurrence of one or more of the above risks, or any other negative events, could adversely impact our joint ventures or similar investments and could in turn harm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6" w:name="page67"/>
    <w:bookmarkEnd w:id="6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19" w:lineRule="exact"/>
        <w:rPr>
          <w:sz w:val="20"/>
          <w:szCs w:val="20"/>
          <w:color w:val="auto"/>
        </w:rPr>
      </w:pPr>
    </w:p>
    <w:p>
      <w:pPr>
        <w:ind w:left="820" w:hanging="326"/>
        <w:spacing w:after="0" w:line="284" w:lineRule="auto"/>
        <w:tabs>
          <w:tab w:leader="none" w:pos="842"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engage an auditor to report on our internal controls over financial reporting pursuant to Section 404(b) of the Sarbanes-Oxley Act;</w:t>
      </w:r>
    </w:p>
    <w:p>
      <w:pPr>
        <w:spacing w:after="0" w:line="104" w:lineRule="exact"/>
        <w:rPr>
          <w:rFonts w:ascii="Arial" w:cs="Arial" w:eastAsia="Arial" w:hAnsi="Arial"/>
          <w:sz w:val="17"/>
          <w:szCs w:val="17"/>
          <w:color w:val="auto"/>
        </w:rPr>
      </w:pPr>
    </w:p>
    <w:p>
      <w:pPr>
        <w:jc w:val="both"/>
        <w:ind w:left="820" w:hanging="326"/>
        <w:spacing w:after="0" w:line="274" w:lineRule="auto"/>
        <w:tabs>
          <w:tab w:leader="none" w:pos="829"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13"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submit certain executive compensation matters to stockholder advisory votes, such as “say-on-pay,” “say-on-frequency,” and “say-on-golden-parachutes”; and</w:t>
      </w:r>
    </w:p>
    <w:p>
      <w:pPr>
        <w:spacing w:after="0" w:line="104" w:lineRule="exact"/>
        <w:rPr>
          <w:rFonts w:ascii="Arial" w:cs="Arial" w:eastAsia="Arial" w:hAnsi="Arial"/>
          <w:sz w:val="17"/>
          <w:szCs w:val="17"/>
          <w:color w:val="auto"/>
        </w:rPr>
      </w:pPr>
    </w:p>
    <w:p>
      <w:pPr>
        <w:ind w:left="820" w:hanging="326"/>
        <w:spacing w:after="0" w:line="301" w:lineRule="auto"/>
        <w:tabs>
          <w:tab w:leader="none" w:pos="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w:t>
      </w:r>
    </w:p>
    <w:p>
      <w:pPr>
        <w:spacing w:after="0" w:line="2" w:lineRule="exact"/>
        <w:rPr>
          <w:sz w:val="20"/>
          <w:szCs w:val="20"/>
          <w:color w:val="auto"/>
        </w:rPr>
      </w:pPr>
    </w:p>
    <w:p>
      <w:pPr>
        <w:jc w:val="both"/>
        <w:ind w:firstLine="8"/>
        <w:spacing w:after="0" w:line="256" w:lineRule="auto"/>
        <w:tabs>
          <w:tab w:leader="none" w:pos="25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7" w:name="page68"/>
    <w:bookmarkEnd w:id="6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and liquid trading market for our common stock may not be sustained.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33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stock price may be volatile, and investors in our common stock may not be able to resell shares of our common stock at or above the price paid, or at all.</w:t>
      </w:r>
    </w:p>
    <w:p>
      <w:pPr>
        <w:spacing w:after="0" w:line="8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trading price of our common stock could be volatile and subject to wide fluctuations in response to various factors, many of which are beyond our control, including, but not limited to:</w:t>
      </w:r>
    </w:p>
    <w:p>
      <w:pPr>
        <w:spacing w:after="0" w:line="104"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variations in our actual or anticipated annual or quarterly operating results or those of others in our industry;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effects arising if U.S. inflationary and/or currency devaluation trends appear or increase;</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169"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market conditions in the semiconductor industry;</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to meet our publicly announced guidance or other expectations about our business;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products or those of others in our industry, or of our industry generally;</w:t>
      </w:r>
    </w:p>
    <w:p>
      <w:pPr>
        <w:spacing w:after="0" w:line="16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33"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69"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actions involving us or others in our industry, or actual or anticipated changes in applicable government regulations or enforcement thereof;</w:t>
      </w:r>
    </w:p>
    <w:p>
      <w:pPr>
        <w:spacing w:after="0" w:line="104"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169"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13"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and securities market conditions, including rising interest rates; and</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factors discussed in this “Risk Factors” section and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8" w:name="page69"/>
    <w:bookmarkEnd w:id="6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Since our stock price may be volatile, investors in our common stock may not be able to resell shares of our common stock at or above the price paid, or at all.</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fail to meet our publicly announced guidance or other expectations about our business, which could cause our stock price to decline.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our existing stockholders, including current or former employees sell, or indicate an intention to sell, substantial amounts of our common stock in the public market, the market price of our common stock could decline. As of June 30, 2024, we had approximately 39.2 million shares of common stock outstanding.</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executive officers, directors and stockholders affiliated with our directors also may buy or sell additional shares outside of a Rule 10b5-1 plan when they are not in possession of material, nonpublic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9" w:name="page70"/>
    <w:bookmarkEnd w:id="6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June 30, 2024, K. Charles Janac, our President, Chief Executive Officer and Chairman, held voting power over approximately 26.8%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300,000,000 shares of common stock authorized as of June 30, 2024.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or pay any dividends on our common stock for the foreseeable future.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Management may apply our net proceeds from our initial public offering to uses that do not increase our market value or improve our operating results.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0" w:name="page71"/>
    <w:bookmarkEnd w:id="7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7"/>
          <w:szCs w:val="17"/>
          <w:color w:val="auto"/>
        </w:rPr>
        <w: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38" w:lineRule="exact"/>
        <w:rPr>
          <w:sz w:val="20"/>
          <w:szCs w:val="20"/>
          <w:color w:val="auto"/>
        </w:rPr>
      </w:pPr>
    </w:p>
    <w:p>
      <w:pPr>
        <w:ind w:left="660" w:hanging="328"/>
        <w:spacing w:after="0" w:line="28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have the effect of deferring, delaying or discouraging hostile takeovers, or changes in control of us or our management;</w:t>
      </w:r>
    </w:p>
    <w:p>
      <w:pPr>
        <w:spacing w:after="0" w:line="104"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169" w:lineRule="exact"/>
        <w:rPr>
          <w:rFonts w:ascii="Arial" w:cs="Arial" w:eastAsia="Arial" w:hAnsi="Arial"/>
          <w:sz w:val="17"/>
          <w:szCs w:val="17"/>
          <w:color w:val="auto"/>
        </w:rPr>
      </w:pPr>
    </w:p>
    <w:p>
      <w:pPr>
        <w:ind w:left="660" w:hanging="328"/>
        <w:spacing w:after="0" w:line="28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04" w:lineRule="exact"/>
        <w:rPr>
          <w:rFonts w:ascii="Arial" w:cs="Arial" w:eastAsia="Arial" w:hAnsi="Arial"/>
          <w:sz w:val="17"/>
          <w:szCs w:val="17"/>
          <w:color w:val="auto"/>
        </w:rPr>
      </w:pPr>
    </w:p>
    <w:p>
      <w:pPr>
        <w:jc w:val="both"/>
        <w:ind w:left="660" w:hanging="328"/>
        <w:spacing w:after="0" w:line="27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169" w:lineRule="exact"/>
        <w:rPr>
          <w:rFonts w:ascii="Arial" w:cs="Arial" w:eastAsia="Arial" w:hAnsi="Arial"/>
          <w:sz w:val="17"/>
          <w:szCs w:val="17"/>
          <w:color w:val="auto"/>
        </w:rPr>
      </w:pPr>
    </w:p>
    <w:p>
      <w:pPr>
        <w:ind w:left="660" w:right="20" w:hanging="328"/>
        <w:spacing w:after="0" w:line="284"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17" w:lineRule="exact"/>
        <w:rPr>
          <w:rFonts w:ascii="Arial" w:cs="Arial" w:eastAsia="Arial" w:hAnsi="Arial"/>
          <w:sz w:val="17"/>
          <w:szCs w:val="17"/>
          <w:color w:val="auto"/>
        </w:rPr>
      </w:pPr>
    </w:p>
    <w:p>
      <w:pPr>
        <w:ind w:left="660" w:hanging="328"/>
        <w:spacing w:after="0" w:line="284"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04" w:lineRule="exact"/>
        <w:rPr>
          <w:rFonts w:ascii="Arial" w:cs="Arial" w:eastAsia="Arial" w:hAnsi="Arial"/>
          <w:sz w:val="17"/>
          <w:szCs w:val="17"/>
          <w:color w:val="auto"/>
        </w:rPr>
      </w:pPr>
    </w:p>
    <w:p>
      <w:pPr>
        <w:jc w:val="both"/>
        <w:ind w:left="660" w:hanging="328"/>
        <w:spacing w:after="0" w:line="266"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133" w:lineRule="exact"/>
        <w:rPr>
          <w:rFonts w:ascii="Arial" w:cs="Arial" w:eastAsia="Arial" w:hAnsi="Arial"/>
          <w:sz w:val="17"/>
          <w:szCs w:val="17"/>
          <w:color w:val="auto"/>
        </w:rPr>
      </w:pPr>
    </w:p>
    <w:p>
      <w:pPr>
        <w:jc w:val="both"/>
        <w:ind w:left="660" w:hanging="328"/>
        <w:spacing w:after="0" w:line="260" w:lineRule="auto"/>
        <w:tabs>
          <w:tab w:leader="none" w:pos="6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1" w:name="page72"/>
    <w:bookmarkEnd w:id="7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7"/>
          <w:szCs w:val="17"/>
          <w:color w:val="auto"/>
        </w:rPr>
        <w:t>.</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2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Litigation, including securities class action litigation, may impair our reputation and lead us to incur significant costs. For example, we are currently involved in ongoing litigation related to patent infringement claims.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2" w:name="page73"/>
    <w:bookmarkEnd w:id="7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Sales of Unregistered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Use of Proceeds from Public Offering of Common Stock</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Jefferies LLC and Cowen served as lead book-running managers and BMO Capital Markets served as joint book-running manager for the offering.</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Northland Capital Markets and Rosenblatt Securities acted as co-managers.</w:t>
      </w:r>
    </w:p>
    <w:p>
      <w:pPr>
        <w:spacing w:after="0" w:line="16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10b5-1 plans: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May 8, 2024, Paul Alpern, Vice President and General Counsel, adopted a Rule 10b5-1 trading arrangement that is intended to satisfy the affirmative defense of Rule 10b5-1(c) for the sale of up to 85,916 shares of the Company’s common stock until August 31, 2025.</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May 20, 2024, Nick Hawkins, Chief Financial Officer, adopted a Rule 10b5-1 trading arrangement that is intended to satisfy the affirmative defense of Rule 10b5-1(c) for the sale of up to 171,796 shares of the Company’s common stock until August 31, 2025.</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6, 2024, Atiq Raza, Director, as the trustee of Saiyed Atiq Raza and Nandini Saraiya 2012 Revocable Trust Dated November 26, 2012, adopted a Rule 10b5-1 trading arrangement that is intended to satisfy the affirmative defense of Rule 10b5-1(c) for the sale of up to 972,472 shares of the Company’s common stock until October 31,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3" w:name="page74"/>
    <w:bookmarkEnd w:id="7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June 6, 2024, Isabelle Geday, Director, adopted a Rule 10b5-1 trading arrangement that is intended to satisfy the affirmative defense of Rule 10b5-1(c) for the sale of up to 15,550 shares of the Company’s common stock until September 8, 2025.</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On June 7, 2024, Wayne Cantwell, Director, adopted a Rule 10b5-1 trading arrangement that is intended to satisfy the affirmative defense of Rule 10b5-1(c) for the sale of up to 180,000 shares of the Company’s common stock until August 31, 2025.</w:t>
      </w:r>
    </w:p>
    <w:p>
      <w:pPr>
        <w:spacing w:after="0" w:line="9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On June 12, 2024, Antonio Viana, Director, as the trustee of Viana Family Trust, terminated a Rule 10b5-1 trading arrangement intended to satisfy the affirmative defense of Rule 10b5-1(c) and originally adopted on November 13, 2023 for the sale of up to 227,777 shares of the Company’s common stock until April 30, 2025.</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13, 2024, Antonio Viana, Director, as the trustee of Viana Family Trust, adopted a Rule 10b5-1 trading arrangement of Viana Family Trust that is intended to satisfy the affirmative defense of Rule 10b5-1(c) for the sale of up to 223,309 shares of the Company’s common stock until September 30, 2025.</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 Agreement: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July 30, 2024, the Company executed amended and restated change in control executive severance agreements (each, the A&amp;R Severance Agreement and together, the A&amp;R Severance Agreements) with certain Company executives, including with K. Charles Janac, Laurent Moll and Nicholas B. Hawkins. The A&amp;R Severance Agreements, which replace earlier versions, are substantively consistent with the severance agreements earlier approved by the Board in September 2021; however, the A&amp;R Severance Agreements now contain an auto-renewal provision. The foregoing description of the A&amp;R Severance Agreements is qualified in its entirety by reference to the A&amp;R Severance Agreement form, which is filed as Exhibit 10.1 hereto and is incorporated herein by reference.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4" w:name="page75"/>
    <w:bookmarkEnd w:id="7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5"/>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6560" w:type="dxa"/>
            <w:vAlign w:val="bottom"/>
            <w:gridSpan w:val="12"/>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232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Exhibit   Filing DateFiled</w:t>
            </w: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155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28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13"/>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Amended and Restated Certificate of Incorporation of Arteris, Inc.</w:t>
              </w:r>
            </w:hyperlink>
          </w:p>
        </w:tc>
        <w:tc>
          <w:tcPr>
            <w:tcW w:w="640" w:type="dxa"/>
            <w:vAlign w:val="bottom"/>
          </w:tcPr>
          <w:p>
            <w:pPr>
              <w:ind w:left="100"/>
              <w:spacing w:after="0" w:line="182" w:lineRule="exact"/>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line="182" w:lineRule="exact"/>
              <w:rPr>
                <w:sz w:val="20"/>
                <w:szCs w:val="20"/>
                <w:color w:val="auto"/>
              </w:rPr>
            </w:pPr>
            <w:r>
              <w:rPr>
                <w:rFonts w:ascii="Arial" w:cs="Arial" w:eastAsia="Arial" w:hAnsi="Arial"/>
                <w:sz w:val="18"/>
                <w:szCs w:val="18"/>
                <w:color w:val="auto"/>
              </w:rPr>
              <w:t>3.1 10-29-2021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gridSpan w:val="13"/>
          </w:tcPr>
          <w:p>
            <w:pPr>
              <w:spacing w:after="0"/>
              <w:rPr>
                <w:rFonts w:ascii="Arial" w:cs="Arial" w:eastAsia="Arial" w:hAnsi="Arial"/>
                <w:sz w:val="18"/>
                <w:szCs w:val="18"/>
                <w:color w:val="0000FF"/>
              </w:rPr>
            </w:pPr>
            <w:hyperlink r:id="rId87">
              <w:r>
                <w:rPr>
                  <w:rFonts w:ascii="Arial" w:cs="Arial" w:eastAsia="Arial" w:hAnsi="Arial"/>
                  <w:sz w:val="18"/>
                  <w:szCs w:val="18"/>
                  <w:color w:val="0000FF"/>
                </w:rPr>
                <w:t>Amended and Restated Bylaws of Arteris, Inc.</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3.2 10-29-2021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jc w:val="center"/>
              <w:ind w:left="191"/>
              <w:spacing w:after="0"/>
              <w:rPr>
                <w:rFonts w:ascii="Arial" w:cs="Arial" w:eastAsia="Arial" w:hAnsi="Arial"/>
                <w:sz w:val="18"/>
                <w:szCs w:val="18"/>
                <w:color w:val="0000FF"/>
              </w:rPr>
            </w:pPr>
            <w:hyperlink r:id="rId8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80" w:type="dxa"/>
            <w:vAlign w:val="bottom"/>
            <w:gridSpan w:val="13"/>
          </w:tcPr>
          <w:p>
            <w:pPr>
              <w:spacing w:after="0"/>
              <w:rPr>
                <w:rFonts w:ascii="Arial" w:cs="Arial" w:eastAsia="Arial" w:hAnsi="Arial"/>
                <w:sz w:val="18"/>
                <w:szCs w:val="18"/>
                <w:color w:val="0000FF"/>
              </w:rPr>
            </w:pPr>
            <w:hyperlink r:id="rId88">
              <w:r>
                <w:rPr>
                  <w:rFonts w:ascii="Arial" w:cs="Arial" w:eastAsia="Arial" w:hAnsi="Arial"/>
                  <w:sz w:val="18"/>
                  <w:szCs w:val="18"/>
                  <w:color w:val="0000FF"/>
                </w:rPr>
                <w:t>Specimen Stock Certificate evidencing the shares of common stock.</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S-1/A</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4.1 10-18-2021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5"/>
          </w:tcPr>
          <w:p>
            <w:pPr>
              <w:jc w:val="cente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p>
        </w:tc>
        <w:tc>
          <w:tcPr>
            <w:tcW w:w="6580" w:type="dxa"/>
            <w:vAlign w:val="bottom"/>
            <w:gridSpan w:val="13"/>
          </w:tcPr>
          <w:p>
            <w:pPr>
              <w:spacing w:after="0"/>
              <w:rPr>
                <w:sz w:val="20"/>
                <w:szCs w:val="20"/>
                <w:color w:val="auto"/>
              </w:rPr>
            </w:pPr>
            <w:r>
              <w:rPr>
                <w:rFonts w:ascii="Arial" w:cs="Arial" w:eastAsia="Arial" w:hAnsi="Arial"/>
                <w:sz w:val="18"/>
                <w:szCs w:val="18"/>
                <w:color w:val="0000FF"/>
              </w:rPr>
              <w:t>Amended and Restated Change in Control and Severance Agreement</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spacing w:after="0"/>
              <w:rPr>
                <w:sz w:val="18"/>
                <w:szCs w:val="18"/>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80" w:type="dxa"/>
            <w:vAlign w:val="bottom"/>
          </w:tcPr>
          <w:p>
            <w:pPr>
              <w:spacing w:after="0"/>
              <w:rPr>
                <w:sz w:val="18"/>
                <w:szCs w:val="18"/>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gridSpan w:val="10"/>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 w:type="dxa"/>
            <w:vAlign w:val="bottom"/>
            <w:gridSpan w:val="4"/>
          </w:tcPr>
          <w:p>
            <w:pPr>
              <w:jc w:val="center"/>
              <w:ind w:left="91"/>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180" w:type="dxa"/>
            <w:vAlign w:val="bottom"/>
          </w:tcPr>
          <w:p>
            <w:pPr>
              <w:spacing w:after="0"/>
              <w:rPr>
                <w:sz w:val="18"/>
                <w:szCs w:val="18"/>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40" w:type="dxa"/>
            <w:vAlign w:val="bottom"/>
            <w:gridSpan w:val="5"/>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560" w:type="dxa"/>
            <w:vAlign w:val="bottom"/>
            <w:gridSpan w:val="12"/>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tcBorders>
              <w:top w:val="single" w:sz="8" w:color="0000FF"/>
            </w:tcBorders>
            <w:gridSpan w:val="10"/>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0" w:type="dxa"/>
            <w:vAlign w:val="bottom"/>
            <w:gridSpan w:val="4"/>
          </w:tcPr>
          <w:p>
            <w:pPr>
              <w:jc w:val="center"/>
              <w:ind w:left="91"/>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180" w:type="dxa"/>
            <w:vAlign w:val="bottom"/>
          </w:tcPr>
          <w:p>
            <w:pPr>
              <w:spacing w:after="0"/>
              <w:rPr>
                <w:sz w:val="18"/>
                <w:szCs w:val="18"/>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0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gridSpan w:val="4"/>
          </w:tcPr>
          <w:p>
            <w:pPr>
              <w:jc w:val="center"/>
              <w:ind w:left="91"/>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180" w:type="dxa"/>
            <w:vAlign w:val="bottom"/>
          </w:tcPr>
          <w:p>
            <w:pPr>
              <w:spacing w:after="0"/>
              <w:rPr>
                <w:sz w:val="19"/>
                <w:szCs w:val="19"/>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940" w:type="dxa"/>
            <w:vAlign w:val="bottom"/>
            <w:tcBorders>
              <w:top w:val="single" w:sz="8" w:color="0000FF"/>
            </w:tcBorders>
            <w:gridSpan w:val="4"/>
          </w:tcPr>
          <w:p>
            <w:pPr>
              <w:spacing w:after="0"/>
              <w:rPr>
                <w:sz w:val="13"/>
                <w:szCs w:val="13"/>
                <w:color w:val="auto"/>
              </w:rPr>
            </w:pPr>
          </w:p>
        </w:tc>
        <w:tc>
          <w:tcPr>
            <w:tcW w:w="1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400" w:type="dxa"/>
            <w:vAlign w:val="bottom"/>
            <w:gridSpan w:val="18"/>
          </w:tcPr>
          <w:p>
            <w:pPr>
              <w:ind w:left="8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13"/>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18"/>
          </w:tcPr>
          <w:p>
            <w:pPr>
              <w:ind w:left="40"/>
              <w:spacing w:after="0"/>
              <w:rPr>
                <w:sz w:val="20"/>
                <w:szCs w:val="20"/>
                <w:color w:val="auto"/>
              </w:rPr>
            </w:pPr>
            <w:r>
              <w:rPr>
                <w:rFonts w:ascii="Arial" w:cs="Arial" w:eastAsia="Arial" w:hAnsi="Arial"/>
                <w:sz w:val="18"/>
                <w:szCs w:val="18"/>
                <w:color w:val="auto"/>
              </w:rPr>
              <w:t>101.SCH XBRL Taxonomy Extension Schema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0" w:type="dxa"/>
            <w:vAlign w:val="bottom"/>
            <w:gridSpan w:val="18"/>
          </w:tcPr>
          <w:p>
            <w:pPr>
              <w:ind w:left="60"/>
              <w:spacing w:after="0"/>
              <w:rPr>
                <w:sz w:val="20"/>
                <w:szCs w:val="20"/>
                <w:color w:val="auto"/>
              </w:rPr>
            </w:pPr>
            <w:r>
              <w:rPr>
                <w:rFonts w:ascii="Arial" w:cs="Arial" w:eastAsia="Arial" w:hAnsi="Arial"/>
                <w:sz w:val="18"/>
                <w:szCs w:val="18"/>
                <w:color w:val="auto"/>
              </w:rPr>
              <w:t>101.CAL XBRL Taxonomy Extension Calculation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0" w:type="dxa"/>
            <w:vAlign w:val="bottom"/>
            <w:gridSpan w:val="18"/>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0" w:type="dxa"/>
            <w:vAlign w:val="bottom"/>
            <w:gridSpan w:val="18"/>
          </w:tcPr>
          <w:p>
            <w:pPr>
              <w:ind w:left="60"/>
              <w:spacing w:after="0"/>
              <w:rPr>
                <w:sz w:val="20"/>
                <w:szCs w:val="20"/>
                <w:color w:val="auto"/>
              </w:rPr>
            </w:pPr>
            <w:r>
              <w:rPr>
                <w:rFonts w:ascii="Arial" w:cs="Arial" w:eastAsia="Arial" w:hAnsi="Arial"/>
                <w:sz w:val="18"/>
                <w:szCs w:val="18"/>
                <w:color w:val="auto"/>
              </w:rPr>
              <w:t>101.LAB XBRL Taxonomy Extension Label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0" w:type="dxa"/>
            <w:vAlign w:val="bottom"/>
            <w:gridSpan w:val="18"/>
          </w:tcPr>
          <w:p>
            <w:pPr>
              <w:ind w:left="40"/>
              <w:spacing w:after="0"/>
              <w:rPr>
                <w:sz w:val="20"/>
                <w:szCs w:val="20"/>
                <w:color w:val="auto"/>
              </w:rPr>
            </w:pPr>
            <w:r>
              <w:rPr>
                <w:rFonts w:ascii="Arial" w:cs="Arial" w:eastAsia="Arial" w:hAnsi="Arial"/>
                <w:sz w:val="18"/>
                <w:szCs w:val="18"/>
                <w:color w:val="auto"/>
              </w:rPr>
              <w:t>101.PRE XBRL Taxonomy Extension Presentation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1"/>
        </w:trPr>
        <w:tc>
          <w:tcPr>
            <w:tcW w:w="540" w:type="dxa"/>
            <w:vAlign w:val="bottom"/>
            <w:gridSpan w:val="3"/>
          </w:tcPr>
          <w:p>
            <w:pPr>
              <w:jc w:val="center"/>
              <w:ind w:left="151"/>
              <w:spacing w:after="0" w:line="181" w:lineRule="exact"/>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13"/>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640" w:type="dxa"/>
            <w:vAlign w:val="bottom"/>
          </w:tcPr>
          <w:p>
            <w:pPr>
              <w:spacing w:after="0"/>
              <w:rPr>
                <w:sz w:val="15"/>
                <w:szCs w:val="15"/>
                <w:color w:val="auto"/>
              </w:rPr>
            </w:pPr>
          </w:p>
        </w:tc>
        <w:tc>
          <w:tcPr>
            <w:tcW w:w="2320" w:type="dxa"/>
            <w:vAlign w:val="bottom"/>
          </w:tcPr>
          <w:p>
            <w:pPr>
              <w:jc w:val="center"/>
              <w:ind w:left="1558"/>
              <w:spacing w:after="0" w:line="18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auto"/>
              </w:rPr>
              <w:t>Exhibits 101).</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840" w:hanging="47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4"/>
          <w:szCs w:val="14"/>
          <w:color w:val="auto"/>
        </w:rPr>
        <w:t>Indicates a management contract or compensatory plan or arrangement.</w:t>
      </w:r>
    </w:p>
    <w:p>
      <w:pPr>
        <w:spacing w:after="0" w:line="39" w:lineRule="exact"/>
        <w:rPr>
          <w:sz w:val="20"/>
          <w:szCs w:val="20"/>
          <w:color w:val="auto"/>
        </w:rPr>
      </w:pPr>
    </w:p>
    <w:p>
      <w:pPr>
        <w:ind w:left="840" w:right="2160" w:hanging="462"/>
        <w:spacing w:after="0" w:line="232"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36" w:right="1219" w:bottom="1440" w:gutter="0" w:footer="0" w:header="0"/>
        </w:sectPr>
      </w:pPr>
    </w:p>
    <w:bookmarkStart w:id="75" w:name="page76"/>
    <w:bookmarkEnd w:id="7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2024</w:t>
      </w:r>
    </w:p>
    <w:p>
      <w:pPr>
        <w:spacing w:after="0" w:line="333" w:lineRule="exact"/>
        <w:rPr>
          <w:sz w:val="20"/>
          <w:szCs w:val="20"/>
          <w:color w:val="auto"/>
        </w:rPr>
      </w:pPr>
    </w:p>
    <w:tbl>
      <w:tblPr>
        <w:tblLayout w:type="fixed"/>
        <w:tblInd w:w="6100" w:type="dxa"/>
        <w:tblCellMar>
          <w:top w:w="0" w:type="dxa"/>
          <w:left w:w="0" w:type="dxa"/>
          <w:bottom w:w="0" w:type="dxa"/>
          <w:right w:w="0" w:type="dxa"/>
        </w:tblCellMar>
      </w:tblPr>
      <w:tr>
        <w:trPr>
          <w:trHeight w:val="247"/>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1"/>
                <w:szCs w:val="21"/>
                <w:color w:val="auto"/>
              </w:rPr>
            </w:pPr>
          </w:p>
        </w:tc>
      </w:tr>
      <w:tr>
        <w:trPr>
          <w:trHeight w:val="528"/>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36"/>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36" w:right="339" w:bottom="1440" w:gutter="0" w:footer="0" w:header="0"/>
        </w:sectPr>
      </w:pPr>
    </w:p>
    <w:bookmarkStart w:id="76" w:name="page77"/>
    <w:bookmarkEnd w:id="76"/>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ARTERIS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CHANGE IN CONTROL AND SEVERANCE AGREEMENT</w:t>
      </w:r>
    </w:p>
    <w:p>
      <w:pPr>
        <w:spacing w:after="0" w:line="2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[____________]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Arteris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[the latest date set forth by the signatures of the parties hereto below]/[the date Executive commences employment with the Company]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14" w:lineRule="exact"/>
        <w:rPr>
          <w:sz w:val="20"/>
          <w:szCs w:val="20"/>
          <w:color w:val="auto"/>
        </w:rPr>
      </w:pPr>
    </w:p>
    <w:p>
      <w:pPr>
        <w:jc w:val="both"/>
        <w:ind w:firstLine="656"/>
        <w:spacing w:after="0" w:line="254" w:lineRule="auto"/>
        <w:tabs>
          <w:tab w:leader="none" w:pos="129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herein, capitalized terms used in this Agreement are defined in Section 9 below.</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20" w:lineRule="exact"/>
        <w:rPr>
          <w:sz w:val="20"/>
          <w:szCs w:val="20"/>
          <w:color w:val="auto"/>
        </w:rPr>
      </w:pPr>
    </w:p>
    <w:p>
      <w:pPr>
        <w:jc w:val="both"/>
        <w:ind w:firstLine="656"/>
        <w:spacing w:after="0" w:line="236"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shall become effective as of the Effective Date and terminate upon the earlier of (i)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Effective Date, renewing automatically for a new three (3) year period if subsection 1(ii) is not applicable at the time of renewal, and (ii) the date that all obligations of the parties hereto with respect to this Agreement have been satisfied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2"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40" w:firstLine="656"/>
        <w:spacing w:after="0" w:line="256" w:lineRule="auto"/>
        <w:tabs>
          <w:tab w:leader="none" w:pos="115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shall continue to be “at-will,” as defined under applicable law. Except as provided in Section 5 below, if Executive’s employment terminates for any reason, Executive shall not be entitled to any severance payments, benefits or compensation other than as provided in this Agreement.</w:t>
      </w:r>
    </w:p>
    <w:p>
      <w:pPr>
        <w:spacing w:after="0" w:line="176" w:lineRule="exact"/>
        <w:rPr>
          <w:rFonts w:ascii="Times New Roman" w:cs="Times New Roman" w:eastAsia="Times New Roman" w:hAnsi="Times New Roman"/>
          <w:sz w:val="22"/>
          <w:szCs w:val="22"/>
          <w:color w:val="auto"/>
        </w:rPr>
      </w:pPr>
    </w:p>
    <w:p>
      <w:pPr>
        <w:jc w:val="both"/>
        <w:ind w:left="-140" w:firstLine="656"/>
        <w:spacing w:after="0" w:line="250" w:lineRule="auto"/>
        <w:tabs>
          <w:tab w:leader="none" w:pos="115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 Outside a Change in Control Period</w:t>
      </w:r>
      <w:r>
        <w:rPr>
          <w:rFonts w:ascii="Times New Roman" w:cs="Times New Roman" w:eastAsia="Times New Roman" w:hAnsi="Times New Roman"/>
          <w:sz w:val="22"/>
          <w:szCs w:val="22"/>
          <w:color w:val="auto"/>
        </w:rPr>
        <w:t>. If, during the Term, Executive experiences a Covered Termination outside a Change in Control Period, then, subject to (i) Executive delivering to the Company an executed general release of all claims against the Company and its affiliates in a form approved by the Company (a “</w:t>
      </w:r>
      <w:r>
        <w:rPr>
          <w:rFonts w:ascii="Times New Roman" w:cs="Times New Roman" w:eastAsia="Times New Roman" w:hAnsi="Times New Roman"/>
          <w:sz w:val="22"/>
          <w:szCs w:val="22"/>
          <w:b w:val="1"/>
          <w:bCs w:val="1"/>
          <w:i w:val="1"/>
          <w:iCs w:val="1"/>
          <w:color w:val="auto"/>
        </w:rPr>
        <w:t>Release of Claims</w:t>
      </w:r>
      <w:r>
        <w:rPr>
          <w:rFonts w:ascii="Times New Roman" w:cs="Times New Roman" w:eastAsia="Times New Roman" w:hAnsi="Times New Roman"/>
          <w:sz w:val="22"/>
          <w:szCs w:val="22"/>
          <w:color w:val="auto"/>
        </w:rPr>
        <w:t>”) that becomes 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180" w:lineRule="exact"/>
        <w:rPr>
          <w:rFonts w:ascii="Times New Roman" w:cs="Times New Roman" w:eastAsia="Times New Roman" w:hAnsi="Times New Roman"/>
          <w:sz w:val="22"/>
          <w:szCs w:val="22"/>
          <w:color w:val="auto"/>
        </w:rPr>
      </w:pPr>
    </w:p>
    <w:p>
      <w:pPr>
        <w:jc w:val="both"/>
        <w:ind w:left="-140" w:firstLine="1304"/>
        <w:spacing w:after="0" w:line="251" w:lineRule="auto"/>
        <w:tabs>
          <w:tab w:leader="none" w:pos="180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During the period of time commencing on the Termination Date and ending on the [____] ([__])</w:t>
      </w:r>
      <w:r>
        <w:rPr>
          <w:rFonts w:ascii="Times New Roman" w:cs="Times New Roman" w:eastAsia="Times New Roman" w:hAnsi="Times New Roman"/>
          <w:sz w:val="9"/>
          <w:szCs w:val="9"/>
          <w:color w:val="auto"/>
        </w:rPr>
        <w:t>1</w:t>
      </w:r>
      <w:r>
        <w:rPr>
          <w:rFonts w:ascii="Times New Roman" w:cs="Times New Roman" w:eastAsia="Times New Roman" w:hAnsi="Times New Roman"/>
          <w:sz w:val="22"/>
          <w:szCs w:val="22"/>
          <w:color w:val="auto"/>
        </w:rPr>
        <w:t xml:space="preserve"> month anniversary of the Termination Date, the Company shall continue to pay Executive his/her base salary at the rate in effect immediately prior to the Termination Date. Such payments shall be made in accordance with the Company’s standard payroll practices, less applicable withholdings, beginning on the first payroll date following the date the Release of Claims becomes effective and irrevocable in accordance with Section 14(a)(v) below, and with the first installment including any amounts that would have been paid had the Release of Claims been effective and irrevocable on the Termination Date.</w:t>
      </w:r>
    </w:p>
    <w:p>
      <w:pPr>
        <w:spacing w:after="0" w:line="181" w:lineRule="exact"/>
        <w:rPr>
          <w:rFonts w:ascii="Times New Roman" w:cs="Times New Roman" w:eastAsia="Times New Roman" w:hAnsi="Times New Roman"/>
          <w:sz w:val="22"/>
          <w:szCs w:val="22"/>
          <w:color w:val="auto"/>
        </w:rPr>
      </w:pPr>
    </w:p>
    <w:p>
      <w:pPr>
        <w:jc w:val="both"/>
        <w:ind w:left="-140" w:firstLine="1304"/>
        <w:spacing w:after="0" w:line="250" w:lineRule="auto"/>
        <w:tabs>
          <w:tab w:leader="none" w:pos="179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Healthcare</w:t>
      </w:r>
      <w:r>
        <w:rPr>
          <w:rFonts w:ascii="Times New Roman" w:cs="Times New Roman" w:eastAsia="Times New Roman" w:hAnsi="Times New Roman"/>
          <w:sz w:val="22"/>
          <w:szCs w:val="22"/>
          <w:color w:val="auto"/>
        </w:rPr>
        <w:t>. If Executive timely elects to receive continued healthcare coverage pursuant to the provisions of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the Company shall directly pay, or reimburse Executive for, the Company’s portion of the premium (at the same rates in effect on the Termination Date) for Executive and Executive’s covered dependents through the earlier of (i) the [____] ([__])</w:t>
      </w:r>
      <w:r>
        <w:rPr>
          <w:rFonts w:ascii="Times New Roman" w:cs="Times New Roman" w:eastAsia="Times New Roman" w:hAnsi="Times New Roman"/>
          <w:sz w:val="9"/>
          <w:szCs w:val="9"/>
          <w:color w:val="auto"/>
        </w:rPr>
        <w:t>2</w:t>
      </w:r>
      <w:r>
        <w:rPr>
          <w:rFonts w:ascii="Times New Roman" w:cs="Times New Roman" w:eastAsia="Times New Roman" w:hAnsi="Times New Roman"/>
          <w:sz w:val="22"/>
          <w:szCs w:val="22"/>
          <w:color w:val="auto"/>
        </w:rPr>
        <w:t xml:space="preserve"> month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under Treasury Regulation Section 1.409A-1(a)(5), or (ii) the Company is otherwise unable to continue to cover Executive under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106045</wp:posOffset>
            </wp:positionV>
            <wp:extent cx="1714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0" w:lineRule="exact"/>
        <w:rPr>
          <w:sz w:val="20"/>
          <w:szCs w:val="20"/>
          <w:color w:val="auto"/>
        </w:rPr>
      </w:pPr>
    </w:p>
    <w:p>
      <w:pPr>
        <w:ind w:left="300" w:hanging="108"/>
        <w:spacing w:after="0"/>
        <w:tabs>
          <w:tab w:leader="none" w:pos="30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22"/>
          <w:szCs w:val="22"/>
          <w:b w:val="1"/>
          <w:bCs w:val="1"/>
          <w:u w:val="single" w:color="auto"/>
          <w:color w:val="auto"/>
        </w:rPr>
        <w:t>NTD</w:t>
      </w:r>
      <w:r>
        <w:rPr>
          <w:rFonts w:ascii="Times New Roman" w:cs="Times New Roman" w:eastAsia="Times New Roman" w:hAnsi="Times New Roman"/>
          <w:sz w:val="22"/>
          <w:szCs w:val="22"/>
          <w:color w:val="auto"/>
        </w:rPr>
        <w:t>: To equal 12 months for the CEO, nine months for the CFO and six months for other executive officers.</w:t>
      </w:r>
    </w:p>
    <w:p>
      <w:pPr>
        <w:spacing w:after="0" w:line="111" w:lineRule="exact"/>
        <w:rPr>
          <w:rFonts w:ascii="Times New Roman" w:cs="Times New Roman" w:eastAsia="Times New Roman" w:hAnsi="Times New Roman"/>
          <w:sz w:val="9"/>
          <w:szCs w:val="9"/>
          <w:color w:val="auto"/>
        </w:rPr>
      </w:pPr>
    </w:p>
    <w:p>
      <w:pPr>
        <w:ind w:left="20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21"/>
          <w:szCs w:val="21"/>
          <w:b w:val="1"/>
          <w:bCs w:val="1"/>
          <w:u w:val="single" w:color="auto"/>
          <w:color w:val="auto"/>
        </w:rPr>
        <w:t>NTD</w:t>
      </w:r>
      <w:r>
        <w:rPr>
          <w:rFonts w:ascii="Times New Roman" w:cs="Times New Roman" w:eastAsia="Times New Roman" w:hAnsi="Times New Roman"/>
          <w:sz w:val="21"/>
          <w:szCs w:val="21"/>
          <w:color w:val="auto"/>
        </w:rPr>
        <w:t>: To equal 12 months for the CEO, nine months for the CFO and six months for other executive officers.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00"/>
          </w:cols>
          <w:pgMar w:left="46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spacing w:after="0" w:line="164" w:lineRule="exact"/>
        <w:rPr>
          <w:sz w:val="20"/>
          <w:szCs w:val="20"/>
          <w:color w:val="auto"/>
        </w:rPr>
      </w:pPr>
    </w:p>
    <w:p>
      <w:pPr>
        <w:jc w:val="both"/>
        <w:ind w:firstLine="656"/>
        <w:spacing w:after="0" w:line="251"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 During a Change in Control Period</w:t>
      </w:r>
      <w:r>
        <w:rPr>
          <w:rFonts w:ascii="Times New Roman" w:cs="Times New Roman" w:eastAsia="Times New Roman" w:hAnsi="Times New Roman"/>
          <w:sz w:val="22"/>
          <w:szCs w:val="22"/>
          <w:color w:val="auto"/>
        </w:rPr>
        <w:t>. If, during the Term, Executive experiences a Covered Termination during a Change in Control Period, then, subject to (i) Executive delivering to the Company an executed Release of Claims that becomes 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During the period of time commencing on the Termination Date and ending on the [____] ([__])</w:t>
      </w:r>
      <w:r>
        <w:rPr>
          <w:rFonts w:ascii="Times New Roman" w:cs="Times New Roman" w:eastAsia="Times New Roman" w:hAnsi="Times New Roman"/>
          <w:sz w:val="9"/>
          <w:szCs w:val="9"/>
          <w:color w:val="auto"/>
        </w:rPr>
        <w:t>3</w:t>
      </w:r>
      <w:r>
        <w:rPr>
          <w:rFonts w:ascii="Times New Roman" w:cs="Times New Roman" w:eastAsia="Times New Roman" w:hAnsi="Times New Roman"/>
          <w:sz w:val="22"/>
          <w:szCs w:val="22"/>
          <w:color w:val="auto"/>
        </w:rPr>
        <w:t xml:space="preserve"> month anniversary of the Termination Date, the Company shall continue to pay Executive his/her base salary at the rate in effect immediately prior to the Termination Date. Such payments shall be made in accordance with the Company’s standard payroll practices, less applicable withholdings, beginning on the first payroll date following the date the Release of Claims becomes effective and irrevocable in accordance with Section 14(a)(v) below, and with the first installment including any amounts that would have been paid had the Release of Claims been effective and irrevocable on the Termination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Pro-Rata Target Bonus</w:t>
      </w:r>
      <w:r>
        <w:rPr>
          <w:rFonts w:ascii="Times New Roman" w:cs="Times New Roman" w:eastAsia="Times New Roman" w:hAnsi="Times New Roman"/>
          <w:sz w:val="22"/>
          <w:szCs w:val="22"/>
          <w:color w:val="auto"/>
        </w:rPr>
        <w:t>. Executive shall be entitled to receive an amount equal to a pro-rata portion of Executive’s target annual bonus assuming achievement of performance goals at one hundred percent (100%) of target at the rate in effect immediately prior to the Termination Date based on the number of days that have elapsed from January 1 of the Termination Date and the actual Termination Date, payable in a cash lump sum, less applicable withholdings, on the first payroll date following the date the Release of Claims becomes effective and irrevocable becomes effective and irrevocable in accordance with Section 14(a)(v) below.</w:t>
      </w:r>
    </w:p>
    <w:p>
      <w:pPr>
        <w:spacing w:after="0" w:line="194"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41"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Healthcare</w:t>
      </w:r>
      <w:r>
        <w:rPr>
          <w:rFonts w:ascii="Times New Roman" w:cs="Times New Roman" w:eastAsia="Times New Roman" w:hAnsi="Times New Roman"/>
          <w:sz w:val="21"/>
          <w:szCs w:val="21"/>
          <w:color w:val="auto"/>
        </w:rPr>
        <w:t>. If Executive timely elects to receive continued healthcare coverage pursuant to the provisions of COBRA, the Company shall directly pay, or reimburse Executive for, the Company’s portion of the premium (at the same rates in effect on the Termination Date) for Executive and Executive’s covered dependents through the earlier of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714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6" w:lineRule="exact"/>
        <w:rPr>
          <w:sz w:val="20"/>
          <w:szCs w:val="20"/>
          <w:color w:val="auto"/>
        </w:rPr>
      </w:pPr>
    </w:p>
    <w:p>
      <w:pPr>
        <w:ind w:left="440" w:hanging="108"/>
        <w:spacing w:after="0"/>
        <w:tabs>
          <w:tab w:leader="none" w:pos="44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22"/>
          <w:szCs w:val="22"/>
          <w:b w:val="1"/>
          <w:bCs w:val="1"/>
          <w:u w:val="single" w:color="auto"/>
          <w:color w:val="auto"/>
        </w:rPr>
        <w:t>NTD</w:t>
      </w:r>
      <w:r>
        <w:rPr>
          <w:rFonts w:ascii="Times New Roman" w:cs="Times New Roman" w:eastAsia="Times New Roman" w:hAnsi="Times New Roman"/>
          <w:sz w:val="22"/>
          <w:szCs w:val="22"/>
          <w:color w:val="auto"/>
        </w:rPr>
        <w:t>: To equal 18 months for the CEO, 12 months for the CFO and 12 months for other executive officers.</w:t>
      </w:r>
    </w:p>
    <w:p>
      <w:pPr>
        <w:spacing w:after="0" w:line="200" w:lineRule="exact"/>
        <w:rPr>
          <w:rFonts w:ascii="Times New Roman" w:cs="Times New Roman" w:eastAsia="Times New Roman" w:hAnsi="Times New Roman"/>
          <w:sz w:val="9"/>
          <w:szCs w:val="9"/>
          <w:color w:val="auto"/>
        </w:rPr>
      </w:pPr>
    </w:p>
    <w:p>
      <w:pPr>
        <w:spacing w:after="0" w:line="200" w:lineRule="exact"/>
        <w:rPr>
          <w:rFonts w:ascii="Times New Roman" w:cs="Times New Roman" w:eastAsia="Times New Roman" w:hAnsi="Times New Roman"/>
          <w:sz w:val="9"/>
          <w:szCs w:val="9"/>
          <w:color w:val="auto"/>
        </w:rPr>
      </w:pPr>
    </w:p>
    <w:p>
      <w:pPr>
        <w:spacing w:after="0" w:line="309" w:lineRule="exact"/>
        <w:rPr>
          <w:rFonts w:ascii="Times New Roman" w:cs="Times New Roman" w:eastAsia="Times New Roman" w:hAnsi="Times New Roman"/>
          <w:sz w:val="9"/>
          <w:szCs w:val="9"/>
          <w:color w:val="auto"/>
        </w:rPr>
      </w:pPr>
    </w:p>
    <w:p>
      <w:pPr>
        <w:ind w:left="14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 ([__])</w:t>
      </w:r>
      <w:r>
        <w:rPr>
          <w:rFonts w:ascii="Times New Roman" w:cs="Times New Roman" w:eastAsia="Times New Roman" w:hAnsi="Times New Roman"/>
          <w:sz w:val="9"/>
          <w:szCs w:val="9"/>
          <w:color w:val="auto"/>
        </w:rPr>
        <w:t>4</w:t>
      </w:r>
      <w:r>
        <w:rPr>
          <w:rFonts w:ascii="Times New Roman" w:cs="Times New Roman" w:eastAsia="Times New Roman" w:hAnsi="Times New Roman"/>
          <w:sz w:val="20"/>
          <w:szCs w:val="20"/>
          <w:color w:val="auto"/>
        </w:rPr>
        <w:t xml:space="preserve">  month anniversary of the Termination Date and (ii) the date Executive and Executive’s covered dependents, if any,</w:t>
      </w:r>
    </w:p>
    <w:p>
      <w:pPr>
        <w:spacing w:after="0" w:line="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4(c), Executive may, if eligible, elect to continue healthcare coverage at Executive’s expense in accordance with the provisions of COBRA. Executive shall notify the Company immediately if Executive becomes covered by a group health plan of a subsequent employer.</w:t>
      </w:r>
    </w:p>
    <w:p>
      <w:pPr>
        <w:spacing w:after="0" w:line="184" w:lineRule="exact"/>
        <w:rPr>
          <w:sz w:val="20"/>
          <w:szCs w:val="20"/>
          <w:color w:val="auto"/>
        </w:rPr>
      </w:pPr>
    </w:p>
    <w:p>
      <w:pPr>
        <w:jc w:val="both"/>
        <w:ind w:firstLine="1304"/>
        <w:spacing w:after="0" w:line="250"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outstanding and unvested equity award (excluding any such awards that vest in whole or in part based on the attainment of performance-vesting conditions), including, without limitation, each restricted stock, stock option, restricted stock unit and stock appreciation right, held by Executive shall automatically become vested and, if applicable, exercisable (and any forfeiture restrictions or rights of repurchase thereon shall immediately lapse) with respect to one hundred percent (100%) of the shares subject thereto (excluding any such awards that vest in whole or in part based on the attainment of performance-vesting conditions, which shall be governed by the terms of the applicable award agreement), as of immediately prior to the Termination Date.</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Reductions</w:t>
      </w:r>
      <w:r>
        <w:rPr>
          <w:rFonts w:ascii="Times New Roman" w:cs="Times New Roman" w:eastAsia="Times New Roman" w:hAnsi="Times New Roman"/>
          <w:sz w:val="22"/>
          <w:szCs w:val="22"/>
          <w:color w:val="auto"/>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termination of Executive’s service for any reason, Executive shall be deemed to have resigned from all offices and directorships, if any, then held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8" w:lineRule="exact"/>
        <w:rPr>
          <w:sz w:val="20"/>
          <w:szCs w:val="20"/>
          <w:color w:val="auto"/>
        </w:rPr>
      </w:pPr>
    </w:p>
    <w:p>
      <w:pPr>
        <w:ind w:left="440" w:hanging="108"/>
        <w:spacing w:after="0"/>
        <w:tabs>
          <w:tab w:leader="none" w:pos="440"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22"/>
          <w:szCs w:val="22"/>
          <w:b w:val="1"/>
          <w:bCs w:val="1"/>
          <w:u w:val="single" w:color="auto"/>
          <w:color w:val="auto"/>
        </w:rPr>
        <w:t>NTD</w:t>
      </w:r>
      <w:r>
        <w:rPr>
          <w:rFonts w:ascii="Times New Roman" w:cs="Times New Roman" w:eastAsia="Times New Roman" w:hAnsi="Times New Roman"/>
          <w:sz w:val="22"/>
          <w:szCs w:val="22"/>
          <w:color w:val="auto"/>
        </w:rPr>
        <w:t>: To equal 18 months for the CEO, 12 months for the CFO and 12 months for other executive officers.</w:t>
      </w:r>
    </w:p>
    <w:p>
      <w:pPr>
        <w:spacing w:after="0" w:line="200" w:lineRule="exact"/>
        <w:rPr>
          <w:rFonts w:ascii="Times New Roman" w:cs="Times New Roman" w:eastAsia="Times New Roman" w:hAnsi="Times New Roman"/>
          <w:sz w:val="9"/>
          <w:szCs w:val="9"/>
          <w:color w:val="auto"/>
        </w:rPr>
      </w:pPr>
    </w:p>
    <w:p>
      <w:pPr>
        <w:spacing w:after="0" w:line="200" w:lineRule="exact"/>
        <w:rPr>
          <w:rFonts w:ascii="Times New Roman" w:cs="Times New Roman" w:eastAsia="Times New Roman" w:hAnsi="Times New Roman"/>
          <w:sz w:val="9"/>
          <w:szCs w:val="9"/>
          <w:color w:val="auto"/>
        </w:rPr>
      </w:pPr>
    </w:p>
    <w:p>
      <w:pPr>
        <w:spacing w:after="0" w:line="309" w:lineRule="exact"/>
        <w:rPr>
          <w:rFonts w:ascii="Times New Roman" w:cs="Times New Roman" w:eastAsia="Times New Roman" w:hAnsi="Times New Roman"/>
          <w:sz w:val="9"/>
          <w:szCs w:val="9"/>
          <w:color w:val="auto"/>
        </w:rPr>
      </w:pPr>
    </w:p>
    <w:p>
      <w:pPr>
        <w:ind w:left="14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Company or any of its affiliates, and, at the Company’s request, Executive shall execute such documents as are necessary or desirable to effectuate such resignations.</w:t>
      </w:r>
    </w:p>
    <w:p>
      <w:pPr>
        <w:spacing w:after="0" w:line="171" w:lineRule="exact"/>
        <w:rPr>
          <w:sz w:val="20"/>
          <w:szCs w:val="20"/>
          <w:color w:val="auto"/>
        </w:rPr>
      </w:pPr>
    </w:p>
    <w:p>
      <w:pPr>
        <w:jc w:val="both"/>
        <w:ind w:firstLine="656"/>
        <w:spacing w:after="0" w:line="252"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spacing w:after="0" w:line="179"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xml:space="preserve">”),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Company will select an adviser with experience in performing calculations regarding the applicability of Section 280G of the Code and the Excise Tax,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adviser’s determination shall be made based upon “substantial authority” within the meaning of Section 6662 of the Code to perform the foregoing calculations. The Company shall bear all expenses with respect to the determinations by such adviser required to be made hereunder. The adviser shall provide its calculations to the Company and Executive within fifteen (15) calendar days after the date on which Executive’s right to a Payment is triggered (if requested at that time by the Company or Executive) or such other time as requested by the Company. Any good faith determinations of the adviser made hereunder shall be final, binding and conclusive upon the Company and Executive. Any reduction in payments or benefits pursuant to this Section 8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20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used in this Agreement shall have the following meanings:</w:t>
      </w:r>
    </w:p>
    <w:p>
      <w:pPr>
        <w:spacing w:after="0" w:line="21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the occurrence of any one or more of the following: (i) Executive’s commission of any crime involving 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w:t>
      </w:r>
    </w:p>
    <w:p>
      <w:pPr>
        <w:spacing w:after="0" w:line="200" w:lineRule="exact"/>
        <w:rPr>
          <w:sz w:val="20"/>
          <w:szCs w:val="20"/>
          <w:color w:val="auto"/>
        </w:rPr>
      </w:pPr>
    </w:p>
    <w:p>
      <w:pPr>
        <w:spacing w:after="0" w:line="3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Executive’s conduct that constitutes gross insubordination, incompetence or habitual neglect of duties and that results in (or might have reasonably resulted in) material harm to the business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action or conduct described in clauses (iii) and (iv) above will constitute “Cause” only if such action or conduct continues after the Company has provided Executive with written notice thereof and thirty (30) days to cure the same. The determination that a termination of Executive’s employment is either for Cause or without Cause shall be made by the Board or its Compensation Committee, in each case, in its sole discretion.</w:t>
      </w:r>
    </w:p>
    <w:p>
      <w:pPr>
        <w:spacing w:after="0" w:line="175" w:lineRule="exact"/>
        <w:rPr>
          <w:sz w:val="20"/>
          <w:szCs w:val="20"/>
          <w:color w:val="auto"/>
        </w:rPr>
      </w:pPr>
    </w:p>
    <w:p>
      <w:pPr>
        <w:ind w:firstLine="1304"/>
        <w:spacing w:after="0" w:line="289" w:lineRule="auto"/>
        <w:tabs>
          <w:tab w:leader="none" w:pos="193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xml:space="preserve">” has the meaning ascribed to such term under the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transaction must also constitute a “change in control event” within the meaning of Treasury Regulation Section 1.409A-3(i)(5).</w:t>
      </w:r>
    </w:p>
    <w:p>
      <w:pPr>
        <w:spacing w:after="0" w:line="133" w:lineRule="exact"/>
        <w:rPr>
          <w:rFonts w:ascii="Times New Roman" w:cs="Times New Roman" w:eastAsia="Times New Roman" w:hAnsi="Times New Roman"/>
          <w:sz w:val="22"/>
          <w:szCs w:val="22"/>
          <w:color w:val="auto"/>
        </w:rPr>
      </w:pPr>
    </w:p>
    <w:p>
      <w:pPr>
        <w:ind w:firstLine="1304"/>
        <w:spacing w:after="0" w:line="276" w:lineRule="auto"/>
        <w:tabs>
          <w:tab w:leader="none" w:pos="194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color w:val="auto"/>
        </w:rPr>
        <w:t>” means the period of time commencing three months prior to the closing of a Change in Control and ending on the twelve (12) month anniversary of the closing such Change in Control.</w:t>
      </w:r>
    </w:p>
    <w:p>
      <w:pPr>
        <w:spacing w:after="0" w:line="147"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Termination</w:t>
      </w:r>
      <w:r>
        <w:rPr>
          <w:rFonts w:ascii="Times New Roman" w:cs="Times New Roman" w:eastAsia="Times New Roman" w:hAnsi="Times New Roman"/>
          <w:sz w:val="22"/>
          <w:szCs w:val="22"/>
          <w:color w:val="auto"/>
        </w:rPr>
        <w:t>” means [the termination of Executive’s employment by the Company other than for Cause or by Executive for Good Reason]</w:t>
      </w:r>
      <w:r>
        <w:rPr>
          <w:rFonts w:ascii="Times New Roman" w:cs="Times New Roman" w:eastAsia="Times New Roman" w:hAnsi="Times New Roman"/>
          <w:sz w:val="9"/>
          <w:szCs w:val="9"/>
          <w:color w:val="auto"/>
        </w:rPr>
        <w:t>5</w:t>
      </w:r>
      <w:r>
        <w:rPr>
          <w:rFonts w:ascii="Times New Roman" w:cs="Times New Roman" w:eastAsia="Times New Roman" w:hAnsi="Times New Roman"/>
          <w:sz w:val="22"/>
          <w:szCs w:val="22"/>
          <w:color w:val="auto"/>
        </w:rPr>
        <w:t>, in each case that, to the extent necessary, constitutes a Separation from Service, and shall not include a termination due to Executive’s death or disability.</w:t>
      </w:r>
    </w:p>
    <w:p>
      <w:pPr>
        <w:spacing w:after="0" w:line="176" w:lineRule="exact"/>
        <w:rPr>
          <w:rFonts w:ascii="Times New Roman" w:cs="Times New Roman" w:eastAsia="Times New Roman" w:hAnsi="Times New Roman"/>
          <w:sz w:val="22"/>
          <w:szCs w:val="22"/>
          <w:color w:val="auto"/>
        </w:rPr>
      </w:pPr>
    </w:p>
    <w:p>
      <w:pPr>
        <w:jc w:val="both"/>
        <w:ind w:firstLine="1304"/>
        <w:spacing w:after="0" w:line="269" w:lineRule="auto"/>
        <w:tabs>
          <w:tab w:leader="none" w:pos="1941"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shall mean that Executive has complied in all material respects with the “Good Reason Process” (hereinafter defined) following the occurrence of any of the following events, without Executive’s prior written consent:</w:t>
      </w:r>
    </w:p>
    <w:p>
      <w:pPr>
        <w:spacing w:after="0" w:line="1" w:lineRule="exact"/>
        <w:rPr>
          <w:rFonts w:ascii="Times New Roman" w:cs="Times New Roman" w:eastAsia="Times New Roman" w:hAnsi="Times New Roman"/>
          <w:sz w:val="21"/>
          <w:szCs w:val="21"/>
          <w:color w:val="auto"/>
        </w:rPr>
      </w:pPr>
    </w:p>
    <w:p>
      <w:pPr>
        <w:jc w:val="both"/>
        <w:ind w:firstLine="8"/>
        <w:spacing w:after="0" w:line="260" w:lineRule="auto"/>
        <w:tabs>
          <w:tab w:leader="none" w:pos="27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assignment to Executive of any duties or responsibilities that results in a diminution in Executive’s function as in effect immediately prior to such 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a change in Executive’s title or reporting relationships shall not provide the basis for a voluntary termination with Good Reason; (ii) a reduction by the Company in Executive’s annual base salary, as in effect immediately prior to such 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Good Reason shall not be deemed to have occurred in the event of a 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business office to a location more than twenty five (25) miles from the location at which Executive performed Executive’s duties as immediately prior to such change, except for required travel by Executive on the Company’s business to an extent substantially consistent with Executive’s business travel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14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4" w:lineRule="exact"/>
        <w:rPr>
          <w:sz w:val="20"/>
          <w:szCs w:val="20"/>
          <w:color w:val="auto"/>
        </w:rPr>
      </w:pPr>
    </w:p>
    <w:p>
      <w:pPr>
        <w:ind w:right="120" w:firstLine="332"/>
        <w:spacing w:after="0" w:line="256" w:lineRule="auto"/>
        <w:tabs>
          <w:tab w:leader="none" w:pos="425"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22"/>
          <w:szCs w:val="22"/>
          <w:color w:val="auto"/>
        </w:rPr>
        <w:t>NTD: To be included for CEO, for all others, include: “(i) if such termination occurs outside of a Change in Control Period, the termination of Executive’s employment by the Company other than for Cause and (ii) if such termination occurs during a Change in Control Period, the termination of Executive’s employment by the Company other than for Cause or by Executive for Good Reason”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40" w:firstLine="1304"/>
        <w:spacing w:after="0" w:line="251" w:lineRule="auto"/>
        <w:tabs>
          <w:tab w:leader="none" w:pos="180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 Process</w:t>
      </w:r>
      <w:r>
        <w:rPr>
          <w:rFonts w:ascii="Times New Roman" w:cs="Times New Roman" w:eastAsia="Times New Roman" w:hAnsi="Times New Roman"/>
          <w:sz w:val="22"/>
          <w:szCs w:val="22"/>
          <w:color w:val="auto"/>
        </w:rPr>
        <w:t>” shall mean that (i) Executive has reasonably determined in good faith that a “Good Reason” condition has occurred; (ii) Executive has notified the Company in writing of the first occurrence of the Good Reason condition within sixty (60) days of the first time the Executive becomes aware of the occurrence of such condition; (iii) Executive has cooperated in good faith with the Company’s efforts, for a period not less than thirty (30) days immediately following the Company’s receipt of such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to remedy the condition; (iv) notwithstanding such efforts, the Good Reason condition continues to exist; and (v) Executive terminates Executive’s employment with the Company within thirty (30) days after the end of the Cure Period. If the Company cures the Good Reason condition during the Cure Period, Good Reason shall be deemed not to have occurred.</w:t>
      </w:r>
    </w:p>
    <w:p>
      <w:pPr>
        <w:spacing w:after="0" w:line="178" w:lineRule="exact"/>
        <w:rPr>
          <w:rFonts w:ascii="Times New Roman" w:cs="Times New Roman" w:eastAsia="Times New Roman" w:hAnsi="Times New Roman"/>
          <w:sz w:val="22"/>
          <w:szCs w:val="22"/>
          <w:color w:val="auto"/>
        </w:rPr>
      </w:pPr>
    </w:p>
    <w:p>
      <w:pPr>
        <w:ind w:left="-140" w:right="20" w:firstLine="1304"/>
        <w:spacing w:after="0" w:line="276" w:lineRule="auto"/>
        <w:tabs>
          <w:tab w:leader="none" w:pos="179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means a “separation from service” with the Company within the meaning of Section 409A of the Code and the Department of Treasury regulations and other guidance promulgated thereunder.</w:t>
      </w:r>
    </w:p>
    <w:p>
      <w:pPr>
        <w:spacing w:after="0" w:line="147" w:lineRule="exact"/>
        <w:rPr>
          <w:rFonts w:ascii="Times New Roman" w:cs="Times New Roman" w:eastAsia="Times New Roman" w:hAnsi="Times New Roman"/>
          <w:sz w:val="22"/>
          <w:szCs w:val="22"/>
          <w:color w:val="auto"/>
        </w:rPr>
      </w:pPr>
    </w:p>
    <w:p>
      <w:pPr>
        <w:ind w:left="1800" w:hanging="636"/>
        <w:spacing w:after="0"/>
        <w:tabs>
          <w:tab w:leader="none" w:pos="18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on which Executive experiences a Covered Termination.</w:t>
      </w:r>
    </w:p>
    <w:p>
      <w:pPr>
        <w:spacing w:after="0" w:line="225" w:lineRule="exact"/>
        <w:rPr>
          <w:rFonts w:ascii="Times New Roman" w:cs="Times New Roman" w:eastAsia="Times New Roman" w:hAnsi="Times New Roman"/>
          <w:sz w:val="22"/>
          <w:szCs w:val="22"/>
          <w:color w:val="auto"/>
        </w:rPr>
      </w:pPr>
    </w:p>
    <w:p>
      <w:pPr>
        <w:ind w:left="1160" w:hanging="644"/>
        <w:spacing w:after="0"/>
        <w:tabs>
          <w:tab w:leader="none" w:pos="1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40" w:firstLine="1304"/>
        <w:spacing w:after="0" w:line="252" w:lineRule="auto"/>
        <w:tabs>
          <w:tab w:leader="none" w:pos="180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include any successor to the Company’s business or assets which executes and delivers the assumption agreement described in this Section 10(a) or which becomes bound by the terms of this Agreement by operation of law.</w:t>
      </w:r>
    </w:p>
    <w:p>
      <w:pPr>
        <w:spacing w:after="0" w:line="179" w:lineRule="exact"/>
        <w:rPr>
          <w:rFonts w:ascii="Times New Roman" w:cs="Times New Roman" w:eastAsia="Times New Roman" w:hAnsi="Times New Roman"/>
          <w:sz w:val="22"/>
          <w:szCs w:val="22"/>
          <w:color w:val="auto"/>
        </w:rPr>
      </w:pPr>
    </w:p>
    <w:p>
      <w:pPr>
        <w:jc w:val="both"/>
        <w:ind w:left="-140" w:firstLine="1304"/>
        <w:spacing w:after="0" w:line="257" w:lineRule="auto"/>
        <w:tabs>
          <w:tab w:leader="none" w:pos="179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73" w:lineRule="exact"/>
        <w:rPr>
          <w:sz w:val="20"/>
          <w:szCs w:val="20"/>
          <w:color w:val="auto"/>
        </w:rPr>
      </w:pPr>
    </w:p>
    <w:p>
      <w:pPr>
        <w:jc w:val="both"/>
        <w:ind w:left="-140" w:right="20" w:firstLine="656"/>
        <w:spacing w:after="0" w:line="281" w:lineRule="auto"/>
        <w:tabs>
          <w:tab w:leader="none" w:pos="115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spacing w:after="0" w:line="150" w:lineRule="exact"/>
        <w:rPr>
          <w:rFonts w:ascii="Times New Roman" w:cs="Times New Roman" w:eastAsia="Times New Roman" w:hAnsi="Times New Roman"/>
          <w:sz w:val="21"/>
          <w:szCs w:val="21"/>
          <w:color w:val="auto"/>
        </w:rPr>
      </w:pPr>
    </w:p>
    <w:p>
      <w:pPr>
        <w:ind w:left="1160" w:hanging="644"/>
        <w:spacing w:after="0"/>
        <w:tabs>
          <w:tab w:leader="none" w:pos="1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Non-Disparagement.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00"/>
          </w:cols>
          <w:pgMar w:left="46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40" w:firstLine="1304"/>
        <w:spacing w:after="0" w:line="263" w:lineRule="auto"/>
        <w:tabs>
          <w:tab w:leader="none" w:pos="180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Executive hereby expressly confirms Executive’s continuing obligations to the Company pursuant to that certain confidentiality agreement by and between the Company and Executive (the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140" w:firstLine="1304"/>
        <w:spacing w:after="0" w:line="252" w:lineRule="auto"/>
        <w:tabs>
          <w:tab w:leader="none" w:pos="179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that Executive shall not disparage, criticize or defame the Company, its affiliates and their respective affiliates, directors, officers, agents, partners, stockholders or employees, either publicly or privately. Nothing in this Section 12(b) shall apply to any evidence or testimony required by any court, arbitrator or government agency.</w:t>
      </w:r>
    </w:p>
    <w:p>
      <w:pPr>
        <w:spacing w:after="0" w:line="192" w:lineRule="exact"/>
        <w:rPr>
          <w:rFonts w:ascii="Times New Roman" w:cs="Times New Roman" w:eastAsia="Times New Roman" w:hAnsi="Times New Roman"/>
          <w:sz w:val="22"/>
          <w:szCs w:val="22"/>
          <w:color w:val="auto"/>
        </w:rPr>
      </w:pPr>
    </w:p>
    <w:p>
      <w:pPr>
        <w:jc w:val="both"/>
        <w:ind w:left="-140" w:firstLine="1304"/>
        <w:spacing w:after="0" w:line="247" w:lineRule="auto"/>
        <w:tabs>
          <w:tab w:leader="none" w:pos="180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Whistleblower Protections and Trade Secrets</w:t>
      </w:r>
      <w:r>
        <w:rPr>
          <w:rFonts w:ascii="Times New Roman" w:cs="Times New Roman" w:eastAsia="Times New Roman" w:hAnsi="Times New Roman"/>
          <w:sz w:val="22"/>
          <w:szCs w:val="22"/>
          <w:color w:val="auto"/>
        </w:rPr>
        <w:t>. Notwithstanding anything to the 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9" w:lineRule="exact"/>
        <w:rPr>
          <w:rFonts w:ascii="Times New Roman" w:cs="Times New Roman" w:eastAsia="Times New Roman" w:hAnsi="Times New Roman"/>
          <w:sz w:val="22"/>
          <w:szCs w:val="22"/>
          <w:color w:val="auto"/>
        </w:rPr>
      </w:pPr>
    </w:p>
    <w:p>
      <w:pPr>
        <w:jc w:val="both"/>
        <w:ind w:left="-140" w:firstLine="656"/>
        <w:spacing w:after="0" w:line="249" w:lineRule="auto"/>
        <w:tabs>
          <w:tab w:leader="none" w:pos="115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Unless otherwise prohibited by law or specified below, all disputes, claims and causes of action, in law or equity, arising from or relating to this Agreement or to Executive’s employment or the termination thereof (each, a “</w:t>
      </w:r>
      <w:r>
        <w:rPr>
          <w:rFonts w:ascii="Times New Roman" w:cs="Times New Roman" w:eastAsia="Times New Roman" w:hAnsi="Times New Roman"/>
          <w:sz w:val="22"/>
          <w:szCs w:val="22"/>
          <w:b w:val="1"/>
          <w:bCs w:val="1"/>
          <w:i w:val="1"/>
          <w:iCs w:val="1"/>
          <w:color w:val="auto"/>
        </w:rPr>
        <w:t>Claim</w:t>
      </w:r>
      <w:r>
        <w:rPr>
          <w:rFonts w:ascii="Times New Roman" w:cs="Times New Roman" w:eastAsia="Times New Roman" w:hAnsi="Times New Roman"/>
          <w:sz w:val="22"/>
          <w:szCs w:val="22"/>
          <w:color w:val="auto"/>
        </w:rPr>
        <w:t>”) shall be resolved solely and exclusively by final and binding arbitration held in Santa Clara County, California through JAMS under its Employment Arbitration Rules and Procedures, which are available at www.jamsadr.com/rules-employment-arbitration.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 conflicts of law principles. The arbitrator shall: (a) provide adequate discovery for the resolution of the dispute; and (b) issue a written arbitration decision, to include the arbitrator’s essential findings and conclusions and a statement of the award. Except to the extent of filing fees Executive would incur were the matter to be litigated in court, the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00"/>
          </w:cols>
          <w:pgMar w:left="46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Company shall be responsible for the JAMS administrative fees and the arbitrator’s fees and costs. The arbitrator shall award the prevailing party attorneys’ fees and expert fees, if any.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in this subsection shall be construed as precluding the bringing of an action for injunctive relief or specific performance as provided in this Agreement or the Confidential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Executive and the Company understand that by agreeing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representative proceeding. Notwithstanding the foregoing, Executive and the Company each have the right to resolve any issue or dispute over intellectual property rights by court action instead of arbitration.</w:t>
      </w:r>
    </w:p>
    <w:p>
      <w:pPr>
        <w:spacing w:after="0" w:line="183"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Notwithstanding any provision to the contrary in this Agreement, no amount constituting deferred compensation subject to Section 409A of the Code shall be payable pursuant to Sections 3 or 4 above unless Executive’s termination of employment constitutes a Separation from Service.</w:t>
      </w:r>
    </w:p>
    <w:p>
      <w:pPr>
        <w:spacing w:after="0" w:line="167"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6"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200" w:lineRule="exact"/>
        <w:rPr>
          <w:sz w:val="20"/>
          <w:szCs w:val="20"/>
          <w:color w:val="auto"/>
        </w:rPr>
      </w:pPr>
    </w:p>
    <w:p>
      <w:pPr>
        <w:spacing w:after="0" w:line="3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40" w:firstLine="1952"/>
        <w:spacing w:after="0" w:line="251" w:lineRule="auto"/>
        <w:tabs>
          <w:tab w:leader="none" w:pos="245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Reimbursements</w:t>
      </w:r>
      <w:r>
        <w:rPr>
          <w:rFonts w:ascii="Times New Roman" w:cs="Times New Roman" w:eastAsia="Times New Roman" w:hAnsi="Times New Roman"/>
          <w:sz w:val="22"/>
          <w:szCs w:val="22"/>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1" w:lineRule="exact"/>
        <w:rPr>
          <w:rFonts w:ascii="Times New Roman" w:cs="Times New Roman" w:eastAsia="Times New Roman" w:hAnsi="Times New Roman"/>
          <w:sz w:val="22"/>
          <w:szCs w:val="22"/>
          <w:color w:val="auto"/>
        </w:rPr>
      </w:pPr>
    </w:p>
    <w:p>
      <w:pPr>
        <w:jc w:val="both"/>
        <w:ind w:left="-140" w:firstLine="1952"/>
        <w:spacing w:after="0" w:line="256" w:lineRule="auto"/>
        <w:tabs>
          <w:tab w:leader="none" w:pos="244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76" w:lineRule="exact"/>
        <w:rPr>
          <w:rFonts w:ascii="Times New Roman" w:cs="Times New Roman" w:eastAsia="Times New Roman" w:hAnsi="Times New Roman"/>
          <w:sz w:val="22"/>
          <w:szCs w:val="22"/>
          <w:color w:val="auto"/>
        </w:rPr>
      </w:pPr>
    </w:p>
    <w:p>
      <w:pPr>
        <w:jc w:val="both"/>
        <w:ind w:left="-140" w:firstLine="1871"/>
        <w:spacing w:after="0" w:line="259" w:lineRule="auto"/>
        <w:tabs>
          <w:tab w:leader="none" w:pos="244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business days following Executive’s Termination Date, and the Company’s failure to deliver a Release of Claims prior to the expiration of such ten business day period shall constitute a waiver of any requirement to execute a Release of Claims, (B)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(C) in any case where Executive’s Termination Date and the Release Expiration Date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rFonts w:ascii="Times New Roman" w:cs="Times New Roman" w:eastAsia="Times New Roman" w:hAnsi="Times New Roman"/>
          <w:sz w:val="21"/>
          <w:szCs w:val="21"/>
          <w:b w:val="1"/>
          <w:bCs w:val="1"/>
          <w:i w:val="1"/>
          <w:iCs w:val="1"/>
          <w:color w:val="auto"/>
        </w:rPr>
        <w:t>“Release Expiration Date</w:t>
      </w:r>
      <w:r>
        <w:rPr>
          <w:rFonts w:ascii="Times New Roman" w:cs="Times New Roman" w:eastAsia="Times New Roman" w:hAnsi="Times New Roman"/>
          <w:sz w:val="21"/>
          <w:szCs w:val="21"/>
          <w:color w:val="auto"/>
        </w:rPr>
        <w:t>” shall mean (1) if Executive is under 40 years old as of the Termination Date, the date that is seven (7) days 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forty five (45) days following such delivery date. To the extent that any payments of nonqualified deferred compensation (within the meaning of Section 409A) due under this Agreement as a result of Executive’s termination of employment are delayed pursuant to this Section 14(a)(v), such amounts shall be paid in a lump sum on the first payroll date following the date that Executive executes and does not revoke the Release of Claims (and the applicable revocation period has expired) or, in the case of any payments subject to Section 14(a)(v) (C), on the first payroll date to occur in the subsequent taxable year, if later.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00"/>
          </w:cols>
          <w:pgMar w:left="46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4"/>
        <w:spacing w:after="0" w:line="295" w:lineRule="auto"/>
        <w:tabs>
          <w:tab w:leader="none" w:pos="194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be entitled to withhold from any amounts payable under this Agreement any federal, state, local, or foreign withholding or other taxes or charges which the Company is required to withhold.</w:t>
      </w:r>
    </w:p>
    <w:p>
      <w:pPr>
        <w:spacing w:after="0" w:line="148"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shall be modified, waived or discharged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Whole Agreement</w:t>
      </w:r>
      <w:r>
        <w:rPr>
          <w:rFonts w:ascii="Times New Roman" w:cs="Times New Roman" w:eastAsia="Times New Roman" w:hAnsi="Times New Roman"/>
          <w:sz w:val="22"/>
          <w:szCs w:val="22"/>
          <w:color w:val="auto"/>
        </w:rPr>
        <w:t>. This Agreement and the Confidential Information Agreement represent the entire understanding of the parties hereto with respect to the subject matter hereof and supersede all prior promises, arrangements and understandings regarding the same, whether written or unwritten, including, without limitation, any severance or change in control benefits in Executive’s offer letter agreement, employment agreement and/or equity award agreement or previously approved by the Company, as well as for the avoidance of doubt, the change in control and several agreement executed by the parties hereto on [●].</w:t>
      </w:r>
    </w:p>
    <w:p>
      <w:pPr>
        <w:spacing w:after="0" w:line="200"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All questions concerning the construction, validity and interpretation of this Agreement will be governed by the laws of the State of California without regard to its conflicts of law provisions.</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any one of which need not contain signatures of more than one party, but all of which taken together will constitute one and the same Agreement.</w:t>
      </w:r>
    </w:p>
    <w:p>
      <w:pPr>
        <w:spacing w:after="0" w:line="157" w:lineRule="exact"/>
        <w:rPr>
          <w:rFonts w:ascii="Times New Roman" w:cs="Times New Roman" w:eastAsia="Times New Roman" w:hAnsi="Times New Roman"/>
          <w:sz w:val="22"/>
          <w:szCs w:val="22"/>
          <w:color w:val="auto"/>
        </w:rPr>
      </w:pPr>
    </w:p>
    <w:p>
      <w:pPr>
        <w:ind w:right="20" w:firstLine="1304"/>
        <w:spacing w:after="0" w:line="256"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Acknowledgement</w:t>
      </w:r>
      <w:r>
        <w:rPr>
          <w:rFonts w:ascii="Times New Roman" w:cs="Times New Roman" w:eastAsia="Times New Roman" w:hAnsi="Times New Roman"/>
          <w:sz w:val="22"/>
          <w:szCs w:val="22"/>
          <w:color w:val="auto"/>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parties have executed this Agreement, in the case of the Company by its duly authorized member, as of the dates set forth below.</w:t>
      </w:r>
    </w:p>
    <w:p>
      <w:pPr>
        <w:spacing w:after="0" w:line="20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ARTERIS INC.</w:t>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By:______________________________________</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Title:____________________________________</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Date:____________________________________</w:t>
      </w:r>
    </w:p>
    <w:p>
      <w:pPr>
        <w:spacing w:after="0" w:line="39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w:t>
      </w:r>
    </w:p>
    <w:p>
      <w:pPr>
        <w:spacing w:after="0" w:line="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Date:____________________________________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6"/>
          <w:szCs w:val="16"/>
          <w:color w:val="auto"/>
        </w:rPr>
      </w:pPr>
    </w:p>
    <w:p>
      <w:pPr>
        <w:jc w:val="both"/>
        <w:ind w:firstLine="8"/>
        <w:spacing w:after="0" w:line="284" w:lineRule="auto"/>
        <w:tabs>
          <w:tab w:leader="none" w:pos="1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jc w:val="both"/>
        <w:ind w:left="1040" w:firstLine="5"/>
        <w:spacing w:after="0" w:line="266" w:lineRule="auto"/>
        <w:tabs>
          <w:tab w:leader="none" w:pos="1323"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6"/>
          <w:szCs w:val="16"/>
          <w:color w:val="auto"/>
        </w:rPr>
      </w:pPr>
    </w:p>
    <w:p>
      <w:pPr>
        <w:ind w:firstLine="8"/>
        <w:spacing w:after="0" w:line="286" w:lineRule="auto"/>
        <w:tabs>
          <w:tab w:leader="none" w:pos="2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296"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80" w:type="dxa"/>
            <w:vAlign w:val="bottom"/>
          </w:tcPr>
          <w:p>
            <w:pPr>
              <w:spacing w:after="0"/>
              <w:rPr>
                <w:sz w:val="20"/>
                <w:szCs w:val="20"/>
                <w:color w:val="auto"/>
              </w:rPr>
            </w:pPr>
            <w:r>
              <w:rPr>
                <w:rFonts w:ascii="Arial" w:cs="Arial" w:eastAsia="Arial" w:hAnsi="Arial"/>
                <w:sz w:val="16"/>
                <w:szCs w:val="16"/>
                <w:color w:val="auto"/>
              </w:rPr>
              <w:t>Date: August 1, 2024</w:t>
            </w:r>
          </w:p>
        </w:tc>
        <w:tc>
          <w:tcPr>
            <w:tcW w:w="2820" w:type="dxa"/>
            <w:vAlign w:val="bottom"/>
          </w:tcPr>
          <w:p>
            <w:pPr>
              <w:ind w:left="174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280" w:type="dxa"/>
            <w:vAlign w:val="bottom"/>
          </w:tcPr>
          <w:p>
            <w:pPr>
              <w:spacing w:after="0"/>
              <w:rPr>
                <w:sz w:val="2"/>
                <w:szCs w:val="2"/>
                <w:color w:val="auto"/>
              </w:rPr>
            </w:pPr>
          </w:p>
        </w:tc>
        <w:tc>
          <w:tcPr>
            <w:tcW w:w="2820" w:type="dxa"/>
            <w:vAlign w:val="bottom"/>
            <w:vMerge w:val="restart"/>
          </w:tcPr>
          <w:p>
            <w:pPr>
              <w:ind w:left="174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2820" w:type="dxa"/>
            <w:vAlign w:val="bottom"/>
          </w:tcPr>
          <w:p>
            <w:pPr>
              <w:ind w:left="174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6"/>
          <w:szCs w:val="16"/>
          <w:color w:val="auto"/>
        </w:rPr>
      </w:pPr>
    </w:p>
    <w:p>
      <w:pPr>
        <w:jc w:val="both"/>
        <w:ind w:firstLine="8"/>
        <w:spacing w:after="0" w:line="284" w:lineRule="auto"/>
        <w:tabs>
          <w:tab w:leader="none" w:pos="1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jc w:val="both"/>
        <w:ind w:left="1040" w:firstLine="5"/>
        <w:spacing w:after="0" w:line="266" w:lineRule="auto"/>
        <w:tabs>
          <w:tab w:leader="none" w:pos="1323"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6"/>
          <w:szCs w:val="16"/>
          <w:color w:val="auto"/>
        </w:rPr>
      </w:pPr>
    </w:p>
    <w:p>
      <w:pPr>
        <w:ind w:firstLine="8"/>
        <w:spacing w:after="0" w:line="286" w:lineRule="auto"/>
        <w:tabs>
          <w:tab w:leader="none" w:pos="20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296"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Date: August 1, 2024</w:t>
            </w:r>
          </w:p>
        </w:tc>
        <w:tc>
          <w:tcPr>
            <w:tcW w:w="2960" w:type="dxa"/>
            <w:vAlign w:val="bottom"/>
          </w:tcPr>
          <w:p>
            <w:pPr>
              <w:ind w:left="190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2960" w:type="dxa"/>
            <w:vAlign w:val="bottom"/>
            <w:vMerge w:val="restart"/>
          </w:tcPr>
          <w:p>
            <w:pPr>
              <w:ind w:left="190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0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2960" w:type="dxa"/>
            <w:vAlign w:val="bottom"/>
          </w:tcPr>
          <w:p>
            <w:pPr>
              <w:ind w:left="190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20"/>
                <w:szCs w:val="20"/>
                <w:color w:val="auto"/>
              </w:rPr>
            </w:pPr>
            <w:r>
              <w:rPr>
                <w:rFonts w:ascii="Arial" w:cs="Arial" w:eastAsia="Arial" w:hAnsi="Arial"/>
                <w:sz w:val="16"/>
                <w:szCs w:val="16"/>
                <w:color w:val="auto"/>
              </w:rPr>
              <w:t>Date: August 1, 2024</w:t>
            </w:r>
          </w:p>
        </w:tc>
        <w:tc>
          <w:tcPr>
            <w:tcW w:w="2720" w:type="dxa"/>
            <w:vAlign w:val="bottom"/>
          </w:tcPr>
          <w:p>
            <w:pPr>
              <w:ind w:left="150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2720" w:type="dxa"/>
            <w:vAlign w:val="bottom"/>
            <w:vMerge w:val="restart"/>
          </w:tcPr>
          <w:p>
            <w:pPr>
              <w:ind w:left="150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2720" w:type="dxa"/>
            <w:vAlign w:val="bottom"/>
            <w:vMerge w:val="continue"/>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20"/>
                <w:szCs w:val="20"/>
                <w:color w:val="auto"/>
              </w:rPr>
            </w:pPr>
            <w:r>
              <w:rPr>
                <w:rFonts w:ascii="Arial" w:cs="Arial" w:eastAsia="Arial" w:hAnsi="Arial"/>
                <w:sz w:val="16"/>
                <w:szCs w:val="16"/>
                <w:color w:val="auto"/>
              </w:rPr>
              <w:t>Date: August 1, 2024</w:t>
            </w:r>
          </w:p>
        </w:tc>
        <w:tc>
          <w:tcPr>
            <w:tcW w:w="2720" w:type="dxa"/>
            <w:vAlign w:val="bottom"/>
          </w:tcPr>
          <w:p>
            <w:pPr>
              <w:ind w:left="150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2720" w:type="dxa"/>
            <w:vAlign w:val="bottom"/>
            <w:vMerge w:val="restart"/>
          </w:tcPr>
          <w:p>
            <w:pPr>
              <w:ind w:left="150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2720" w:type="dxa"/>
            <w:vAlign w:val="bottom"/>
            <w:vMerge w:val="continue"/>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4"/>
    </w:lvl>
  </w:abstractNum>
  <w:abstractNum w:abstractNumId="6">
    <w:nsid w:val="614FD4A1"/>
    <w:multiLevelType w:val="hybridMultilevel"/>
    <w:lvl w:ilvl="0">
      <w:lvlJc w:val="left"/>
      <w:lvlText w:val="%1."/>
      <w:numFmt w:val="decimal"/>
      <w:start w:val="5"/>
    </w:lvl>
  </w:abstractNum>
  <w:abstractNum w:abstractNumId="7">
    <w:nsid w:val="419AC241"/>
    <w:multiLevelType w:val="hybridMultilevel"/>
    <w:lvl w:ilvl="0">
      <w:lvlJc w:val="left"/>
      <w:lvlText w:val="%1."/>
      <w:numFmt w:val="decimal"/>
      <w:start w:val="6"/>
    </w:lvl>
  </w:abstractNum>
  <w:abstractNum w:abstractNumId="8">
    <w:nsid w:val="5577F8E1"/>
    <w:multiLevelType w:val="hybridMultilevel"/>
    <w:lvl w:ilvl="0">
      <w:lvlJc w:val="left"/>
      <w:lvlText w:val="%1."/>
      <w:numFmt w:val="decimal"/>
      <w:start w:val="7"/>
    </w:lvl>
  </w:abstractNum>
  <w:abstractNum w:abstractNumId="9">
    <w:nsid w:val="440BADFC"/>
    <w:multiLevelType w:val="hybridMultilevel"/>
    <w:lvl w:ilvl="0">
      <w:lvlJc w:val="left"/>
      <w:lvlText w:val="%1."/>
      <w:numFmt w:val="decimal"/>
      <w:start w:val="8"/>
    </w:lvl>
  </w:abstractNum>
  <w:abstractNum w:abstractNumId="10">
    <w:nsid w:val="5072367"/>
    <w:multiLevelType w:val="hybridMultilevel"/>
    <w:lvl w:ilvl="0">
      <w:lvlJc w:val="left"/>
      <w:lvlText w:val="%1."/>
      <w:numFmt w:val="decimal"/>
      <w:start w:val="9"/>
    </w:lvl>
  </w:abstractNum>
  <w:abstractNum w:abstractNumId="11">
    <w:nsid w:val="3804823E"/>
    <w:multiLevelType w:val="hybridMultilevel"/>
    <w:lvl w:ilvl="0">
      <w:lvlJc w:val="left"/>
      <w:lvlText w:val="%1."/>
      <w:numFmt w:val="decimal"/>
      <w:start w:val="10"/>
    </w:lvl>
  </w:abstractNum>
  <w:abstractNum w:abstractNumId="12">
    <w:nsid w:val="77465F01"/>
    <w:multiLevelType w:val="hybridMultilevel"/>
    <w:lvl w:ilvl="0">
      <w:lvlJc w:val="left"/>
      <w:lvlText w:val="%1."/>
      <w:numFmt w:val="decimal"/>
      <w:start w:val="1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lowerRoman"/>
      <w:start w:val="2"/>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upperLetter"/>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2"/>
    </w:lvl>
    <w:lvl w:ilvl="1">
      <w:lvlJc w:val="left"/>
      <w:lvlText w:val="(%2)"/>
      <w:numFmt w:val="lowerLetter"/>
      <w:start w:val="1"/>
    </w:lvl>
  </w:abstractNum>
  <w:abstractNum w:abstractNumId="38">
    <w:nsid w:val="749ABB43"/>
    <w:multiLevelType w:val="hybridMultilevel"/>
    <w:lvl w:ilvl="0">
      <w:lvlJc w:val="left"/>
      <w:lvlText w:val="1"/>
      <w:numFmt w:val="bullet"/>
      <w:start w:val="1"/>
    </w:lvl>
  </w:abstractNum>
  <w:abstractNum w:abstractNumId="39">
    <w:nsid w:val="3DC240FB"/>
    <w:multiLevelType w:val="hybridMultilevel"/>
    <w:lvl w:ilvl="0">
      <w:lvlJc w:val="left"/>
      <w:lvlText w:val="%1."/>
      <w:numFmt w:val="decimal"/>
      <w:start w:val="4"/>
    </w:lvl>
    <w:lvl w:ilvl="1">
      <w:lvlJc w:val="left"/>
      <w:lvlText w:val="(%2)"/>
      <w:numFmt w:val="lowerLetter"/>
      <w:start w:val="1"/>
    </w:lvl>
  </w:abstractNum>
  <w:abstractNum w:abstractNumId="40">
    <w:nsid w:val="1BA026FA"/>
    <w:multiLevelType w:val="hybridMultilevel"/>
    <w:lvl w:ilvl="0">
      <w:lvlJc w:val="left"/>
      <w:lvlText w:val="3"/>
      <w:numFmt w:val="bullet"/>
      <w:start w:val="1"/>
    </w:lvl>
  </w:abstractNum>
  <w:abstractNum w:abstractNumId="41">
    <w:nsid w:val="79A1DEAA"/>
    <w:multiLevelType w:val="hybridMultilevel"/>
    <w:lvl w:ilvl="0">
      <w:lvlJc w:val="left"/>
      <w:lvlText w:val="%1"/>
      <w:numFmt w:val="decimal"/>
      <w:start w:val="1"/>
    </w:lvl>
    <w:lvl w:ilvl="1">
      <w:lvlJc w:val="left"/>
      <w:lvlText w:val="(%2)"/>
      <w:numFmt w:val="lowerLetter"/>
      <w:start w:val="4"/>
    </w:lvl>
  </w:abstractNum>
  <w:abstractNum w:abstractNumId="42">
    <w:nsid w:val="75C6C33A"/>
    <w:multiLevelType w:val="hybridMultilevel"/>
    <w:lvl w:ilvl="0">
      <w:lvlJc w:val="left"/>
      <w:lvlText w:val="%1."/>
      <w:numFmt w:val="decimal"/>
      <w:start w:val="5"/>
    </w:lvl>
    <w:lvl w:ilvl="1">
      <w:lvlJc w:val="left"/>
      <w:lvlText w:val="%2"/>
      <w:numFmt w:val="lowerLetter"/>
      <w:start w:val="1"/>
    </w:lvl>
  </w:abstractNum>
  <w:abstractNum w:abstractNumId="43">
    <w:nsid w:val="12E685FB"/>
    <w:multiLevelType w:val="hybridMultilevel"/>
    <w:lvl w:ilvl="0">
      <w:lvlJc w:val="left"/>
      <w:lvlText w:val="4"/>
      <w:numFmt w:val="bullet"/>
      <w:start w:val="1"/>
    </w:lvl>
  </w:abstractNum>
  <w:abstractNum w:abstractNumId="44">
    <w:nsid w:val="70C6A529"/>
    <w:multiLevelType w:val="hybridMultilevel"/>
    <w:lvl w:ilvl="0">
      <w:lvlJc w:val="left"/>
      <w:lvlText w:val="%1."/>
      <w:numFmt w:val="decimal"/>
      <w:start w:val="7"/>
    </w:lvl>
    <w:lvl w:ilvl="1">
      <w:lvlJc w:val="left"/>
      <w:lvlText w:val="(%2)"/>
      <w:numFmt w:val="lowerLetter"/>
      <w:start w:val="1"/>
    </w:lvl>
  </w:abstractNum>
  <w:abstractNum w:abstractNumId="45">
    <w:nsid w:val="520EEDD1"/>
    <w:multiLevelType w:val="hybridMultilevel"/>
    <w:lvl w:ilvl="0">
      <w:lvlJc w:val="left"/>
      <w:lvlText w:val="%1"/>
      <w:numFmt w:val="lowerLetter"/>
      <w:start w:val="1"/>
    </w:lvl>
    <w:lvl w:ilvl="1">
      <w:lvlJc w:val="left"/>
      <w:lvlText w:val="(%2)"/>
      <w:numFmt w:val="lowerLetter"/>
      <w:start w:val="2"/>
    </w:lvl>
  </w:abstractNum>
  <w:abstractNum w:abstractNumId="46">
    <w:nsid w:val="374A3FE6"/>
    <w:multiLevelType w:val="hybridMultilevel"/>
    <w:lvl w:ilvl="0">
      <w:lvlJc w:val="left"/>
      <w:lvlText w:val="(%1)"/>
      <w:numFmt w:val="lowerLetter"/>
      <w:start w:val="9"/>
    </w:lvl>
    <w:lvl w:ilvl="1">
      <w:lvlJc w:val="left"/>
      <w:lvlText w:val="%2"/>
      <w:numFmt w:val="lowerLetter"/>
      <w:start w:val="1"/>
    </w:lvl>
  </w:abstractNum>
  <w:abstractNum w:abstractNumId="47">
    <w:nsid w:val="4F4EF005"/>
    <w:multiLevelType w:val="hybridMultilevel"/>
    <w:lvl w:ilvl="0">
      <w:lvlJc w:val="left"/>
      <w:lvlText w:val="5"/>
      <w:numFmt w:val="bullet"/>
      <w:start w:val="1"/>
    </w:lvl>
  </w:abstractNum>
  <w:abstractNum w:abstractNumId="48">
    <w:nsid w:val="23F9C13C"/>
    <w:multiLevelType w:val="hybridMultilevel"/>
    <w:lvl w:ilvl="0">
      <w:lvlJc w:val="left"/>
      <w:lvlText w:val="%1"/>
      <w:numFmt w:val="decimal"/>
      <w:start w:val="1"/>
    </w:lvl>
    <w:lvl w:ilvl="1">
      <w:lvlJc w:val="left"/>
      <w:lvlText w:val="(%2)"/>
      <w:numFmt w:val="lowerLetter"/>
      <w:start w:val="1"/>
    </w:lvl>
  </w:abstractNum>
  <w:abstractNum w:abstractNumId="49">
    <w:nsid w:val="649BB77C"/>
    <w:multiLevelType w:val="hybridMultilevel"/>
    <w:lvl w:ilvl="0">
      <w:lvlJc w:val="left"/>
      <w:lvlText w:val="%1."/>
      <w:numFmt w:val="decimal"/>
      <w:start w:val="1"/>
    </w:lvl>
    <w:lvl w:ilvl="1">
      <w:lvlJc w:val="left"/>
      <w:lvlText w:val="(%2)"/>
      <w:numFmt w:val="lowerLetter"/>
      <w:start w:val="1"/>
    </w:lvl>
  </w:abstractNum>
  <w:abstractNum w:abstractNumId="50">
    <w:nsid w:val="275AC794"/>
    <w:multiLevelType w:val="hybridMultilevel"/>
    <w:lvl w:ilvl="0">
      <w:lvlJc w:val="left"/>
      <w:lvlText w:val="%1."/>
      <w:numFmt w:val="decimal"/>
      <w:start w:val="10"/>
    </w:lvl>
  </w:abstractNum>
  <w:abstractNum w:abstractNumId="51">
    <w:nsid w:val="39386575"/>
    <w:multiLevelType w:val="hybridMultilevel"/>
    <w:lvl w:ilvl="0">
      <w:lvlJc w:val="left"/>
      <w:lvlText w:val="%1"/>
      <w:numFmt w:val="decimal"/>
      <w:start w:val="1"/>
    </w:lvl>
    <w:lvl w:ilvl="1">
      <w:lvlJc w:val="left"/>
      <w:lvlText w:val="(%2)"/>
      <w:numFmt w:val="lowerLetter"/>
      <w:start w:val="1"/>
    </w:lvl>
  </w:abstractNum>
  <w:abstractNum w:abstractNumId="52">
    <w:nsid w:val="1CF10FD8"/>
    <w:multiLevelType w:val="hybridMultilevel"/>
    <w:lvl w:ilvl="0">
      <w:lvlJc w:val="left"/>
      <w:lvlText w:val="%1."/>
      <w:numFmt w:val="decimal"/>
      <w:start w:val="12"/>
    </w:lvl>
    <w:lvl w:ilvl="1">
      <w:lvlJc w:val="left"/>
      <w:lvlText w:val="%2"/>
      <w:numFmt w:val="lowerLetter"/>
      <w:start w:val="1"/>
    </w:lvl>
  </w:abstractNum>
  <w:abstractNum w:abstractNumId="53">
    <w:nsid w:val="180115B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4">
    <w:nsid w:val="235BA861"/>
    <w:multiLevelType w:val="hybridMultilevel"/>
    <w:lvl w:ilvl="0">
      <w:lvlJc w:val="left"/>
      <w:lvlText w:val="%1"/>
      <w:numFmt w:val="lowerRoman"/>
      <w:start w:val="1"/>
    </w:lvl>
    <w:lvl w:ilvl="1">
      <w:lvlJc w:val="left"/>
      <w:lvlText w:val="(%2)"/>
      <w:numFmt w:val="lowerRoman"/>
      <w:start w:val="3"/>
    </w:lvl>
  </w:abstractNum>
  <w:abstractNum w:abstractNumId="55">
    <w:nsid w:val="47398C89"/>
    <w:multiLevelType w:val="hybridMultilevel"/>
    <w:lvl w:ilvl="0">
      <w:lvlJc w:val="left"/>
      <w:lvlText w:val="(%1)"/>
      <w:numFmt w:val="lowerRoman"/>
      <w:start w:val="5"/>
    </w:lvl>
    <w:lvl w:ilvl="1">
      <w:lvlJc w:val="left"/>
      <w:lvlText w:val="%2"/>
      <w:numFmt w:val="lowerRoman"/>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86" Type="http://schemas.openxmlformats.org/officeDocument/2006/relationships/hyperlink" Target="https://www.sec.gov/Archives/edgar/data/1667011/000119312521313553/d211035dex31.htm" TargetMode="External"/><Relationship Id="rId87" Type="http://schemas.openxmlformats.org/officeDocument/2006/relationships/hyperlink" Target="https://www.sec.gov/Archives/edgar/data/0001667011/000119312521313553/d211035dex32.htm" TargetMode="External"/><Relationship Id="rId88"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2024-08-01T16:27:03Z</dcterms:created>
  <dcterms:modified xsi:type="dcterms:W3CDTF">2024-08-01T16:27:03Z</dcterms:modified>
</cp:coreProperties>
</file>