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Washington, D.C. 20549</w:t>
      </w:r>
    </w:p>
    <w:p>
      <w:pPr>
        <w:spacing w:after="0" w:line="249" w:lineRule="exact"/>
        <w:rPr>
          <w:sz w:val="24"/>
          <w:szCs w:val="24"/>
          <w:color w:val="auto"/>
        </w:rPr>
      </w:pPr>
    </w:p>
    <w:p>
      <w:pPr>
        <w:jc w:val="center"/>
        <w:ind w:right="20"/>
        <w:spacing w:after="0"/>
        <w:rPr>
          <w:sz w:val="20"/>
          <w:szCs w:val="20"/>
          <w:color w:val="auto"/>
        </w:rPr>
      </w:pPr>
      <w:r>
        <w:rPr>
          <w:rFonts w:ascii="Verdana" w:cs="Verdana" w:eastAsia="Verdana" w:hAnsi="Verdana"/>
          <w:sz w:val="20"/>
          <w:szCs w:val="20"/>
          <w:b w:val="1"/>
          <w:bCs w:val="1"/>
          <w:color w:val="auto"/>
        </w:rPr>
        <w:t>FORM 10-Q</w:t>
      </w:r>
    </w:p>
    <w:p>
      <w:pPr>
        <w:spacing w:after="0"/>
        <w:rPr>
          <w:sz w:val="20"/>
          <w:szCs w:val="20"/>
          <w:color w:val="auto"/>
        </w:rPr>
      </w:pPr>
      <w:r>
        <w:rPr>
          <w:rFonts w:ascii="Verdana" w:cs="Verdana" w:eastAsia="Verdana" w:hAnsi="Verdana"/>
          <w:sz w:val="14"/>
          <w:szCs w:val="14"/>
          <w:b w:val="1"/>
          <w:bCs w:val="1"/>
          <w:color w:val="auto"/>
        </w:rPr>
        <w:t>(Mark One)</w:t>
      </w:r>
    </w:p>
    <w:p>
      <w:pPr>
        <w:spacing w:after="0" w:line="86" w:lineRule="exact"/>
        <w:rPr>
          <w:sz w:val="24"/>
          <w:szCs w:val="24"/>
          <w:color w:val="auto"/>
        </w:rPr>
      </w:pPr>
    </w:p>
    <w:p>
      <w:pPr>
        <w:ind w:left="540" w:hanging="379"/>
        <w:spacing w:after="0"/>
        <w:tabs>
          <w:tab w:leader="none" w:pos="540" w:val="left"/>
        </w:tabs>
        <w:numPr>
          <w:ilvl w:val="0"/>
          <w:numId w:val="1"/>
        </w:numPr>
        <w:rPr>
          <w:rFonts w:ascii="Wingdings" w:cs="Wingdings" w:eastAsia="Wingdings" w:hAnsi="Wingdings"/>
          <w:sz w:val="14"/>
          <w:szCs w:val="14"/>
          <w:b w:val="1"/>
          <w:bCs w:val="1"/>
          <w:color w:val="auto"/>
          <w:highlight w:val="black"/>
        </w:rPr>
      </w:pPr>
      <w:r>
        <w:rPr>
          <w:rFonts w:ascii="Verdana" w:cs="Verdana" w:eastAsia="Verdana" w:hAnsi="Verdana"/>
          <w:sz w:val="14"/>
          <w:szCs w:val="14"/>
          <w:color w:val="auto"/>
        </w:rPr>
        <w:t>QUARTERLY REPORT PURSUANT TO SECTION 13 OR 15(d) OF THE SECURITIES EXCHANGE ACT OF 1934</w:t>
      </w:r>
    </w:p>
    <w:p>
      <w:pPr>
        <w:spacing w:after="0" w:line="325" w:lineRule="exact"/>
        <w:rPr>
          <w:sz w:val="24"/>
          <w:szCs w:val="24"/>
          <w:color w:val="auto"/>
        </w:rPr>
      </w:pPr>
    </w:p>
    <w:p>
      <w:pPr>
        <w:jc w:val="center"/>
        <w:ind w:right="20"/>
        <w:spacing w:after="0"/>
        <w:rPr>
          <w:sz w:val="20"/>
          <w:szCs w:val="20"/>
          <w:color w:val="auto"/>
        </w:rPr>
      </w:pPr>
      <w:r>
        <w:rPr>
          <w:rFonts w:ascii="Verdana" w:cs="Verdana" w:eastAsia="Verdana" w:hAnsi="Verdana"/>
          <w:sz w:val="16"/>
          <w:szCs w:val="16"/>
          <w:b w:val="1"/>
          <w:bCs w:val="1"/>
          <w:color w:val="auto"/>
        </w:rPr>
        <w:t>For the quarterly period ended March 31, 2023</w:t>
      </w:r>
    </w:p>
    <w:p>
      <w:pPr>
        <w:spacing w:after="0" w:line="13"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OR</w:t>
      </w:r>
    </w:p>
    <w:p>
      <w:pPr>
        <w:spacing w:after="0" w:line="262" w:lineRule="exact"/>
        <w:rPr>
          <w:sz w:val="24"/>
          <w:szCs w:val="24"/>
          <w:color w:val="auto"/>
        </w:rPr>
      </w:pPr>
    </w:p>
    <w:p>
      <w:pPr>
        <w:ind w:left="540" w:hanging="367"/>
        <w:spacing w:after="0"/>
        <w:tabs>
          <w:tab w:leader="none" w:pos="540" w:val="left"/>
        </w:tabs>
        <w:numPr>
          <w:ilvl w:val="0"/>
          <w:numId w:val="2"/>
        </w:numPr>
        <w:rPr>
          <w:rFonts w:ascii="Wingdings" w:cs="Wingdings" w:eastAsia="Wingdings" w:hAnsi="Wingdings"/>
          <w:sz w:val="14"/>
          <w:szCs w:val="14"/>
          <w:b w:val="1"/>
          <w:bCs w:val="1"/>
          <w:color w:val="auto"/>
        </w:rPr>
      </w:pPr>
      <w:r>
        <w:rPr>
          <w:rFonts w:ascii="Verdana" w:cs="Verdana" w:eastAsia="Verdana" w:hAnsi="Verdana"/>
          <w:sz w:val="14"/>
          <w:szCs w:val="14"/>
          <w:color w:val="auto"/>
        </w:rPr>
        <w:t>TRANSITION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transition period from to</w:t>
      </w:r>
    </w:p>
    <w:p>
      <w:pPr>
        <w:spacing w:after="0" w:line="185"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Commission file number 001-40960</w:t>
      </w:r>
    </w:p>
    <w:p>
      <w:pPr>
        <w:spacing w:after="0" w:line="161" w:lineRule="exact"/>
        <w:rPr>
          <w:sz w:val="24"/>
          <w:szCs w:val="24"/>
          <w:color w:val="auto"/>
        </w:rPr>
      </w:pPr>
    </w:p>
    <w:p>
      <w:pPr>
        <w:jc w:val="center"/>
        <w:ind w:right="20"/>
        <w:spacing w:after="0"/>
        <w:rPr>
          <w:sz w:val="20"/>
          <w:szCs w:val="20"/>
          <w:color w:val="auto"/>
        </w:rPr>
      </w:pPr>
      <w:r>
        <w:rPr>
          <w:rFonts w:ascii="Verdana" w:cs="Verdana" w:eastAsia="Verdana" w:hAnsi="Verdana"/>
          <w:sz w:val="32"/>
          <w:szCs w:val="32"/>
          <w:b w:val="1"/>
          <w:bCs w:val="1"/>
          <w:color w:val="auto"/>
        </w:rPr>
        <w:t>Arteris, Inc.</w:t>
      </w:r>
    </w:p>
    <w:p>
      <w:pPr>
        <w:spacing w:after="0" w:line="5" w:lineRule="exact"/>
        <w:rPr>
          <w:sz w:val="24"/>
          <w:szCs w:val="24"/>
          <w:color w:val="auto"/>
        </w:rPr>
      </w:pPr>
    </w:p>
    <w:p>
      <w:pPr>
        <w:jc w:val="center"/>
        <w:spacing w:after="0"/>
        <w:rPr>
          <w:sz w:val="20"/>
          <w:szCs w:val="20"/>
          <w:color w:val="auto"/>
        </w:rPr>
      </w:pPr>
      <w:r>
        <w:rPr>
          <w:rFonts w:ascii="Verdana" w:cs="Verdana" w:eastAsia="Verdana" w:hAnsi="Verdana"/>
          <w:sz w:val="16"/>
          <w:szCs w:val="16"/>
          <w:color w:val="auto"/>
        </w:rPr>
        <w:t>(Exact name of registrant as specified in its charter)</w:t>
      </w:r>
    </w:p>
    <w:p>
      <w:pPr>
        <w:sectPr>
          <w:pgSz w:w="11900" w:h="16838" w:orient="portrait"/>
          <w:cols w:equalWidth="0" w:num="1">
            <w:col w:w="11260"/>
          </w:cols>
          <w:pgMar w:left="320" w:top="242" w:right="319" w:bottom="1440" w:gutter="0" w:footer="0" w:header="0"/>
        </w:sectPr>
      </w:pPr>
    </w:p>
    <w:p>
      <w:pPr>
        <w:spacing w:after="0" w:line="269" w:lineRule="exact"/>
        <w:rPr>
          <w:sz w:val="24"/>
          <w:szCs w:val="24"/>
          <w:color w:val="auto"/>
        </w:rPr>
      </w:pPr>
    </w:p>
    <w:p>
      <w:pPr>
        <w:ind w:left="1380"/>
        <w:spacing w:after="0"/>
        <w:rPr>
          <w:sz w:val="20"/>
          <w:szCs w:val="20"/>
          <w:color w:val="auto"/>
        </w:rPr>
      </w:pPr>
      <w:r>
        <w:rPr>
          <w:rFonts w:ascii="Verdana" w:cs="Verdana" w:eastAsia="Verdana" w:hAnsi="Verdana"/>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Verdana" w:cs="Verdana" w:eastAsia="Verdana" w:hAnsi="Verdana"/>
          <w:sz w:val="14"/>
          <w:szCs w:val="14"/>
          <w:b w:val="1"/>
          <w:bCs w:val="1"/>
          <w:color w:val="auto"/>
        </w:rPr>
        <w:t>27-0117058</w:t>
      </w:r>
    </w:p>
    <w:p>
      <w:pPr>
        <w:spacing w:after="0" w:line="167" w:lineRule="exact"/>
        <w:rPr>
          <w:sz w:val="24"/>
          <w:szCs w:val="24"/>
          <w:color w:val="auto"/>
        </w:rPr>
      </w:pPr>
    </w:p>
    <w:p>
      <w:pPr>
        <w:sectPr>
          <w:pgSz w:w="11900" w:h="16838" w:orient="portrait"/>
          <w:cols w:equalWidth="0" w:num="2">
            <w:col w:w="8600" w:space="720"/>
            <w:col w:w="1940"/>
          </w:cols>
          <w:pgMar w:left="320" w:top="242" w:right="319" w:bottom="1440" w:gutter="0" w:footer="0" w:header="0"/>
          <w:type w:val="continuous"/>
        </w:sectPr>
      </w:pPr>
    </w:p>
    <w:p>
      <w:pPr>
        <w:jc w:val="center"/>
        <w:ind w:right="4920"/>
        <w:spacing w:after="0"/>
        <w:rPr>
          <w:sz w:val="20"/>
          <w:szCs w:val="20"/>
          <w:color w:val="auto"/>
        </w:rPr>
      </w:pPr>
      <w:r>
        <w:rPr>
          <w:rFonts w:ascii="Verdana" w:cs="Verdana" w:eastAsia="Verdana" w:hAnsi="Verdana"/>
          <w:sz w:val="14"/>
          <w:szCs w:val="14"/>
          <w:color w:val="auto"/>
        </w:rPr>
        <w:t>(State or other jurisdiction of incorporation or</w:t>
      </w:r>
    </w:p>
    <w:p>
      <w:pPr>
        <w:spacing w:after="0" w:line="5" w:lineRule="exact"/>
        <w:rPr>
          <w:sz w:val="24"/>
          <w:szCs w:val="24"/>
          <w:color w:val="auto"/>
        </w:rPr>
      </w:pPr>
    </w:p>
    <w:p>
      <w:pPr>
        <w:jc w:val="center"/>
        <w:ind w:right="4920"/>
        <w:spacing w:after="0"/>
        <w:rPr>
          <w:sz w:val="20"/>
          <w:szCs w:val="20"/>
          <w:color w:val="auto"/>
        </w:rPr>
      </w:pPr>
      <w:r>
        <w:rPr>
          <w:rFonts w:ascii="Verdana" w:cs="Verdana" w:eastAsia="Verdana" w:hAnsi="Verdana"/>
          <w:sz w:val="14"/>
          <w:szCs w:val="14"/>
          <w:color w:val="auto"/>
        </w:rPr>
        <w:t>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Verdana" w:cs="Verdana" w:eastAsia="Verdana" w:hAnsi="Verdana"/>
          <w:sz w:val="14"/>
          <w:szCs w:val="14"/>
          <w:color w:val="auto"/>
        </w:rPr>
        <w:t>(I.R.S. Employer</w:t>
      </w:r>
    </w:p>
    <w:p>
      <w:pPr>
        <w:spacing w:after="0" w:line="46" w:lineRule="exact"/>
        <w:rPr>
          <w:sz w:val="24"/>
          <w:szCs w:val="24"/>
          <w:color w:val="auto"/>
        </w:rPr>
      </w:pPr>
    </w:p>
    <w:p>
      <w:pPr>
        <w:spacing w:after="0"/>
        <w:rPr>
          <w:sz w:val="20"/>
          <w:szCs w:val="20"/>
          <w:color w:val="auto"/>
        </w:rPr>
      </w:pPr>
      <w:r>
        <w:rPr>
          <w:rFonts w:ascii="Verdana" w:cs="Verdana" w:eastAsia="Verdana" w:hAnsi="Verdana"/>
          <w:sz w:val="14"/>
          <w:szCs w:val="14"/>
          <w:color w:val="auto"/>
        </w:rPr>
        <w:t>Identification No.)</w:t>
      </w:r>
    </w:p>
    <w:p>
      <w:pPr>
        <w:spacing w:after="0" w:line="154" w:lineRule="exact"/>
        <w:rPr>
          <w:sz w:val="24"/>
          <w:szCs w:val="24"/>
          <w:color w:val="auto"/>
        </w:rPr>
      </w:pPr>
    </w:p>
    <w:p>
      <w:pPr>
        <w:sectPr>
          <w:pgSz w:w="11900" w:h="16838" w:orient="portrait"/>
          <w:cols w:equalWidth="0" w:num="2">
            <w:col w:w="8440" w:space="720"/>
            <w:col w:w="2100"/>
          </w:cols>
          <w:pgMar w:left="320" w:top="242" w:right="319" w:bottom="1440" w:gutter="0" w:footer="0" w:header="0"/>
          <w:type w:val="continuous"/>
        </w:sectPr>
      </w:pPr>
    </w:p>
    <w:p>
      <w:pPr>
        <w:jc w:val="center"/>
        <w:ind w:right="20"/>
        <w:spacing w:after="0"/>
        <w:rPr>
          <w:sz w:val="20"/>
          <w:szCs w:val="20"/>
          <w:color w:val="auto"/>
        </w:rPr>
      </w:pPr>
      <w:r>
        <w:rPr>
          <w:rFonts w:ascii="Verdana" w:cs="Verdana" w:eastAsia="Verdana" w:hAnsi="Verdana"/>
          <w:sz w:val="14"/>
          <w:szCs w:val="14"/>
          <w:b w:val="1"/>
          <w:bCs w:val="1"/>
          <w:color w:val="auto"/>
        </w:rPr>
        <w:t>595 Millich Dr. Suite 200</w:t>
      </w:r>
    </w:p>
    <w:p>
      <w:pPr>
        <w:spacing w:after="0" w:line="32"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Campbell, CA 95008</w:t>
      </w:r>
    </w:p>
    <w:p>
      <w:pPr>
        <w:spacing w:after="0" w:line="32" w:lineRule="exact"/>
        <w:rPr>
          <w:sz w:val="24"/>
          <w:szCs w:val="24"/>
          <w:color w:val="auto"/>
        </w:rPr>
      </w:pPr>
    </w:p>
    <w:p>
      <w:pPr>
        <w:jc w:val="center"/>
        <w:ind w:right="20"/>
        <w:spacing w:after="0"/>
        <w:rPr>
          <w:sz w:val="20"/>
          <w:szCs w:val="20"/>
          <w:color w:val="auto"/>
        </w:rPr>
      </w:pPr>
      <w:r>
        <w:rPr>
          <w:rFonts w:ascii="Verdana" w:cs="Verdana" w:eastAsia="Verdana" w:hAnsi="Verdana"/>
          <w:sz w:val="14"/>
          <w:szCs w:val="14"/>
          <w:b w:val="1"/>
          <w:bCs w:val="1"/>
          <w:color w:val="auto"/>
        </w:rPr>
        <w:t>(408) 470-7300</w:t>
      </w:r>
    </w:p>
    <w:p>
      <w:pPr>
        <w:spacing w:after="0" w:line="41" w:lineRule="exact"/>
        <w:rPr>
          <w:sz w:val="24"/>
          <w:szCs w:val="24"/>
          <w:color w:val="auto"/>
        </w:rPr>
      </w:pPr>
    </w:p>
    <w:p>
      <w:pPr>
        <w:jc w:val="center"/>
        <w:ind w:right="20"/>
        <w:spacing w:after="0"/>
        <w:rPr>
          <w:sz w:val="20"/>
          <w:szCs w:val="20"/>
          <w:color w:val="auto"/>
        </w:rPr>
      </w:pPr>
      <w:r>
        <w:rPr>
          <w:rFonts w:ascii="Verdana" w:cs="Verdana" w:eastAsia="Verdana" w:hAnsi="Verdana"/>
          <w:sz w:val="13"/>
          <w:szCs w:val="13"/>
          <w:b w:val="1"/>
          <w:bCs w:val="1"/>
          <w:color w:val="auto"/>
        </w:rPr>
        <w:t>(Address, including zip code, and telephone number, including area code, of registrant’s principal executive offices)</w:t>
      </w:r>
    </w:p>
    <w:p>
      <w:pPr>
        <w:spacing w:after="0" w:line="279" w:lineRule="exact"/>
        <w:rPr>
          <w:sz w:val="24"/>
          <w:szCs w:val="24"/>
          <w:color w:val="auto"/>
        </w:rPr>
      </w:pPr>
    </w:p>
    <w:p>
      <w:pPr>
        <w:spacing w:after="0"/>
        <w:rPr>
          <w:sz w:val="20"/>
          <w:szCs w:val="20"/>
          <w:color w:val="auto"/>
        </w:rPr>
      </w:pPr>
      <w:r>
        <w:rPr>
          <w:rFonts w:ascii="Verdana" w:cs="Verdana" w:eastAsia="Verdana" w:hAnsi="Verdana"/>
          <w:sz w:val="14"/>
          <w:szCs w:val="14"/>
          <w:color w:val="auto"/>
        </w:rPr>
        <w:t>Securities registered pursuant to Section 12(b) of the Act:</w:t>
      </w:r>
    </w:p>
    <w:p>
      <w:pPr>
        <w:spacing w:after="0" w:line="211"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Name of each exchange on which registered</w:t>
            </w:r>
          </w:p>
        </w:tc>
      </w:tr>
      <w:tr>
        <w:trPr>
          <w:trHeight w:val="169"/>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6"/>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8"/>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3"/>
                <w:szCs w:val="13"/>
                <w:color w:val="auto"/>
                <w:w w:val="97"/>
              </w:rPr>
              <w:t>The Nasdaq Stock Market LLC</w:t>
            </w:r>
          </w:p>
        </w:tc>
      </w:tr>
    </w:tbl>
    <w:p>
      <w:pPr>
        <w:spacing w:after="0" w:line="265" w:lineRule="exact"/>
        <w:rPr>
          <w:sz w:val="24"/>
          <w:szCs w:val="24"/>
          <w:color w:val="auto"/>
        </w:rPr>
      </w:pPr>
    </w:p>
    <w:p>
      <w:pPr>
        <w:ind w:right="140"/>
        <w:spacing w:after="0" w:line="233" w:lineRule="auto"/>
        <w:rPr>
          <w:sz w:val="20"/>
          <w:szCs w:val="20"/>
          <w:color w:val="auto"/>
        </w:rPr>
      </w:pPr>
      <w:r>
        <w:rPr>
          <w:rFonts w:ascii="Verdana" w:cs="Verdana" w:eastAsia="Verdana" w:hAnsi="Verdana"/>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Verdana" w:cs="Verdana" w:eastAsia="Verdana" w:hAnsi="Verdana"/>
          <w:sz w:val="13"/>
          <w:szCs w:val="13"/>
          <w:color w:val="auto"/>
        </w:rPr>
        <w:t xml:space="preserve"> No </w:t>
      </w:r>
      <w:r>
        <w:rPr>
          <w:rFonts w:ascii="Wingdings" w:cs="Wingdings" w:eastAsia="Wingdings" w:hAnsi="Wingdings"/>
          <w:sz w:val="13"/>
          <w:szCs w:val="13"/>
          <w:b w:val="1"/>
          <w:bCs w:val="1"/>
          <w:color w:val="auto"/>
        </w:rPr>
        <w:t>o</w:t>
      </w:r>
    </w:p>
    <w:p>
      <w:pPr>
        <w:spacing w:after="0" w:line="174" w:lineRule="exact"/>
        <w:rPr>
          <w:sz w:val="24"/>
          <w:szCs w:val="24"/>
          <w:color w:val="auto"/>
        </w:rPr>
      </w:pPr>
    </w:p>
    <w:p>
      <w:pPr>
        <w:spacing w:after="0"/>
        <w:rPr>
          <w:sz w:val="20"/>
          <w:szCs w:val="20"/>
          <w:color w:val="auto"/>
        </w:rPr>
      </w:pPr>
      <w:r>
        <w:rPr>
          <w:rFonts w:ascii="Verdana" w:cs="Verdana" w:eastAsia="Verdana" w:hAnsi="Verdana"/>
          <w:sz w:val="12"/>
          <w:szCs w:val="12"/>
          <w:color w:val="auto"/>
        </w:rPr>
        <w:t>Indicate by check mark whether the registrant has submitted electronically and posted on its corporate web site, if any, every Interactive Data File required to be submitted and</w:t>
      </w:r>
    </w:p>
    <w:p>
      <w:pPr>
        <w:spacing w:after="0" w:line="16" w:lineRule="exact"/>
        <w:rPr>
          <w:sz w:val="24"/>
          <w:szCs w:val="24"/>
          <w:color w:val="auto"/>
        </w:rPr>
      </w:pPr>
    </w:p>
    <w:p>
      <w:pPr>
        <w:ind w:right="80"/>
        <w:spacing w:after="0" w:line="237" w:lineRule="auto"/>
        <w:rPr>
          <w:sz w:val="20"/>
          <w:szCs w:val="20"/>
          <w:color w:val="auto"/>
        </w:rPr>
      </w:pPr>
      <w:r>
        <w:rPr>
          <w:rFonts w:ascii="Verdana" w:cs="Verdana" w:eastAsia="Verdana" w:hAnsi="Verdana"/>
          <w:sz w:val="13"/>
          <w:szCs w:val="13"/>
          <w:color w:val="auto"/>
        </w:rPr>
        <w:t xml:space="preserve">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3"/>
          <w:szCs w:val="13"/>
          <w:b w:val="1"/>
          <w:bCs w:val="1"/>
          <w:color w:val="auto"/>
        </w:rPr>
        <w:t>x</w:t>
      </w:r>
      <w:r>
        <w:rPr>
          <w:rFonts w:ascii="Verdana" w:cs="Verdana" w:eastAsia="Verdana" w:hAnsi="Verdana"/>
          <w:sz w:val="13"/>
          <w:szCs w:val="13"/>
          <w:color w:val="auto"/>
        </w:rPr>
        <w:t xml:space="preserve"> No </w:t>
      </w:r>
      <w:r>
        <w:rPr>
          <w:rFonts w:ascii="Wingdings" w:cs="Wingdings" w:eastAsia="Wingdings" w:hAnsi="Wingdings"/>
          <w:sz w:val="13"/>
          <w:szCs w:val="13"/>
          <w:b w:val="1"/>
          <w:bCs w:val="1"/>
          <w:color w:val="auto"/>
        </w:rPr>
        <w:t>o</w:t>
      </w:r>
    </w:p>
    <w:p>
      <w:pPr>
        <w:spacing w:after="0" w:line="174" w:lineRule="exact"/>
        <w:rPr>
          <w:sz w:val="24"/>
          <w:szCs w:val="24"/>
          <w:color w:val="auto"/>
        </w:rPr>
      </w:pPr>
    </w:p>
    <w:p>
      <w:pPr>
        <w:ind w:right="360"/>
        <w:spacing w:after="0" w:line="237" w:lineRule="auto"/>
        <w:rPr>
          <w:sz w:val="20"/>
          <w:szCs w:val="20"/>
          <w:color w:val="auto"/>
        </w:rPr>
      </w:pPr>
      <w:r>
        <w:rPr>
          <w:rFonts w:ascii="Verdana" w:cs="Verdana" w:eastAsia="Verdana" w:hAnsi="Verdana"/>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Verdana" w:cs="Verdana" w:eastAsia="Verdana" w:hAnsi="Verdana"/>
                <w:sz w:val="13"/>
                <w:szCs w:val="13"/>
                <w:color w:val="auto"/>
              </w:rPr>
              <w:t>Large accelerated filer</w:t>
            </w:r>
          </w:p>
        </w:tc>
        <w:tc>
          <w:tcPr>
            <w:tcW w:w="2960" w:type="dxa"/>
            <w:vAlign w:val="bottom"/>
          </w:tcPr>
          <w:p>
            <w:pPr>
              <w:ind w:left="820"/>
              <w:spacing w:after="0"/>
              <w:rPr>
                <w:sz w:val="20"/>
                <w:szCs w:val="20"/>
                <w:color w:val="auto"/>
              </w:rPr>
            </w:pPr>
            <w:r>
              <w:rPr>
                <w:rFonts w:ascii="Wingdings" w:cs="Wingdings" w:eastAsia="Wingdings" w:hAnsi="Wingdings"/>
                <w:sz w:val="13"/>
                <w:szCs w:val="13"/>
                <w:b w:val="1"/>
                <w:bCs w:val="1"/>
                <w:color w:val="auto"/>
              </w:rPr>
              <w:t>o</w:t>
            </w:r>
          </w:p>
        </w:tc>
        <w:tc>
          <w:tcPr>
            <w:tcW w:w="4800" w:type="dxa"/>
            <w:vAlign w:val="bottom"/>
          </w:tcPr>
          <w:p>
            <w:pPr>
              <w:ind w:left="2000"/>
              <w:spacing w:after="0"/>
              <w:rPr>
                <w:sz w:val="20"/>
                <w:szCs w:val="20"/>
                <w:color w:val="auto"/>
              </w:rPr>
            </w:pPr>
            <w:r>
              <w:rPr>
                <w:rFonts w:ascii="Verdana" w:cs="Verdana" w:eastAsia="Verdana" w:hAnsi="Verdana"/>
                <w:sz w:val="13"/>
                <w:szCs w:val="13"/>
                <w:color w:val="auto"/>
              </w:rPr>
              <w:t>Accelerated filer</w:t>
            </w:r>
          </w:p>
        </w:tc>
        <w:tc>
          <w:tcPr>
            <w:tcW w:w="1200" w:type="dxa"/>
            <w:vAlign w:val="bottom"/>
          </w:tcPr>
          <w:p>
            <w:pPr>
              <w:jc w:val="right"/>
              <w:spacing w:after="0"/>
              <w:rPr>
                <w:sz w:val="20"/>
                <w:szCs w:val="20"/>
                <w:color w:val="auto"/>
              </w:rPr>
            </w:pPr>
            <w:r>
              <w:rPr>
                <w:rFonts w:ascii="Wingdings" w:cs="Wingdings" w:eastAsia="Wingdings" w:hAnsi="Wingdings"/>
                <w:sz w:val="13"/>
                <w:szCs w:val="13"/>
                <w:b w:val="1"/>
                <w:bCs w:val="1"/>
                <w:color w:val="auto"/>
              </w:rPr>
              <w:t>o</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0"/>
                <w:szCs w:val="20"/>
                <w:color w:val="auto"/>
              </w:rPr>
            </w:pPr>
            <w:r>
              <w:rPr>
                <w:rFonts w:ascii="Verdana" w:cs="Verdana" w:eastAsia="Verdana" w:hAnsi="Verdana"/>
                <w:sz w:val="13"/>
                <w:szCs w:val="13"/>
                <w:color w:val="auto"/>
              </w:rPr>
              <w:t>Non-accelerated filer</w:t>
            </w:r>
          </w:p>
        </w:tc>
        <w:tc>
          <w:tcPr>
            <w:tcW w:w="2960" w:type="dxa"/>
            <w:vAlign w:val="bottom"/>
          </w:tcPr>
          <w:p>
            <w:pPr>
              <w:ind w:left="820"/>
              <w:spacing w:after="0"/>
              <w:rPr>
                <w:sz w:val="20"/>
                <w:szCs w:val="20"/>
                <w:color w:val="auto"/>
              </w:rPr>
            </w:pPr>
            <w:r>
              <w:rPr>
                <w:rFonts w:ascii="Wingdings" w:cs="Wingdings" w:eastAsia="Wingdings" w:hAnsi="Wingdings"/>
                <w:sz w:val="13"/>
                <w:szCs w:val="13"/>
                <w:b w:val="1"/>
                <w:bCs w:val="1"/>
                <w:color w:val="auto"/>
              </w:rPr>
              <w:t>x</w:t>
            </w:r>
          </w:p>
        </w:tc>
        <w:tc>
          <w:tcPr>
            <w:tcW w:w="4800" w:type="dxa"/>
            <w:vAlign w:val="bottom"/>
          </w:tcPr>
          <w:p>
            <w:pPr>
              <w:ind w:left="2000"/>
              <w:spacing w:after="0"/>
              <w:rPr>
                <w:sz w:val="20"/>
                <w:szCs w:val="20"/>
                <w:color w:val="auto"/>
              </w:rPr>
            </w:pPr>
            <w:r>
              <w:rPr>
                <w:rFonts w:ascii="Verdana" w:cs="Verdana" w:eastAsia="Verdana" w:hAnsi="Verdana"/>
                <w:sz w:val="13"/>
                <w:szCs w:val="13"/>
                <w:color w:val="auto"/>
              </w:rPr>
              <w:t>Smaller reporting company</w:t>
            </w:r>
          </w:p>
        </w:tc>
        <w:tc>
          <w:tcPr>
            <w:tcW w:w="1200" w:type="dxa"/>
            <w:vAlign w:val="bottom"/>
            <w:vMerge w:val="restart"/>
          </w:tcPr>
          <w:p>
            <w:pPr>
              <w:jc w:val="right"/>
              <w:spacing w:after="0"/>
              <w:rPr>
                <w:sz w:val="20"/>
                <w:szCs w:val="20"/>
                <w:color w:val="auto"/>
              </w:rPr>
            </w:pPr>
            <w:r>
              <w:rPr>
                <w:rFonts w:ascii="Wingdings" w:cs="Wingdings" w:eastAsia="Wingdings" w:hAnsi="Wingdings"/>
                <w:sz w:val="13"/>
                <w:szCs w:val="13"/>
                <w:b w:val="1"/>
                <w:bCs w:val="1"/>
                <w:color w:val="auto"/>
              </w:rPr>
              <w:t>x</w:t>
            </w:r>
          </w:p>
        </w:tc>
        <w:tc>
          <w:tcPr>
            <w:tcW w:w="0" w:type="dxa"/>
            <w:vAlign w:val="bottom"/>
          </w:tcPr>
          <w:p>
            <w:pPr>
              <w:spacing w:after="0"/>
              <w:rPr>
                <w:sz w:val="1"/>
                <w:szCs w:val="1"/>
                <w:color w:val="auto"/>
              </w:rPr>
            </w:pPr>
          </w:p>
        </w:tc>
      </w:tr>
      <w:tr>
        <w:trPr>
          <w:trHeight w:val="55"/>
        </w:trPr>
        <w:tc>
          <w:tcPr>
            <w:tcW w:w="22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2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00" w:type="dxa"/>
            <w:vAlign w:val="bottom"/>
          </w:tcPr>
          <w:p>
            <w:pPr>
              <w:ind w:left="2000"/>
              <w:spacing w:after="0"/>
              <w:rPr>
                <w:sz w:val="20"/>
                <w:szCs w:val="20"/>
                <w:color w:val="auto"/>
              </w:rPr>
            </w:pPr>
            <w:r>
              <w:rPr>
                <w:rFonts w:ascii="Verdana" w:cs="Verdana" w:eastAsia="Verdana" w:hAnsi="Verdana"/>
                <w:sz w:val="13"/>
                <w:szCs w:val="13"/>
                <w:color w:val="auto"/>
              </w:rPr>
              <w:t>Emerging growth company</w:t>
            </w:r>
          </w:p>
        </w:tc>
        <w:tc>
          <w:tcPr>
            <w:tcW w:w="1200" w:type="dxa"/>
            <w:vAlign w:val="bottom"/>
            <w:vMerge w:val="restart"/>
          </w:tcPr>
          <w:p>
            <w:pPr>
              <w:jc w:val="right"/>
              <w:spacing w:after="0"/>
              <w:rPr>
                <w:sz w:val="20"/>
                <w:szCs w:val="20"/>
                <w:color w:val="auto"/>
              </w:rPr>
            </w:pPr>
            <w:r>
              <w:rPr>
                <w:rFonts w:ascii="Wingdings" w:cs="Wingdings" w:eastAsia="Wingdings" w:hAnsi="Wingdings"/>
                <w:sz w:val="13"/>
                <w:szCs w:val="13"/>
                <w:b w:val="1"/>
                <w:bCs w:val="1"/>
                <w:color w:val="auto"/>
              </w:rPr>
              <w:t>x</w:t>
            </w:r>
          </w:p>
        </w:tc>
        <w:tc>
          <w:tcPr>
            <w:tcW w:w="0" w:type="dxa"/>
            <w:vAlign w:val="bottom"/>
          </w:tcPr>
          <w:p>
            <w:pPr>
              <w:spacing w:after="0"/>
              <w:rPr>
                <w:sz w:val="1"/>
                <w:szCs w:val="1"/>
                <w:color w:val="auto"/>
              </w:rPr>
            </w:pPr>
          </w:p>
        </w:tc>
      </w:tr>
      <w:tr>
        <w:trPr>
          <w:trHeight w:val="56"/>
        </w:trPr>
        <w:tc>
          <w:tcPr>
            <w:tcW w:w="22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0" w:lineRule="exact"/>
        <w:rPr>
          <w:sz w:val="24"/>
          <w:szCs w:val="24"/>
          <w:color w:val="auto"/>
        </w:rPr>
      </w:pPr>
    </w:p>
    <w:p>
      <w:pPr>
        <w:ind w:right="200"/>
        <w:spacing w:after="0" w:line="237" w:lineRule="auto"/>
        <w:rPr>
          <w:sz w:val="20"/>
          <w:szCs w:val="20"/>
          <w:color w:val="auto"/>
        </w:rPr>
      </w:pPr>
      <w:r>
        <w:rPr>
          <w:rFonts w:ascii="Verdana" w:cs="Verdana" w:eastAsia="Verdana" w:hAnsi="Verdana"/>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87" w:lineRule="exact"/>
        <w:rPr>
          <w:sz w:val="24"/>
          <w:szCs w:val="24"/>
          <w:color w:val="auto"/>
        </w:rPr>
      </w:pPr>
    </w:p>
    <w:p>
      <w:pPr>
        <w:spacing w:after="0"/>
        <w:tabs>
          <w:tab w:leader="none" w:pos="6740" w:val="left"/>
          <w:tab w:leader="none" w:pos="7300" w:val="left"/>
        </w:tabs>
        <w:rPr>
          <w:sz w:val="20"/>
          <w:szCs w:val="20"/>
          <w:color w:val="auto"/>
        </w:rPr>
      </w:pPr>
      <w:r>
        <w:rPr>
          <w:rFonts w:ascii="Verdana" w:cs="Verdana" w:eastAsia="Verdana" w:hAnsi="Verdana"/>
          <w:sz w:val="13"/>
          <w:szCs w:val="13"/>
          <w:color w:val="auto"/>
        </w:rPr>
        <w:t>Indicate by check mark whether the registrant is a shell company (as defined in Rule 12b-2 of the Act).</w:t>
        <w:tab/>
        <w:t xml:space="preserve">Yes  </w:t>
      </w:r>
      <w:r>
        <w:rPr>
          <w:rFonts w:ascii="Wingdings" w:cs="Wingdings" w:eastAsia="Wingdings" w:hAnsi="Wingdings"/>
          <w:sz w:val="13"/>
          <w:szCs w:val="13"/>
          <w:b w:val="1"/>
          <w:bCs w:val="1"/>
          <w:color w:val="auto"/>
        </w:rPr>
        <w:t>o</w:t>
      </w:r>
      <w:r>
        <w:rPr>
          <w:rFonts w:ascii="Verdana" w:cs="Verdana" w:eastAsia="Verdana" w:hAnsi="Verdana"/>
          <w:sz w:val="13"/>
          <w:szCs w:val="13"/>
          <w:color w:val="auto"/>
        </w:rPr>
        <w:tab/>
        <w:t xml:space="preserve">No </w:t>
      </w:r>
      <w:r>
        <w:rPr>
          <w:rFonts w:ascii="Wingdings" w:cs="Wingdings" w:eastAsia="Wingdings" w:hAnsi="Wingdings"/>
          <w:sz w:val="13"/>
          <w:szCs w:val="13"/>
          <w:b w:val="1"/>
          <w:bCs w:val="1"/>
          <w:color w:val="auto"/>
        </w:rPr>
        <w:t>x</w:t>
      </w:r>
    </w:p>
    <w:p>
      <w:pPr>
        <w:spacing w:after="0" w:line="179" w:lineRule="exact"/>
        <w:rPr>
          <w:sz w:val="24"/>
          <w:szCs w:val="24"/>
          <w:color w:val="auto"/>
        </w:rPr>
      </w:pPr>
    </w:p>
    <w:p>
      <w:pPr>
        <w:spacing w:after="0"/>
        <w:rPr>
          <w:sz w:val="20"/>
          <w:szCs w:val="20"/>
          <w:color w:val="auto"/>
        </w:rPr>
      </w:pPr>
      <w:r>
        <w:rPr>
          <w:rFonts w:ascii="Verdana" w:cs="Verdana" w:eastAsia="Verdana" w:hAnsi="Verdana"/>
          <w:sz w:val="13"/>
          <w:szCs w:val="13"/>
          <w:color w:val="auto"/>
        </w:rPr>
        <w:t>As of April 27, 2023, there were 35,368,825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807720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42" w:right="31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78"/>
        </w:trPr>
        <w:tc>
          <w:tcPr>
            <w:tcW w:w="9360" w:type="dxa"/>
            <w:vAlign w:val="bottom"/>
            <w:gridSpan w:val="23"/>
          </w:tcPr>
          <w:p>
            <w:pPr>
              <w:spacing w:after="0"/>
              <w:rPr>
                <w:sz w:val="20"/>
                <w:szCs w:val="20"/>
                <w:color w:val="auto"/>
              </w:rPr>
            </w:pPr>
            <w:r>
              <w:rPr>
                <w:rFonts w:ascii="Arial" w:cs="Arial" w:eastAsia="Arial" w:hAnsi="Arial"/>
                <w:sz w:val="14"/>
                <w:szCs w:val="14"/>
                <w:b w:val="1"/>
                <w:bCs w:val="1"/>
                <w:color w:val="0000FF"/>
              </w:rPr>
              <w:t>Part I. Financial Information</w:t>
            </w: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8560" w:type="dxa"/>
            <w:vAlign w:val="bottom"/>
            <w:gridSpan w:val="19"/>
          </w:tcPr>
          <w:p>
            <w:pPr>
              <w:spacing w:after="0"/>
              <w:rPr>
                <w:sz w:val="20"/>
                <w:szCs w:val="20"/>
                <w:color w:val="auto"/>
              </w:rPr>
            </w:pPr>
            <w:r>
              <w:rPr>
                <w:rFonts w:ascii="Arial" w:cs="Arial" w:eastAsia="Arial" w:hAnsi="Arial"/>
                <w:sz w:val="14"/>
                <w:szCs w:val="14"/>
                <w:color w:val="0000FF"/>
              </w:rPr>
              <w:t>Financial Statements (unaudited)</w:t>
            </w: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Arial" w:cs="Arial" w:eastAsia="Arial" w:hAnsi="Arial"/>
                <w:sz w:val="14"/>
                <w:szCs w:val="14"/>
                <w:color w:val="0000FF"/>
              </w:rPr>
              <w:t>Condensed Consolidated Balance Sheets as of March 31, 2023 and December 31, 2022</w:t>
            </w: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Loss for the Three Months Ended March 31, 2023 and 2022</w:t>
            </w:r>
          </w:p>
        </w:tc>
        <w:tc>
          <w:tcPr>
            <w:tcW w:w="16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Comprehensive Loss for the Three Months Ended March 31, 2023 and 2022</w:t>
            </w: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4"/>
                <w:szCs w:val="14"/>
                <w:color w:val="0000FF"/>
              </w:rPr>
              <w:t>Condensed Consolidated Statements of Stockholders' Equity for the Three Months Ended March 31, 2023 and 2022</w:t>
            </w:r>
          </w:p>
        </w:tc>
        <w:tc>
          <w:tcPr>
            <w:tcW w:w="40" w:type="dxa"/>
            <w:vAlign w:val="bottom"/>
            <w:tcBorders>
              <w:top w:val="single" w:sz="8" w:color="0000FF"/>
            </w:tcBorders>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Cash Flows for the Three Months Ended March 31, 2023 and 2022</w:t>
            </w: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560" w:type="dxa"/>
            <w:vAlign w:val="bottom"/>
            <w:tcBorders>
              <w:top w:val="single" w:sz="8" w:color="0000FF"/>
            </w:tcBorders>
            <w:gridSpan w:val="4"/>
          </w:tcPr>
          <w:p>
            <w:pPr>
              <w:spacing w:after="0"/>
              <w:rPr>
                <w:sz w:val="17"/>
                <w:szCs w:val="17"/>
                <w:color w:val="auto"/>
              </w:rPr>
            </w:pPr>
          </w:p>
        </w:tc>
        <w:tc>
          <w:tcPr>
            <w:tcW w:w="1720" w:type="dxa"/>
            <w:vAlign w:val="bottom"/>
            <w:gridSpan w:val="3"/>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2.</w:t>
            </w:r>
          </w:p>
        </w:tc>
        <w:tc>
          <w:tcPr>
            <w:tcW w:w="856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6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3.</w:t>
            </w:r>
          </w:p>
        </w:tc>
        <w:tc>
          <w:tcPr>
            <w:tcW w:w="856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6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856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16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60" w:type="dxa"/>
            <w:vAlign w:val="bottom"/>
            <w:gridSpan w:val="23"/>
          </w:tcPr>
          <w:p>
            <w:pPr>
              <w:spacing w:after="0"/>
              <w:rPr>
                <w:sz w:val="20"/>
                <w:szCs w:val="20"/>
                <w:color w:val="auto"/>
              </w:rPr>
            </w:pPr>
            <w:r>
              <w:rPr>
                <w:rFonts w:ascii="Arial" w:cs="Arial" w:eastAsia="Arial" w:hAnsi="Arial"/>
                <w:sz w:val="14"/>
                <w:szCs w:val="14"/>
                <w:b w:val="1"/>
                <w:bCs w:val="1"/>
                <w:color w:val="0000FF"/>
              </w:rPr>
              <w:t>Part II. Other Information</w:t>
            </w:r>
          </w:p>
        </w:tc>
        <w:tc>
          <w:tcPr>
            <w:tcW w:w="16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Item 1.</w:t>
            </w:r>
          </w:p>
        </w:tc>
        <w:tc>
          <w:tcPr>
            <w:tcW w:w="260" w:type="dxa"/>
            <w:vAlign w:val="bottom"/>
            <w:gridSpan w:val="2"/>
          </w:tcPr>
          <w:p>
            <w:pPr>
              <w:spacing w:after="0"/>
              <w:rPr>
                <w:sz w:val="17"/>
                <w:szCs w:val="17"/>
                <w:color w:val="auto"/>
              </w:rPr>
            </w:pPr>
          </w:p>
        </w:tc>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Legal Proceedings</w:t>
            </w:r>
          </w:p>
        </w:tc>
        <w:tc>
          <w:tcPr>
            <w:tcW w:w="7360" w:type="dxa"/>
            <w:vAlign w:val="bottom"/>
            <w:gridSpan w:val="13"/>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8560" w:type="dxa"/>
            <w:vAlign w:val="bottom"/>
            <w:gridSpan w:val="19"/>
          </w:tcPr>
          <w:p>
            <w:pPr>
              <w:spacing w:after="0"/>
              <w:rPr>
                <w:sz w:val="20"/>
                <w:szCs w:val="20"/>
                <w:color w:val="auto"/>
              </w:rPr>
            </w:pPr>
            <w:r>
              <w:rPr>
                <w:rFonts w:ascii="Arial" w:cs="Arial" w:eastAsia="Arial" w:hAnsi="Arial"/>
                <w:sz w:val="14"/>
                <w:szCs w:val="14"/>
                <w:color w:val="0000FF"/>
              </w:rPr>
              <w:t>Risk Factors</w:t>
            </w:r>
          </w:p>
        </w:tc>
        <w:tc>
          <w:tcPr>
            <w:tcW w:w="16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6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96"/>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Item 3.</w:t>
            </w:r>
          </w:p>
        </w:tc>
        <w:tc>
          <w:tcPr>
            <w:tcW w:w="100" w:type="dxa"/>
            <w:vAlign w:val="bottom"/>
          </w:tcPr>
          <w:p>
            <w:pPr>
              <w:spacing w:after="0"/>
              <w:rPr>
                <w:sz w:val="17"/>
                <w:szCs w:val="17"/>
                <w:color w:val="auto"/>
              </w:rPr>
            </w:pPr>
          </w:p>
        </w:tc>
        <w:tc>
          <w:tcPr>
            <w:tcW w:w="388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Defaults Upon Senior Securities</w:t>
            </w:r>
          </w:p>
        </w:tc>
        <w:tc>
          <w:tcPr>
            <w:tcW w:w="4680" w:type="dxa"/>
            <w:vAlign w:val="bottom"/>
            <w:gridSpan w:val="8"/>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520" w:type="dxa"/>
            <w:vAlign w:val="bottom"/>
            <w:gridSpan w:val="1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8560" w:type="dxa"/>
            <w:vAlign w:val="bottom"/>
            <w:gridSpan w:val="19"/>
          </w:tcPr>
          <w:p>
            <w:pPr>
              <w:spacing w:after="0"/>
              <w:rPr>
                <w:sz w:val="20"/>
                <w:szCs w:val="20"/>
                <w:color w:val="auto"/>
              </w:rPr>
            </w:pPr>
            <w:r>
              <w:rPr>
                <w:rFonts w:ascii="Arial" w:cs="Arial" w:eastAsia="Arial" w:hAnsi="Arial"/>
                <w:sz w:val="14"/>
                <w:szCs w:val="14"/>
                <w:color w:val="0000FF"/>
              </w:rPr>
              <w:t>Mine Safety Disclosures</w:t>
            </w:r>
          </w:p>
        </w:tc>
        <w:tc>
          <w:tcPr>
            <w:tcW w:w="160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8560" w:type="dxa"/>
            <w:vAlign w:val="bottom"/>
            <w:gridSpan w:val="19"/>
          </w:tcPr>
          <w:p>
            <w:pPr>
              <w:spacing w:after="0"/>
              <w:rPr>
                <w:sz w:val="20"/>
                <w:szCs w:val="20"/>
                <w:color w:val="auto"/>
              </w:rPr>
            </w:pPr>
            <w:r>
              <w:rPr>
                <w:rFonts w:ascii="Arial" w:cs="Arial" w:eastAsia="Arial" w:hAnsi="Arial"/>
                <w:sz w:val="14"/>
                <w:szCs w:val="14"/>
                <w:color w:val="0000FF"/>
              </w:rPr>
              <w:t>Other Information</w:t>
            </w:r>
          </w:p>
        </w:tc>
        <w:tc>
          <w:tcPr>
            <w:tcW w:w="160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7440" w:type="dxa"/>
            <w:vAlign w:val="bottom"/>
            <w:gridSpan w:val="1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8560" w:type="dxa"/>
            <w:vAlign w:val="bottom"/>
            <w:gridSpan w:val="19"/>
          </w:tcPr>
          <w:p>
            <w:pPr>
              <w:spacing w:after="0"/>
              <w:rPr>
                <w:sz w:val="20"/>
                <w:szCs w:val="20"/>
                <w:color w:val="auto"/>
              </w:rPr>
            </w:pPr>
            <w:r>
              <w:rPr>
                <w:rFonts w:ascii="Arial" w:cs="Arial" w:eastAsia="Arial" w:hAnsi="Arial"/>
                <w:sz w:val="14"/>
                <w:szCs w:val="14"/>
                <w:color w:val="0000FF"/>
              </w:rPr>
              <w:t>Exhibits</w:t>
            </w:r>
          </w:p>
        </w:tc>
        <w:tc>
          <w:tcPr>
            <w:tcW w:w="160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Signatures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Verdana" w:cs="Verdana" w:eastAsia="Verdana" w:hAnsi="Verdana"/>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 w:right="479" w:bottom="1440" w:gutter="0" w:footer="0" w:header="0"/>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2"/>
          </w:tcPr>
          <w:p>
            <w:pPr>
              <w:ind w:left="220"/>
              <w:spacing w:after="0" w:line="155" w:lineRule="exact"/>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3"/>
                <w:szCs w:val="13"/>
                <w:color w:val="auto"/>
              </w:rPr>
            </w:pPr>
          </w:p>
        </w:tc>
        <w:tc>
          <w:tcPr>
            <w:tcW w:w="1620" w:type="dxa"/>
            <w:vAlign w:val="bottom"/>
          </w:tcPr>
          <w:p>
            <w:pPr>
              <w:jc w:val="right"/>
              <w:ind w:right="359"/>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37,423</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32,426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30,728</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 of allowance of $310 and $250</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81,112</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Equity method investment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11,063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11,897</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3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107,293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115,516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1,215</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28,839</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financing arrangements, current</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43,669</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22,270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21,840</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Vendor financing arrangements, noncurrent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noncurrent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9,993</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77,981</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tcPr>
          <w:p>
            <w:pPr>
              <w:ind w:left="140"/>
              <w:spacing w:after="0" w:line="162" w:lineRule="exact"/>
              <w:rPr>
                <w:sz w:val="20"/>
                <w:szCs w:val="20"/>
                <w:color w:val="auto"/>
              </w:rPr>
            </w:pPr>
            <w:r>
              <w:rPr>
                <w:rFonts w:ascii="Arial" w:cs="Arial" w:eastAsia="Arial" w:hAnsi="Arial"/>
                <w:sz w:val="16"/>
                <w:szCs w:val="16"/>
                <w:color w:val="auto"/>
              </w:rPr>
              <w:t>Preferred stock, par value of $0.001 - 10,000,000 shares authorized and no shares issued and</w:t>
            </w:r>
          </w:p>
        </w:tc>
        <w:tc>
          <w:tcPr>
            <w:tcW w:w="320" w:type="dxa"/>
            <w:vAlign w:val="bottom"/>
          </w:tcPr>
          <w:p>
            <w:pPr>
              <w:spacing w:after="0"/>
              <w:rPr>
                <w:sz w:val="14"/>
                <w:szCs w:val="14"/>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outstanding as of March 31, 2023 and December 31, 2022, respectively</w:t>
            </w:r>
          </w:p>
        </w:tc>
        <w:tc>
          <w:tcPr>
            <w:tcW w:w="3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3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par value of $0.001 - 300,000,000 shares authorized as of March 31, 2023 and</w:t>
            </w:r>
          </w:p>
        </w:tc>
        <w:tc>
          <w:tcPr>
            <w:tcW w:w="3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December 31, 2022; 35,298,223 and 34,625,875 shares issued and outstanding as of March 31,</w:t>
            </w:r>
          </w:p>
        </w:tc>
        <w:tc>
          <w:tcPr>
            <w:tcW w:w="3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 and December 31, 2022, respectively</w:t>
            </w:r>
          </w:p>
        </w:tc>
        <w:tc>
          <w:tcPr>
            <w:tcW w:w="3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107,009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103,778</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(75,388)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31,768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107,293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115,516</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Condensed Consolidated Statements of Loss</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53" w:lineRule="exact"/>
        <w:rPr>
          <w:sz w:val="20"/>
          <w:szCs w:val="20"/>
          <w:color w:val="auto"/>
        </w:rPr>
      </w:pPr>
    </w:p>
    <w:p>
      <w:pPr>
        <w:jc w:val="center"/>
        <w:ind w:left="7320"/>
        <w:spacing w:after="0"/>
        <w:rPr>
          <w:sz w:val="20"/>
          <w:szCs w:val="20"/>
          <w:color w:val="auto"/>
        </w:rPr>
      </w:pPr>
      <w:r>
        <w:rPr>
          <w:rFonts w:ascii="Arial" w:cs="Arial" w:eastAsia="Arial" w:hAnsi="Arial"/>
          <w:sz w:val="16"/>
          <w:szCs w:val="16"/>
          <w:b w:val="1"/>
          <w:bCs w:val="1"/>
          <w:color w:val="auto"/>
        </w:rPr>
        <w:t>Three Months Ended</w:t>
      </w:r>
    </w:p>
    <w:p>
      <w:pPr>
        <w:jc w:val="center"/>
        <w:ind w:left="73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r>
      <w:tr>
        <w:trPr>
          <w:trHeight w:val="34"/>
        </w:trPr>
        <w:tc>
          <w:tcPr>
            <w:tcW w:w="7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Licensing, support and maintenance</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11,844</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10,575</w:t>
            </w: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royalties and other</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11,755</w:t>
            </w: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0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10,776</w:t>
            </w:r>
          </w:p>
        </w:tc>
      </w:tr>
      <w:tr>
        <w:trPr>
          <w:trHeight w:val="19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11,381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9,456</w:t>
            </w: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w:t>
            </w: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General and administrative</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w:t>
            </w: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17,392</w:t>
            </w: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(6,616)</w:t>
            </w: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income (expense), net</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 and loss from equity method investment</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(6,697)</w:t>
            </w: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Loss from equity method investment, net of tax</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0"/>
        </w:trPr>
        <w:tc>
          <w:tcPr>
            <w:tcW w:w="7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(6,820)</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used in computing per share amounts, basic and diluted</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34,597,839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31,619,706</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53" w:lineRule="exact"/>
        <w:rPr>
          <w:sz w:val="20"/>
          <w:szCs w:val="20"/>
          <w:color w:val="auto"/>
        </w:rPr>
      </w:pPr>
    </w:p>
    <w:p>
      <w:pPr>
        <w:jc w:val="center"/>
        <w:ind w:left="7320"/>
        <w:spacing w:after="0"/>
        <w:rPr>
          <w:sz w:val="20"/>
          <w:szCs w:val="20"/>
          <w:color w:val="auto"/>
        </w:rPr>
      </w:pPr>
      <w:r>
        <w:rPr>
          <w:rFonts w:ascii="Arial" w:cs="Arial" w:eastAsia="Arial" w:hAnsi="Arial"/>
          <w:sz w:val="16"/>
          <w:szCs w:val="16"/>
          <w:b w:val="1"/>
          <w:bCs w:val="1"/>
          <w:color w:val="auto"/>
        </w:rPr>
        <w:t>Three Months Ended</w:t>
      </w:r>
    </w:p>
    <w:p>
      <w:pPr>
        <w:jc w:val="center"/>
        <w:ind w:left="73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r>
      <w:tr>
        <w:trPr>
          <w:trHeight w:val="34"/>
        </w:trPr>
        <w:tc>
          <w:tcPr>
            <w:tcW w:w="7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(6,820)</w:t>
            </w: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on available-for-sale securities, net of tax</w:t>
            </w:r>
          </w:p>
        </w:tc>
        <w:tc>
          <w:tcPr>
            <w:tcW w:w="1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(6,820)</w:t>
            </w:r>
          </w:p>
        </w:tc>
      </w:tr>
      <w:tr>
        <w:trPr>
          <w:trHeight w:val="21"/>
        </w:trPr>
        <w:tc>
          <w:tcPr>
            <w:tcW w:w="7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34,625,875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w w:val="95"/>
              </w:rPr>
              <w:t>$ 103,778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cash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397,697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(2,498)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gains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w:t>
            </w:r>
          </w:p>
        </w:tc>
        <w:tc>
          <w:tcPr>
            <w:tcW w:w="0" w:type="dxa"/>
            <w:vAlign w:val="bottom"/>
          </w:tcPr>
          <w:p>
            <w:pPr>
              <w:spacing w:after="0"/>
              <w:rPr>
                <w:sz w:val="1"/>
                <w:szCs w:val="1"/>
                <w:color w:val="auto"/>
              </w:rPr>
            </w:pPr>
          </w:p>
        </w:tc>
      </w:tr>
      <w:tr>
        <w:trPr>
          <w:trHeight w:val="210"/>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BALANCE—March 31, 2023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35,298,223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 xml:space="preserve"> 107,009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(75,388)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31,768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2021</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31,530,682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52,904</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for cash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125,010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(63,965)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7"/>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15"/>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(6,820)</w:t>
            </w:r>
          </w:p>
        </w:tc>
        <w:tc>
          <w:tcPr>
            <w:tcW w:w="0" w:type="dxa"/>
            <w:vAlign w:val="bottom"/>
          </w:tcPr>
          <w:p>
            <w:pPr>
              <w:spacing w:after="0"/>
              <w:rPr>
                <w:sz w:val="1"/>
                <w:szCs w:val="1"/>
                <w:color w:val="auto"/>
              </w:rPr>
            </w:pPr>
          </w:p>
        </w:tc>
      </w:tr>
      <w:tr>
        <w:trPr>
          <w:trHeight w:val="235"/>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BALANCE—March 31, 2022</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31,858,420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93,520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47,659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3"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Three Months Ended</w:t>
      </w:r>
    </w:p>
    <w:p>
      <w:pPr>
        <w:jc w:val="center"/>
        <w:ind w:left="740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19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74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(9,010)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(6,820)</w:t>
            </w:r>
          </w:p>
        </w:tc>
      </w:tr>
      <w:tr>
        <w:trPr>
          <w:trHeight w:val="217"/>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4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7"/>
        </w:trPr>
        <w:tc>
          <w:tcPr>
            <w:tcW w:w="7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r>
      <w:tr>
        <w:trPr>
          <w:trHeight w:val="215"/>
        </w:trPr>
        <w:tc>
          <w:tcPr>
            <w:tcW w:w="7420" w:type="dxa"/>
            <w:vAlign w:val="bottom"/>
          </w:tcPr>
          <w:p>
            <w:pPr>
              <w:ind w:left="360"/>
              <w:spacing w:after="0"/>
              <w:rPr>
                <w:sz w:val="20"/>
                <w:szCs w:val="20"/>
                <w:color w:val="auto"/>
              </w:rPr>
            </w:pPr>
            <w:r>
              <w:rPr>
                <w:rFonts w:ascii="Arial" w:cs="Arial" w:eastAsia="Arial" w:hAnsi="Arial"/>
                <w:sz w:val="16"/>
                <w:szCs w:val="16"/>
                <w:color w:val="auto"/>
              </w:rPr>
              <w:t>Operating non-cash lease expense</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7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deferred income</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360"/>
              <w:spacing w:after="0"/>
              <w:rPr>
                <w:sz w:val="20"/>
                <w:szCs w:val="20"/>
                <w:color w:val="auto"/>
              </w:rPr>
            </w:pPr>
            <w:r>
              <w:rPr>
                <w:rFonts w:ascii="Arial" w:cs="Arial" w:eastAsia="Arial" w:hAnsi="Arial"/>
                <w:sz w:val="16"/>
                <w:szCs w:val="16"/>
                <w:color w:val="auto"/>
              </w:rPr>
              <w:t>Loss from equity method investment</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accretion of discounts on available-for-sale securities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5,674</w:t>
            </w:r>
          </w:p>
        </w:tc>
      </w:tr>
      <w:tr>
        <w:trPr>
          <w:trHeight w:val="215"/>
        </w:trPr>
        <w:tc>
          <w:tcPr>
            <w:tcW w:w="742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7"/>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5"/>
        </w:trPr>
        <w:tc>
          <w:tcPr>
            <w:tcW w:w="7420" w:type="dxa"/>
            <w:vAlign w:val="bottom"/>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(1,370)</w:t>
            </w:r>
          </w:p>
        </w:tc>
      </w:tr>
      <w:tr>
        <w:trPr>
          <w:trHeight w:val="217"/>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1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09"/>
        </w:trPr>
        <w:tc>
          <w:tcPr>
            <w:tcW w:w="74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used in operating activities</w:t>
            </w: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w:t>
            </w:r>
          </w:p>
        </w:tc>
      </w:tr>
      <w:tr>
        <w:trPr>
          <w:trHeight w:val="19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available-for-sale securities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maturities of available-for-sale securities</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deferred transaction costs relating to investment in Transchip</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9"/>
        </w:trPr>
        <w:tc>
          <w:tcPr>
            <w:tcW w:w="74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1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19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Payments of contingent consideration for business combination</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(1,573)</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under vendor financing arrangements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to tax authorities for shares withheld from employees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Payments of deferred offering costs</w:t>
            </w:r>
          </w:p>
        </w:tc>
        <w:tc>
          <w:tcPr>
            <w:tcW w:w="12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0"/>
        </w:trPr>
        <w:tc>
          <w:tcPr>
            <w:tcW w:w="7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(3,589)</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85,825</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82,236</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8"/>
        </w:trPr>
        <w:tc>
          <w:tcPr>
            <w:tcW w:w="7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exchanged for lease obligations</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Purchase of property and equipment through vendor financing</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Unpaid deferred transaction costs relating to investment in Transchip</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pacing w:after="0" w:line="18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2022 and the related notes included in the Company’s Form 10-K filed on February 28, 2023 (2022 Form 10-K) with the U.S. Securities and Exchange Commission (SEC). The December 31, 2022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w:t>
      </w:r>
    </w:p>
    <w:p>
      <w:pPr>
        <w:spacing w:after="0" w:line="12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operating results for the three months ended March 31, 2023 are not necessarily indicative of the results to be expected for the full year or any other future interim or annual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unaudited condensed consolidated financial statements include the accounts of Arteris, Inc. and its wholly-owned subsidiaries. All intercompany transactions and accounts have been eliminated.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84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r>
      <w:tr>
        <w:trPr>
          <w:trHeight w:val="147"/>
        </w:trPr>
        <w:tc>
          <w:tcPr>
            <w:tcW w:w="7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center"/>
              <w:ind w:left="368"/>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308"/>
              <w:spacing w:after="0" w:line="147"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2"/>
                <w:szCs w:val="12"/>
                <w:color w:val="auto"/>
              </w:rPr>
            </w:pPr>
          </w:p>
        </w:tc>
      </w:tr>
      <w:tr>
        <w:trPr>
          <w:trHeight w:val="185"/>
        </w:trPr>
        <w:tc>
          <w:tcPr>
            <w:tcW w:w="8880" w:type="dxa"/>
            <w:vAlign w:val="bottom"/>
            <w:gridSpan w:val="3"/>
          </w:tcPr>
          <w:p>
            <w:pPr>
              <w:jc w:val="center"/>
              <w:ind w:left="7926"/>
              <w:spacing w:after="0"/>
              <w:rPr>
                <w:sz w:val="20"/>
                <w:szCs w:val="20"/>
                <w:color w:val="auto"/>
              </w:rPr>
            </w:pPr>
            <w:r>
              <w:rPr>
                <w:rFonts w:ascii="Arial" w:cs="Arial" w:eastAsia="Arial" w:hAnsi="Arial"/>
                <w:sz w:val="14"/>
                <w:szCs w:val="14"/>
                <w:b w:val="1"/>
                <w:bCs w:val="1"/>
                <w:color w:val="auto"/>
              </w:rPr>
              <w:t>2023</w:t>
            </w:r>
          </w:p>
        </w:tc>
        <w:tc>
          <w:tcPr>
            <w:tcW w:w="1960" w:type="dxa"/>
            <w:vAlign w:val="bottom"/>
            <w:gridSpan w:val="3"/>
          </w:tcPr>
          <w:p>
            <w:pPr>
              <w:jc w:val="center"/>
              <w:ind w:left="888"/>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r>
      <w:tr>
        <w:trPr>
          <w:trHeight w:val="19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8"/>
        </w:trPr>
        <w:tc>
          <w:tcPr>
            <w:tcW w:w="8880" w:type="dxa"/>
            <w:vAlign w:val="bottom"/>
            <w:gridSpan w:val="3"/>
          </w:tcPr>
          <w:p>
            <w:pPr>
              <w:ind w:left="20"/>
              <w:spacing w:after="0"/>
              <w:rPr>
                <w:sz w:val="20"/>
                <w:szCs w:val="20"/>
                <w:color w:val="auto"/>
              </w:rPr>
            </w:pPr>
            <w:r>
              <w:rPr>
                <w:rFonts w:ascii="Arial" w:cs="Arial" w:eastAsia="Arial" w:hAnsi="Arial"/>
                <w:sz w:val="14"/>
                <w:szCs w:val="14"/>
                <w:color w:val="auto"/>
              </w:rPr>
              <w:t>Customer B</w:t>
            </w:r>
          </w:p>
        </w:tc>
        <w:tc>
          <w:tcPr>
            <w:tcW w:w="46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7"/>
        </w:trPr>
        <w:tc>
          <w:tcPr>
            <w:tcW w:w="8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1960" w:type="dxa"/>
            <w:vAlign w:val="bottom"/>
            <w:gridSpan w:val="3"/>
            <w:shd w:val="clear" w:color="auto" w:fill="CCEEFF"/>
          </w:tcPr>
          <w:p>
            <w:pPr>
              <w:jc w:val="right"/>
              <w:ind w:right="1448"/>
              <w:spacing w:after="0"/>
              <w:rPr>
                <w:sz w:val="20"/>
                <w:szCs w:val="20"/>
                <w:color w:val="auto"/>
              </w:rPr>
            </w:pPr>
            <w:r>
              <w:rPr>
                <w:rFonts w:ascii="Arial" w:cs="Arial" w:eastAsia="Arial" w:hAnsi="Arial"/>
                <w:sz w:val="14"/>
                <w:szCs w:val="14"/>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r>
      <w:tr>
        <w:trPr>
          <w:trHeight w:val="477"/>
        </w:trPr>
        <w:tc>
          <w:tcPr>
            <w:tcW w:w="8880" w:type="dxa"/>
            <w:vAlign w:val="bottom"/>
            <w:gridSpan w:val="3"/>
          </w:tcPr>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88"/>
        </w:trPr>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24"/>
                <w:szCs w:val="24"/>
                <w:color w:val="auto"/>
              </w:rPr>
            </w:pPr>
          </w:p>
        </w:tc>
      </w:tr>
      <w:tr>
        <w:trPr>
          <w:trHeight w:val="189"/>
        </w:trPr>
        <w:tc>
          <w:tcPr>
            <w:tcW w:w="7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868"/>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6"/>
                <w:szCs w:val="16"/>
                <w:color w:val="auto"/>
              </w:rPr>
            </w:pPr>
          </w:p>
        </w:tc>
      </w:tr>
      <w:tr>
        <w:trPr>
          <w:trHeight w:val="195"/>
        </w:trPr>
        <w:tc>
          <w:tcPr>
            <w:tcW w:w="8880" w:type="dxa"/>
            <w:vAlign w:val="bottom"/>
            <w:gridSpan w:val="3"/>
          </w:tcPr>
          <w:p>
            <w:pPr>
              <w:jc w:val="center"/>
              <w:ind w:left="7966"/>
              <w:spacing w:after="0"/>
              <w:rPr>
                <w:sz w:val="20"/>
                <w:szCs w:val="20"/>
                <w:color w:val="auto"/>
              </w:rPr>
            </w:pPr>
            <w:r>
              <w:rPr>
                <w:rFonts w:ascii="Arial" w:cs="Arial" w:eastAsia="Arial" w:hAnsi="Arial"/>
                <w:sz w:val="14"/>
                <w:szCs w:val="14"/>
                <w:b w:val="1"/>
                <w:bCs w:val="1"/>
                <w:color w:val="auto"/>
              </w:rPr>
              <w:t>2023</w:t>
            </w:r>
          </w:p>
        </w:tc>
        <w:tc>
          <w:tcPr>
            <w:tcW w:w="1960" w:type="dxa"/>
            <w:vAlign w:val="bottom"/>
            <w:gridSpan w:val="3"/>
          </w:tcPr>
          <w:p>
            <w:pPr>
              <w:jc w:val="center"/>
              <w:ind w:left="888"/>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r>
      <w:tr>
        <w:trPr>
          <w:trHeight w:val="197"/>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Customer D</w:t>
            </w:r>
          </w:p>
        </w:tc>
        <w:tc>
          <w:tcPr>
            <w:tcW w:w="1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195"/>
        </w:trPr>
        <w:tc>
          <w:tcPr>
            <w:tcW w:w="8880" w:type="dxa"/>
            <w:vAlign w:val="bottom"/>
            <w:gridSpan w:val="3"/>
          </w:tcPr>
          <w:p>
            <w:pPr>
              <w:ind w:left="20"/>
              <w:spacing w:after="0"/>
              <w:rPr>
                <w:sz w:val="20"/>
                <w:szCs w:val="20"/>
                <w:color w:val="auto"/>
              </w:rPr>
            </w:pPr>
            <w:r>
              <w:rPr>
                <w:rFonts w:ascii="Arial" w:cs="Arial" w:eastAsia="Arial" w:hAnsi="Arial"/>
                <w:sz w:val="14"/>
                <w:szCs w:val="14"/>
                <w:color w:val="auto"/>
              </w:rPr>
              <w:t>Customer C</w:t>
            </w:r>
          </w:p>
        </w:tc>
        <w:tc>
          <w:tcPr>
            <w:tcW w:w="46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significant changes to the Company’s significant accounting policies during the three months ended March 31, 2023 from those disclosed in the annual consolidated financial statements for the year ended December 31,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in May 2019 issued ASU No.</w:t>
      </w:r>
      <w:r>
        <w:rPr>
          <w:rFonts w:ascii="Arial" w:cs="Arial" w:eastAsia="Arial" w:hAnsi="Arial"/>
          <w:sz w:val="18"/>
          <w:szCs w:val="18"/>
          <w:i w:val="1"/>
          <w:iCs w:val="1"/>
          <w:color w:val="auto"/>
        </w:rPr>
        <w:t xml:space="preserve"> 2019-05, Credit Losses (Topic 326): Targeted Transition Relief </w:t>
      </w:r>
      <w:r>
        <w:rPr>
          <w:rFonts w:ascii="Arial" w:cs="Arial" w:eastAsia="Arial" w:hAnsi="Arial"/>
          <w:sz w:val="18"/>
          <w:szCs w:val="18"/>
          <w:color w:val="auto"/>
        </w:rPr>
        <w:t>(collectively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as Topic </w:t>
      </w:r>
      <w:r>
        <w:rPr>
          <w:rFonts w:ascii="Arial" w:cs="Arial" w:eastAsia="Arial" w:hAnsi="Arial"/>
          <w:sz w:val="18"/>
          <w:szCs w:val="18"/>
          <w:i w:val="1"/>
          <w:iCs w:val="1"/>
          <w:color w:val="auto"/>
        </w:rPr>
        <w:t>326</w:t>
      </w:r>
      <w:r>
        <w:rPr>
          <w:rFonts w:ascii="Arial" w:cs="Arial" w:eastAsia="Arial" w:hAnsi="Arial"/>
          <w:sz w:val="18"/>
          <w:szCs w:val="18"/>
          <w:color w:val="auto"/>
        </w:rPr>
        <w:t>), which requires the measurement and recognition of expected credit losses for financial assets held at amortized cost. Topic 326 replaces the existing incurred loss impairment model with a forward-looking expected credit loss model which will result in earlier recognition of credit losses. Topic 326 is effective for the Company for fiscal years beginning after December 15, 2022, and interim periods within those fiscal years. The adoption of the new guidance did not have a material impact on the Company’s consolidated financial statements and related disclosures.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2022, the FASB issued ASU 2022-04, </w:t>
      </w:r>
      <w:r>
        <w:rPr>
          <w:rFonts w:ascii="Arial" w:cs="Arial" w:eastAsia="Arial" w:hAnsi="Arial"/>
          <w:sz w:val="18"/>
          <w:szCs w:val="18"/>
          <w:i w:val="1"/>
          <w:iCs w:val="1"/>
          <w:color w:val="auto"/>
        </w:rPr>
        <w:t>Liabilities - Supplier Finance Programs (Subtopic 405-50): Disclosure of Supplier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Finance Program Obligations</w:t>
      </w:r>
      <w:r>
        <w:rPr>
          <w:rFonts w:ascii="Arial" w:cs="Arial" w:eastAsia="Arial" w:hAnsi="Arial"/>
          <w:sz w:val="18"/>
          <w:szCs w:val="18"/>
          <w:color w:val="auto"/>
        </w:rPr>
        <w:t>, which requires a buyer in a supplier finance program to disclose sufficient information about the program to</w:t>
      </w:r>
      <w:r>
        <w:rPr>
          <w:rFonts w:ascii="Arial" w:cs="Arial" w:eastAsia="Arial" w:hAnsi="Arial"/>
          <w:sz w:val="18"/>
          <w:szCs w:val="18"/>
          <w:i w:val="1"/>
          <w:iCs w:val="1"/>
          <w:color w:val="auto"/>
        </w:rPr>
        <w:t xml:space="preserve"> </w:t>
      </w:r>
      <w:r>
        <w:rPr>
          <w:rFonts w:ascii="Arial" w:cs="Arial" w:eastAsia="Arial" w:hAnsi="Arial"/>
          <w:sz w:val="18"/>
          <w:szCs w:val="18"/>
          <w:color w:val="auto"/>
        </w:rPr>
        <w:t>allow a user of financial statements to understand the program's nature, activity during the period, changes from period to period, and potential magnitude. To achieve that objective, the buyer should disclose qualitative and quantitative information about its supplier finance programs. The amendments in this update do not affect the recognition, measurement, or financial statement presentation of obligations covered by supplier finance program. The guidance is effective for fiscal years beginning after December 15, 2022, except for the amendment on rollforward information which is effective for fiscal years beginning after December 15, 2023, with early adoption permitted. The Company considered key terms of the current vendor financing arrangements and concluded that the current vendor financing arrangements did not have any of the characteristics which would require additional disclosures. As a result, the adoption of the new guidance did not have an impact on the Company’s consolidated financial statements and related disclosures. See Note 10 for disclosures on the Company’s vendor financing arrangements.</w:t>
      </w:r>
    </w:p>
    <w:p>
      <w:pPr>
        <w:spacing w:after="0" w:line="18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75"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10,575</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984</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11,755</w:t>
            </w:r>
          </w:p>
        </w:tc>
      </w:tr>
      <w:tr>
        <w:trPr>
          <w:trHeight w:val="25"/>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1,180</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50,679</w:t>
            </w: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recognized revenue of $8.6 million and $7.4 million for the three months ended March 31, 2023 and 2022, respectively, that was included in the deferred revenue balance at the beginning of the respective periods. Contract assets are included in prepaid expenses and other current assets and other assets on the condensed consolidated balance sheets.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2023, non-cancelable contracted but unsatisfied or partially satisfied performance obligations that have not yet been recognized, which includes deferred revenue and amounts that will be invoiced and recognized as revenues in future periods is $56.4 million, of which $29.7 million is expected to be recognized over the next 12 months and the remainder thereafter. The Company has elected to exclude the potential future royalty receipts from this amount.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7"/>
        </w:trPr>
        <w:tc>
          <w:tcPr>
            <w:tcW w:w="7740" w:type="dxa"/>
            <w:vAlign w:val="bottom"/>
          </w:tcPr>
          <w:p>
            <w:pPr>
              <w:spacing w:after="0"/>
              <w:rPr>
                <w:sz w:val="12"/>
                <w:szCs w:val="12"/>
                <w:color w:val="auto"/>
              </w:rPr>
            </w:pPr>
          </w:p>
        </w:tc>
        <w:tc>
          <w:tcPr>
            <w:tcW w:w="12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 capitalized in prepaid expenses and other current assets</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 capitalized in other assets</w:t>
            </w:r>
          </w:p>
        </w:tc>
        <w:tc>
          <w:tcPr>
            <w:tcW w:w="1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of capitalized sales commissions was $0.9 million and $0.7 million for the three months ended March 31, 2023 and 2022, respectively and are included in sales and marketing expense in the condensed consolidated statements of loss.</w:t>
      </w:r>
    </w:p>
    <w:p>
      <w:pPr>
        <w:spacing w:after="0" w:line="15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191"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8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9"/>
        </w:trPr>
        <w:tc>
          <w:tcPr>
            <w:tcW w:w="77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(9,010)</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(6,820)</w:t>
            </w: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34,597,839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31,619,706</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04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2040" w:type="dxa"/>
            <w:vAlign w:val="bottom"/>
            <w:gridSpan w:val="3"/>
          </w:tcPr>
          <w:p>
            <w:pPr>
              <w:ind w:left="340"/>
              <w:spacing w:after="0"/>
              <w:rPr>
                <w:sz w:val="20"/>
                <w:szCs w:val="20"/>
                <w:color w:val="auto"/>
              </w:rPr>
            </w:pPr>
            <w:r>
              <w:rPr>
                <w:rFonts w:ascii="Arial" w:cs="Arial" w:eastAsia="Arial" w:hAnsi="Arial"/>
                <w:sz w:val="14"/>
                <w:szCs w:val="14"/>
                <w:b w:val="1"/>
                <w:bCs w:val="1"/>
                <w:color w:val="auto"/>
              </w:rPr>
              <w:t>March 31, 2023</w:t>
            </w:r>
          </w:p>
        </w:tc>
        <w:tc>
          <w:tcPr>
            <w:tcW w:w="146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2022</w:t>
            </w:r>
          </w:p>
        </w:tc>
      </w:tr>
      <w:tr>
        <w:trPr>
          <w:trHeight w:val="197"/>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3,075,452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5,117,627</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6,143,289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3,943,138</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common shares issued for business combination (see Note 12)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331,574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9,550,315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9,060,765</w:t>
            </w:r>
          </w:p>
        </w:tc>
      </w:tr>
      <w:tr>
        <w:trPr>
          <w:trHeight w:val="25"/>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tables summarize the fair value and amortized cost of the Company’s cash equivalents and available-for-sale securities by major security type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As of March 31, 2023</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16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Gains/(Losses)</w:t>
            </w: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25,181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25,181</w:t>
            </w: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4,726</w:t>
            </w: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8,935</w:t>
            </w:r>
          </w:p>
        </w:tc>
        <w:tc>
          <w:tcPr>
            <w:tcW w:w="0" w:type="dxa"/>
            <w:vAlign w:val="bottom"/>
          </w:tcPr>
          <w:p>
            <w:pPr>
              <w:spacing w:after="0"/>
              <w:rPr>
                <w:sz w:val="1"/>
                <w:szCs w:val="1"/>
                <w:color w:val="auto"/>
              </w:rPr>
            </w:pP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60,065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Pr>
          <w:p>
            <w:pPr>
              <w:spacing w:after="0"/>
              <w:rPr>
                <w:sz w:val="17"/>
                <w:szCs w:val="17"/>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191"/>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30,428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6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30,428</w:t>
            </w:r>
          </w:p>
        </w:tc>
      </w:tr>
      <w:tr>
        <w:trPr>
          <w:trHeight w:val="22"/>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2,603</w:t>
            </w: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5,707</w:t>
            </w:r>
          </w:p>
        </w:tc>
      </w:tr>
      <w:tr>
        <w:trPr>
          <w:trHeight w:val="22"/>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18,468</w:t>
            </w: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8,377</w:t>
            </w:r>
          </w:p>
        </w:tc>
      </w:tr>
      <w:tr>
        <w:trPr>
          <w:trHeight w:val="21"/>
        </w:trPr>
        <w:tc>
          <w:tcPr>
            <w:tcW w:w="5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65,636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dates of the Company’s investments are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March 31, 2023</w:t>
            </w:r>
          </w:p>
        </w:tc>
      </w:tr>
      <w:tr>
        <w:trPr>
          <w:trHeight w:val="197"/>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57,607</w:t>
            </w:r>
          </w:p>
        </w:tc>
      </w:tr>
      <w:tr>
        <w:trPr>
          <w:trHeight w:val="198"/>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 years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w:t>
            </w:r>
          </w:p>
        </w:tc>
      </w:tr>
      <w:tr>
        <w:trPr>
          <w:trHeight w:val="221"/>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60,065</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7"/>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61,156</w:t>
            </w:r>
          </w:p>
        </w:tc>
      </w:tr>
      <w:tr>
        <w:trPr>
          <w:trHeight w:val="198"/>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 years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4,427</w:t>
            </w:r>
          </w:p>
        </w:tc>
      </w:tr>
      <w:tr>
        <w:trPr>
          <w:trHeight w:val="221"/>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65,583</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unrealized losses on available-for-sale securities have been in such position for less than one year as of March 31, 2023 and December 31, 2022. There were no credit losses of available-for-sale securities during the three months ended March 31, 2023.</w:t>
      </w:r>
    </w:p>
    <w:p>
      <w:pPr>
        <w:spacing w:after="0" w:line="15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Equity method investments, and certain non-financial assets, such as intangible assets are remeasured at fair value only if an impairment or observable price adjustment is recognized in the current period.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was $ 1.4 million and $1.7 million as of March 31, 2023 and December 31, 2022,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1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March 31, 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19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25,181</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25,181</w:t>
            </w: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25,181</w:t>
            </w: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25,181</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366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3,161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3,161</w:t>
            </w:r>
          </w:p>
        </w:tc>
      </w:tr>
      <w:tr>
        <w:trPr>
          <w:trHeight w:val="22"/>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9"/>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r>
      <w:tr>
        <w:trPr>
          <w:trHeight w:val="208"/>
        </w:trPr>
        <w:tc>
          <w:tcPr>
            <w:tcW w:w="366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16,359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16,359</w:t>
            </w:r>
          </w:p>
        </w:tc>
      </w:tr>
      <w:tr>
        <w:trPr>
          <w:trHeight w:val="22"/>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8,935</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8,935</w:t>
            </w: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32,426</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32,426</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36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22"/>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1,703</w:t>
            </w: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2,458</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25,181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December 31, 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08"/>
        </w:trPr>
        <w:tc>
          <w:tcPr>
            <w:tcW w:w="366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30,428</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30,428</w:t>
            </w: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30,428</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30,428</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366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2,603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2,603</w:t>
            </w:r>
          </w:p>
        </w:tc>
      </w:tr>
      <w:tr>
        <w:trPr>
          <w:trHeight w:val="22"/>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r>
      <w:tr>
        <w:trPr>
          <w:trHeight w:val="208"/>
        </w:trPr>
        <w:tc>
          <w:tcPr>
            <w:tcW w:w="366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15,777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15,777</w:t>
            </w:r>
          </w:p>
        </w:tc>
      </w:tr>
      <w:tr>
        <w:trPr>
          <w:trHeight w:val="22"/>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8,377</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8,377</w:t>
            </w: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30,728</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30,728</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8"/>
        </w:trPr>
        <w:tc>
          <w:tcPr>
            <w:tcW w:w="36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1,736</w:t>
            </w:r>
          </w:p>
        </w:tc>
      </w:tr>
      <w:tr>
        <w:trPr>
          <w:trHeight w:val="21"/>
        </w:trPr>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4,427</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4,427</w:t>
            </w:r>
          </w:p>
        </w:tc>
      </w:tr>
      <w:tr>
        <w:trPr>
          <w:trHeight w:val="21"/>
        </w:trPr>
        <w:tc>
          <w:tcPr>
            <w:tcW w:w="3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30,428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three months ended March 31, 2023.</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March 31, 2023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2022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of intangible assets was $0.2 million and $0.1 million for the three months ended March 31, 2023 and 2022,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of these intangible assets as of March 31, 2023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Remainder of 2023</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739</w:t>
            </w:r>
          </w:p>
        </w:tc>
      </w:tr>
      <w:tr>
        <w:trPr>
          <w:trHeight w:val="207"/>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9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r>
      <w:tr>
        <w:trPr>
          <w:trHeight w:val="200"/>
        </w:trPr>
        <w:tc>
          <w:tcPr>
            <w:tcW w:w="8980" w:type="dxa"/>
            <w:vAlign w:val="bottom"/>
          </w:tcPr>
          <w:p>
            <w:pPr>
              <w:ind w:left="140"/>
              <w:spacing w:after="0"/>
              <w:rPr>
                <w:sz w:val="20"/>
                <w:szCs w:val="20"/>
                <w:color w:val="auto"/>
              </w:rPr>
            </w:pPr>
            <w:r>
              <w:rPr>
                <w:rFonts w:ascii="Arial" w:cs="Arial" w:eastAsia="Arial" w:hAnsi="Arial"/>
                <w:sz w:val="14"/>
                <w:szCs w:val="14"/>
                <w:color w:val="auto"/>
              </w:rPr>
              <w:t>Total future amortization expense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3,733</w:t>
            </w:r>
          </w:p>
        </w:tc>
      </w:tr>
      <w:tr>
        <w:trPr>
          <w:trHeight w:val="20"/>
        </w:trPr>
        <w:tc>
          <w:tcPr>
            <w:tcW w:w="8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2023 and December 31, 2022, goodwill was $4.2 million. No goodwill impairments were recorded during the three months ended March 31, 2023 and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Semifore Acquisition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27, 2022, the Company acquired 100% of the issued and outstanding equity securities (the Acquisition) of Semifore, Inc. (Semifore), provider of hardware software interface (HSI) technology. Semifore technologies are used to effectively design, verify, document, and help in the validation of the hardware -software integration that is used in the SoC complex chip market. The addition of Semifore technologies and team expertise augments Arteris System IP and IP deployment automation to further enhance software control of the IP and SoC hardware. The Acquisition closed on December 27, 2022 and has been accounted for in accordance with the acquisition method of accounting for business combinations with the Company as the accounting acquirer.</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consideration transferred for the acquisition was $ 3.1 million. The Company recorded $1.4 million for developed technology intangible assets with an estimated useful life of seven years and $0.7 million for customer relationships intangible assets with an estimated useful life of eight years.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key employees and former owners of Semifore were issued a total of 663,143 shares of the Company’s common stock and obtained the right to additional cash payment totaling $1.8 million. Out of the 663,143 shares issued, 331,569 shares of common stock vested as of the closing date and the remaining 331,574 shares and $1.8 million cash payment will vest on the first and third anniversary of the closing date if certain key employees continue to be employed by the Company. These contingent cash payments and equity awards have been accounted for separately from the business combination and will be recognized by the Company as compensation costs in the subsequent periods as related services are provided. The Company recognized $0.3 million as compensation expense during the three months ended March 31, 2023.</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acquisition method of accounting, the purchase price is allocated to identifiable assets acquired and liabilities assumed based on their fair values on the acquisition date. The following table provides the estimated fair values of the identifiable assets acquired and liabilities assumed as of the acquisition date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198"/>
        </w:trPr>
        <w:tc>
          <w:tcPr>
            <w:tcW w:w="97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8"/>
        </w:trPr>
        <w:tc>
          <w:tcPr>
            <w:tcW w:w="976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w:t>
            </w:r>
          </w:p>
        </w:tc>
      </w:tr>
      <w:tr>
        <w:trPr>
          <w:trHeight w:val="198"/>
        </w:trPr>
        <w:tc>
          <w:tcPr>
            <w:tcW w:w="976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7"/>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198"/>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liability</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r>
      <w:tr>
        <w:trPr>
          <w:trHeight w:val="200"/>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identifiable net 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r>
      <w:tr>
        <w:trPr>
          <w:trHeight w:val="198"/>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w:t>
            </w:r>
          </w:p>
        </w:tc>
      </w:tr>
      <w:tr>
        <w:trPr>
          <w:trHeight w:val="225"/>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purchase price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generated from this business combination is attributed to synergies between the Company’s and Semifore’s respective products and services and is housed within the Company’s single operating segment. The Company does not have any tax basis in the total goodwill of $1.5 million and the goodwill is non-deductible for income tax purposes.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incurred $0.5 million acquisition-related expenses, which were recorded as general and administrative expenses in the consolidated statements of income (loss) for the year ended December 31, 2022.</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Acquisition did not have a material impact on the Company’s condensed consolidated financial statements; therefore, historical and proforma disclosures have not been presented.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75"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weighted-average remaining term of the Company’s operating leases was 3.9 years and 3.1 years as of March 31, 2023 and December 31, 2022, respectively, and the weighted-average discount rate used to measure the present value of the operating lease liabilities was 10.0% and 7.5% as of March 31, 2023 and December 31, 2022, respectively. Cash payments made related to operating lease liabilities were $0.3 million for both the three months ended March 31, 2023 and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March 31, 2023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4"/>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r>
      <w:tr>
        <w:trPr>
          <w:trHeight w:val="198"/>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206"/>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199"/>
        </w:trPr>
        <w:tc>
          <w:tcPr>
            <w:tcW w:w="9540" w:type="dxa"/>
            <w:vAlign w:val="bottom"/>
          </w:tcPr>
          <w:p>
            <w:pPr>
              <w:ind w:left="20"/>
              <w:spacing w:after="0"/>
              <w:rPr>
                <w:sz w:val="20"/>
                <w:szCs w:val="20"/>
                <w:color w:val="auto"/>
              </w:rPr>
            </w:pPr>
            <w:r>
              <w:rPr>
                <w:rFonts w:ascii="Arial" w:cs="Arial" w:eastAsia="Arial" w:hAnsi="Arial"/>
                <w:sz w:val="14"/>
                <w:szCs w:val="14"/>
                <w:color w:val="auto"/>
              </w:rPr>
              <w:t>2026</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6"/>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9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lease liabilities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10.0%, which is an estimate based on the Company’s collateralized borrowing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Vendor financing arrangements as of March 31, 2023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r>
      <w:tr>
        <w:trPr>
          <w:trHeight w:val="200"/>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r>
      <w:tr>
        <w:trPr>
          <w:trHeight w:val="198"/>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21"/>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21"/>
        </w:trPr>
        <w:tc>
          <w:tcPr>
            <w:tcW w:w="9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r>
      <w:tr>
        <w:trPr>
          <w:trHeight w:val="19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r>
      <w:tr>
        <w:trPr>
          <w:trHeight w:val="221"/>
        </w:trPr>
        <w:tc>
          <w:tcPr>
            <w:tcW w:w="9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from vendor financing arrangements was less than $0.1 million for both the three months ended March 31, 2023 and 2022.</w:t>
      </w:r>
    </w:p>
    <w:p>
      <w:pPr>
        <w:spacing w:after="0" w:line="225"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often enters into limited indemnification provisions in license agreements in the ordinary course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incurred no actual payment obligations from these above-noted indemnification provisions and director and officer indemnity agreements for three months ended March 31, 2023 and 2022 and the condensed consolidated financial statements do not include liabilities for any potential indemnity-related obligations as of March 31, 2023 and December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—The Company has been and will continue to be subject to legal proceedings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the Company may receive inquiries or become involved in legal disputes regarding such litigation matters.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the Company received notice of a complaint filed against the Company and two other defendants that are entities in the semiconductor industry by Network System Technologies, LLC in the United States District Court for the Western District of Texas, and two additional complaints were filed in the Eastern District of Texas against certain companies, including some customers of the Company, asserting among other things patent infringement relating to the Company’s technology and seeking damages and injunctive relief. The Company intends to vigorously defend itself in respect to these complaints and anticipates an increase in legal expenses to do so.</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inherent uncertainties and complex technical issues arising from such intellectual property litigation, the Company cannot predict or guarantee any result of such intellectual property litigation. As with any such litigation at its initial stages, the Company cannot comment on the possible final litigation results of ongoing litigation or the risk whether the Company may not prevail in such intellectual property litigation. In addition, such litigation may make it necessary to support or defend the Company or the Company’s customers relating to the claims in the litigation.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ultimate outcome of the litigation, like any litigation, is uncertain and, regardless of outcome, litigation can have an adverse impact on the Company because of defense costs, potential negative publicity, diversion of management resources and other factors, which in turn may have a material adverse impact on the Company’s business, consolidated financial position, results of operations, or cash flows. As intellectual property claims are inherently unpredictable, the Company is currently evaluating whether such matters may have a material adverse effect on the Company’s financial position, results of operations, or cash flows.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significant judgement is required in both the determination of probability and determination as to whether a loss is reasonably estimable. Future revisions to such estimates could materially impact the Company’s results. Accordingly, there can be no assurance that existing or any future legal proceedings for liability estimates arising in the ordinary course of business or otherwise will not have a material adverse effect on the Company’s business, consolidated financial position, results of operations or cash flows.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contractual noncancelable commitments as of March 31, 2023 and December 31, 2022.</w:t>
      </w:r>
    </w:p>
    <w:p>
      <w:pPr>
        <w:spacing w:after="0" w:line="17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Plan</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Plan provides for the granting of the following types of stock awards: incentive stock options, non-statutory stock options, stock appreciation rights (SARs), restricted stock awards, restricted stock unit awards (RSUs) and other stock awards. The number of shares authorized for award was 20,803,838. The Company granted awards of common stock in the form of 14,142,208 shares as of December 31, 2021. Following the Company’s IPO in October 2021, all future grants will be made under the 2021 Plan (as defined below), with none remaining available for future grant under the 2016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Plan</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adopted the 2021 Employee Stock Purchase Plan (the 2021 ESPP) effective on October 26, 2021. The 2021 ESPP would enable eligible employees of the Company to purchase shares of common stock at a discount to fair market value. As of March 31, 2023, there had been no offering period under the ESPP.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Employment Inducement Incentive Plan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or other stock or cash based awards. Awards under the 2022 Inducement Plan can only be made to newly hired 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Future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47"/>
        </w:trPr>
        <w:tc>
          <w:tcPr>
            <w:tcW w:w="31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March 31,</w:t>
            </w:r>
          </w:p>
        </w:tc>
      </w:tr>
      <w:tr>
        <w:trPr>
          <w:trHeight w:val="185"/>
        </w:trPr>
        <w:tc>
          <w:tcPr>
            <w:tcW w:w="3100" w:type="dxa"/>
            <w:vAlign w:val="bottom"/>
            <w:tcBorders>
              <w:bottom w:val="single" w:sz="8" w:color="CCEEFF"/>
            </w:tcBorders>
          </w:tcPr>
          <w:p>
            <w:pPr>
              <w:spacing w:after="0"/>
              <w:rPr>
                <w:sz w:val="16"/>
                <w:szCs w:val="16"/>
                <w:color w:val="auto"/>
              </w:rPr>
            </w:pPr>
          </w:p>
        </w:tc>
        <w:tc>
          <w:tcPr>
            <w:tcW w:w="6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4,581,516</w:t>
            </w:r>
          </w:p>
        </w:tc>
      </w:tr>
      <w:tr>
        <w:trPr>
          <w:trHeight w:val="198"/>
        </w:trPr>
        <w:tc>
          <w:tcPr>
            <w:tcW w:w="3100" w:type="dxa"/>
            <w:vAlign w:val="bottom"/>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tcPr>
          <w:p>
            <w:pPr>
              <w:ind w:left="20"/>
              <w:spacing w:after="0"/>
              <w:rPr>
                <w:sz w:val="20"/>
                <w:szCs w:val="20"/>
                <w:color w:val="auto"/>
              </w:rPr>
            </w:pPr>
            <w:r>
              <w:rPr>
                <w:rFonts w:ascii="Arial" w:cs="Arial" w:eastAsia="Arial" w:hAnsi="Arial"/>
                <w:sz w:val="14"/>
                <w:szCs w:val="14"/>
                <w:color w:val="auto"/>
              </w:rPr>
              <w:t>ESPP</w:t>
            </w:r>
          </w:p>
        </w:tc>
        <w:tc>
          <w:tcPr>
            <w:tcW w:w="1700" w:type="dxa"/>
            <w:vAlign w:val="bottom"/>
          </w:tcPr>
          <w:p>
            <w:pPr>
              <w:jc w:val="right"/>
              <w:spacing w:after="0"/>
              <w:rPr>
                <w:sz w:val="20"/>
                <w:szCs w:val="20"/>
                <w:color w:val="auto"/>
              </w:rPr>
            </w:pPr>
            <w:r>
              <w:rPr>
                <w:rFonts w:ascii="Arial" w:cs="Arial" w:eastAsia="Arial" w:hAnsi="Arial"/>
                <w:sz w:val="14"/>
                <w:szCs w:val="14"/>
                <w:color w:val="auto"/>
              </w:rPr>
              <w:t>1,268,564</w:t>
            </w:r>
          </w:p>
        </w:tc>
      </w:tr>
      <w:tr>
        <w:trPr>
          <w:trHeight w:val="207"/>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2022</w:t>
            </w:r>
          </w:p>
        </w:tc>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Inducement Plan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1,228,680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upon a share option exercise or release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activities under the Company’s 2016 Plan: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8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2"/>
                <w:szCs w:val="12"/>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Contractual</w:t>
            </w: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1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7"/>
                <w:szCs w:val="17"/>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05"/>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3,542,836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11,416</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80" w:type="dxa"/>
            <w:vAlign w:val="bottom"/>
          </w:tcPr>
          <w:p>
            <w:pPr>
              <w:jc w:val="right"/>
              <w:spacing w:after="0"/>
              <w:rPr>
                <w:sz w:val="20"/>
                <w:szCs w:val="20"/>
                <w:color w:val="auto"/>
              </w:rPr>
            </w:pPr>
            <w:r>
              <w:rPr>
                <w:rFonts w:ascii="Arial" w:cs="Arial" w:eastAsia="Arial" w:hAnsi="Arial"/>
                <w:sz w:val="14"/>
                <w:szCs w:val="14"/>
                <w:color w:val="auto"/>
              </w:rPr>
              <w:t>(397,697)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0.66</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(69,687)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rPr>
                <w:sz w:val="20"/>
                <w:szCs w:val="20"/>
                <w:color w:val="auto"/>
              </w:rPr>
            </w:pPr>
            <w:r>
              <w:rPr>
                <w:rFonts w:ascii="Arial" w:cs="Arial" w:eastAsia="Arial" w:hAnsi="Arial"/>
                <w:sz w:val="14"/>
                <w:szCs w:val="14"/>
                <w:color w:val="auto"/>
              </w:rPr>
              <w:t>BALANCE—March 31, 2023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3,075,452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6.18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9,571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vested and exercisable—March 31,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2,503,254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aggregate intrinsic value of the options exercised for the three months ended March 31, 2023 and 2022 was $ 2.0 million and $1.6 million, respectively. The total grant-date fair value of options vested was $0.1 million for both the three months ended March 31, 2023 and 2022, respectively.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2023, there was $0.3 million of unamortized stock-based compensation cost related to unvested stock options, which is expected to be recognized over a weighted-average period of 1.6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stock option grants during the three months ended March 31, 2023.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activities under the Company’s 2016 and 2021 Plan and the 2022 Inducement Plan: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350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Restricted Stock Units</w:t>
            </w:r>
          </w:p>
        </w:tc>
      </w:tr>
      <w:tr>
        <w:trPr>
          <w:trHeight w:val="143"/>
        </w:trPr>
        <w:tc>
          <w:tcPr>
            <w:tcW w:w="7740" w:type="dxa"/>
            <w:vAlign w:val="bottom"/>
          </w:tcPr>
          <w:p>
            <w:pPr>
              <w:spacing w:after="0"/>
              <w:rPr>
                <w:sz w:val="12"/>
                <w:szCs w:val="12"/>
                <w:color w:val="auto"/>
              </w:rPr>
            </w:pPr>
          </w:p>
        </w:tc>
        <w:tc>
          <w:tcPr>
            <w:tcW w:w="170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Weighted-Average</w:t>
            </w:r>
          </w:p>
        </w:tc>
      </w:tr>
      <w:tr>
        <w:trPr>
          <w:trHeight w:val="189"/>
        </w:trPr>
        <w:tc>
          <w:tcPr>
            <w:tcW w:w="77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2022</w:t>
            </w:r>
          </w:p>
        </w:tc>
        <w:tc>
          <w:tcPr>
            <w:tcW w:w="17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5,619,013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99"/>
        </w:trPr>
        <w:tc>
          <w:tcPr>
            <w:tcW w:w="7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ind w:left="1000"/>
              <w:spacing w:after="0"/>
              <w:rPr>
                <w:sz w:val="20"/>
                <w:szCs w:val="20"/>
                <w:color w:val="auto"/>
              </w:rPr>
            </w:pPr>
            <w:r>
              <w:rPr>
                <w:rFonts w:ascii="Arial" w:cs="Arial" w:eastAsia="Arial" w:hAnsi="Arial"/>
                <w:sz w:val="14"/>
                <w:szCs w:val="14"/>
                <w:color w:val="auto"/>
              </w:rPr>
              <w:t>1,050,858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0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(277,149)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r>
      <w:tr>
        <w:trPr>
          <w:trHeight w:val="19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w:t>
            </w:r>
          </w:p>
        </w:tc>
        <w:tc>
          <w:tcPr>
            <w:tcW w:w="170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(249,433)</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6.54</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Unvested—March 31, 2023</w:t>
            </w:r>
          </w:p>
        </w:tc>
        <w:tc>
          <w:tcPr>
            <w:tcW w:w="17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6,143,289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total grant-date fair value of restricted stock units vested was $2.2 million and $1.1 million during the three months ended March 31, 2023 and 2022, respectively.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2023, there was $40.6 million of unamortized stock-based compensation cost related to unvested restricted stock units, which is expected to be recognized over a weighted-average period of 3.1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Semifore Acquisition (see Note 8), the Company issued 331,574 shares of common stock that will vest on the first and third anniversary of the closing of the Acquisition contingent on the continued employment of certain key employees. As of March 31, 2023, 331,574 shares of common stock remain unvested. These shares had a grant date fair value of $1.3 million based on the closing stock price on the acquisition date. The Company will recognize total compensation cost of $1.3 million to be amortized on a straight-line basis over the total vesting period of three years. As of March 31, 2023, the total unamortized compensation cost was $1.2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condensed consolidated statements of loss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1,144</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2023, the Company recognized $0.1 million as stock-based compensation expense for common stock issued as part of the Semifore Acquisition.</w:t>
      </w:r>
    </w:p>
    <w:p>
      <w:pPr>
        <w:spacing w:after="0" w:line="15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21, 2022, Arteris IP (Hong Kong) Ltd. (AHK), a wholly-owned subsidiary of the Company, entered into a Share Purchase and Shareholders Agreement (the SPA) with certain investors and Ningbo Transchip Information Consulting Partnership (Limited Partnership) (Management Co). The transaction closed on June 20, 2022.</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the investors and Management Co, pursuant to the SPA, subscribed to the registered capital of Transchip Technology (Nanjing) Co., Ltd. (Transchip), a formerly wholly-owned subsidiary of the Company. As a result, the registered capital of Transchip increased to $29.4 million. The Company subscribed for the registered capital of approximately $ 11.9 million, of which $11.6 million of the contribution was contributed in-kind by way of an interconnect solutions technology license by the Company pursuant to a five-year technology license and services agreement which can be extended automatically for another five-year term, and the remaining was paid in cash.</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license agreement provides Transchip the right to software licenses, services, software updates and technical support. On the closing date, the license agreement including the support and maintenance services to be provided to Transchip was valued to be $11.6 million, which was recorded as deferred income and will be recognized as interest and other income (expense), net over a period of ten years on a straight line basis after delivery of the license. The license was delivered to Transchip on September 2, 2022. For the three months ended March 31, 2023, the Company recognized income of $0.3 million for the license agreement.</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ownership interest of Transchip’s common stock was 35.0% on a fully diluted basis as of March 31, 2023. The Company accounts for its common stock investment in Transchip as an equity method investment as it does not control but has significant influence over operating and financing policies of Transchip. Transchip is the Company’s only equity method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the carrying value of the investment in Transchip was $11.1 million. There was no significant difference between the Company’s carrying value of the investment in Transchip and its share of underlying equity in net assets of Transchip. The Company’s loss from its proportionate share of its equity method investment in Transchip was $0.8 million for the three months ended March 31, 2023. The Company concluded that there were no indicators of impairment related to the Company’s equity method investment in Transchip as of March 31,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was (3.4)% and (1.8)% for the three months ended March 31, 2023 and 2022, respectively. The Company’s income tax provision was $0.3 million and $0.1 million for the three months ended March 31, 2023 and 2022, respectively. The change in forecasted foreign withholding tax, changes in the geographic mix of worldwide earnings which are taxed at different rates, and the impact of losses in jurisdictions with full valuation allowances, has resulted in an increase in the income tax provision for the period ended March 31, 2023 compared to the period ended March 31, 2022.</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management continuously evaluates the need for a valuation allowance and, as of March 31, 2023, concluded that a full valuation allowance on its federal, state, and certain foreign jurisdictions deferred tax assets was still appropriate.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and 2022, the Company’s gross liability for unrecognized tax benefits was $2.6 million and $3.1 million, respectively. The Company’s practice is to recognize interest and/or penalties related to income tax matters in income tax expense. As of March 31, 2023 and 2022,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$0.1 million for both the three months ended March 31, 2023 and 2022.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$ 19,445 per month for the remaining 24 months of the consulting term. For the three months ended March 31, 2023, the Company paid Ms. Geday $0.1 million for consulting services. Lastly, the 455,000 stock options and 62,200 RSUs granted in connection with Ms. Geday’s prior employment continue to vest.</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2022, the Company entered into a three-month non-exclusive evaluation license agreement with Transchip. Under the agreement, the Company licensed certain technology products for no licensing fee. In March 2023, the Company entered into an amendment to extend the non-exclusive license agreement by three months for no licensing fee. See Note 13 for additional discussion on the Company’s transactions with Transchip.</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2022 included in the 2022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Please also see the section under the heading “Cautionary Note Regarding Forward-Looking Statements” in the 2022 Form 10-K.</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Unless the context otherwise requires, all references in this report to “we,” “us,” “our,” the “Company,” and “Arteris” refer to Arteris, Inc. and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leading provider of System IP, including interconnect and other intellectual property, (collectively, IP) technology that connects client IP blocks such as processors, memories, artificial intelligence/machine learning (AI/ML) accelerators, graphics subsystems, safety and security and other input/output (I/Os) subsystems via multiple Network-on-Chips (NoCs) in order for our customers to create System-on-Chips (NoC) (SoCs) semiconductors faster, better, and at a lower cost.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I/O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System IP solutions which incorporate NoC interconnect IP, IP deployment software and NoC interface IP (consisting of peripheral data transport IP and control plane networks connected to NoC interconnect IPs).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we had 243 full-time employees and offices in eight locations in the United States, France, China, South Korea and Japan. For the three months ended March 31, 2023, we generated revenue of $ 13.2 million, net loss of $9.0 million, and net loss per share, basic and diluted of $0.26. As of March 31, 2023, we had Annual Contract Value (as defined below) of $ 51.4 million. During the three months ended March 31, 2023, we added six net new Active Customers (as defined below) and our customers had 22 Confirmed Design Starts (as defined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enterprise computing, communications,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our Agreements with Customers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from period to period can be impacted by the terms of the agreements we enter into with our customers. For example, in recent periods we have structured certain agreements with customers that include substantial up-front licensing payments. As a result of how these contracts are structured and the revenue is recognized, our revenue in the three months ended March 31, 2023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 and Market Growth</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growth opportunities through acquisitions of other businesses.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Operating Globally</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products’ global footprint provides us with the opportunity to enter new markets and accelerate our growth. For three months ended March 31, 2023, 65.3% of our revenue was derived from sales to customers outside of the United States and 29.0% of our revenue was derived from customers located in China. For 2022, 59.3% of our revenue was derived from sales to customers outside of the United States and 28.8%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we may face challenges to maintain our revenue and our revenue may decrease.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duration and extent of the COVID-19 pandemic already had an adverse effect on the global economy and the lasting effects of the pandemic continue to be unknown. In response to the COVID -19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the three months ended March 31,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unable to accurately predict the full impact that COVID-19 will have on our future results of operations, financial condition, liquidity and cash flows due to numerous uncertainties, including the duration and severity of any future pandemics and containment measures. Although we expect most of our employees to return to physical offices, the nature and extent of that return is uncertain and differs among jurisdictions. For additional details, see the section titled “Risk Factors—Our business has been, and may continue to be, adversely affected by health epidemics, pandemics and other outbreaks of infectious disease, including the current COVID-19 pandemic.”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$51.4 million and $49.6 million as of March 31, 2023 and 2022, respectively. In addition, total ACV and trailing-twelve-months royalties and other revenue was $54.8 million and $52.8 million as of March 31, 2023 and 2022, respectively. We monitor ACV to measure our success and believe the increase in the number shows our progress in expanding our customers’ adoption of our platform.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 and Customer Retention</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added six and seven net new Active Customers during the three months ended March 31, 2023 and 2022, respectively. Our annual average customer retention rate was 98% from March 31, 2022 to March 31, 2023. ACV fluctuates due to a number of factors, including the timing, duration and dollar amount of customer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Confirmed Design Starts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started a total of 22 and 19 designs during the three months ended March 31, 2023 and 2022, respectively. We believe that the number of Confirmed Design Starts is an important indicator of the growth of our business and future royalty revenue trends.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both deferred revenue and unbilled cancelable and non-cancelable contracted amounts that will be invoiced and recognized as revenue in future periods.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$57.3 million and $60.5 million as of March 31, 2023 and 2022,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Our revenue is primarily derived from licensing intellectual property, licensing software, support and maintenance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training services, and royalties. Our agreements often include other service elements including training and professional services which were immaterial for the three months ended March 31, 2023 and 2022, respectively.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support services, including access to application engineering support services and the benefits of the RTL, are integral and fundamental to the customer’s ability to derive its intended benefit from the IP.</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continue to provide technical support and software updates throughout the license term even if the customer does not renew these services in subsequent years, making the license term and support and maintenance term co-terminus.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deployment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Revenue allocated to the software license is recognized at a point in time upon the later of the delivery date or the beginning of the license period, and revenue allocated to support services is recognized ratably over the support term.</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relates to costs associated with our licensing agreements and support and maintenance,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FAE personnel-related costs including stock-based compensation, travel, and allocated overhead. We expect cost of revenue as a percentage of revenue to modestly decline over time due to productivity improvements of our FAE processes.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Allocation of Overhead Costs: </w:t>
      </w:r>
      <w:r>
        <w:rPr>
          <w:rFonts w:ascii="Arial" w:cs="Arial" w:eastAsia="Arial" w:hAnsi="Arial"/>
          <w:sz w:val="18"/>
          <w:szCs w:val="18"/>
          <w:color w:val="auto"/>
        </w:rPr>
        <w:t>Overhead costs that are not substantially dedicated for use by a specific functional group are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headcount. Such costs include costs associated with office facilities, depreciation of property and equipment, certain support function personnel costs and 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(R&amp;D) expenses: </w:t>
      </w:r>
      <w:r>
        <w:rPr>
          <w:rFonts w:ascii="Arial" w:cs="Arial" w:eastAsia="Arial" w:hAnsi="Arial"/>
          <w:sz w:val="18"/>
          <w:szCs w:val="18"/>
          <w:color w:val="auto"/>
        </w:rPr>
        <w:t>R&amp;D expenses consist primarily of salaries and associated personnel-related costs,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Sales and marketing (S&amp;M) expenses: </w:t>
      </w:r>
      <w:r>
        <w:rPr>
          <w:rFonts w:ascii="Arial" w:cs="Arial" w:eastAsia="Arial" w:hAnsi="Arial"/>
          <w:sz w:val="18"/>
          <w:szCs w:val="18"/>
          <w:color w:val="auto"/>
        </w:rPr>
        <w:t>S&amp;M expenses consist primarily of salaries, commissions, travel and other costs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(G&amp;A) expenses: </w:t>
      </w:r>
      <w:r>
        <w:rPr>
          <w:rFonts w:ascii="Arial" w:cs="Arial" w:eastAsia="Arial" w:hAnsi="Arial"/>
          <w:sz w:val="18"/>
          <w:szCs w:val="18"/>
          <w:color w:val="auto"/>
        </w:rPr>
        <w:t>G&amp;A expenses consist primarily of salaries for management and administrative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consists primarily of interest expense on our vendor financing arrangements.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Interest and other income (expense), net: </w:t>
      </w:r>
      <w:r>
        <w:rPr>
          <w:rFonts w:ascii="Arial" w:cs="Arial" w:eastAsia="Arial" w:hAnsi="Arial"/>
          <w:sz w:val="18"/>
          <w:szCs w:val="18"/>
          <w:color w:val="auto"/>
        </w:rPr>
        <w:t>Interest and other income (expense), net consists primarily of interest income earned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and available-for-sale investments, gains and losses from foreign currency exchange, gain on deconsolidation of subsidiary, realized gains and losses from available-for-sale investments as well as deferred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Loss from equity method investment: </w:t>
      </w:r>
      <w:r>
        <w:rPr>
          <w:rFonts w:ascii="Arial" w:cs="Arial" w:eastAsia="Arial" w:hAnsi="Arial"/>
          <w:sz w:val="18"/>
          <w:szCs w:val="18"/>
          <w:color w:val="auto"/>
        </w:rPr>
        <w:t>Loss from equity method investment consists of our proportionate share of net income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equity method investee.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income tax provision consists primarily of income taxes in certain foreign jurisdictions in which we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96"/>
              </w:rPr>
              <w:t>2022</w:t>
            </w:r>
          </w:p>
        </w:tc>
      </w:tr>
      <w:tr>
        <w:trPr>
          <w:trHeight w:val="193"/>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6"/>
                <w:szCs w:val="16"/>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11,755</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(1)</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12,030</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10,776</w:t>
            </w:r>
          </w:p>
        </w:tc>
      </w:tr>
      <w:tr>
        <w:trPr>
          <w:trHeight w:val="17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9,456</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5,005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3,921</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4,401</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4,015</w:t>
            </w:r>
          </w:p>
        </w:tc>
      </w:tr>
      <w:tr>
        <w:trPr>
          <w:trHeight w:val="192"/>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20,787</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17,392</w:t>
            </w: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92"/>
        </w:trPr>
        <w:tc>
          <w:tcPr>
            <w:tcW w:w="7740" w:type="dxa"/>
            <w:vAlign w:val="bottom"/>
          </w:tcPr>
          <w:p>
            <w:pPr>
              <w:ind w:left="20"/>
              <w:spacing w:after="0"/>
              <w:rPr>
                <w:sz w:val="20"/>
                <w:szCs w:val="20"/>
                <w:color w:val="auto"/>
              </w:rPr>
            </w:pPr>
            <w:r>
              <w:rPr>
                <w:rFonts w:ascii="Arial" w:cs="Arial" w:eastAsia="Arial" w:hAnsi="Arial"/>
                <w:sz w:val="14"/>
                <w:szCs w:val="14"/>
                <w:color w:val="auto"/>
              </w:rPr>
              <w:t>Loss before provision for income taxes and loss from equity method investment</w:t>
            </w:r>
          </w:p>
        </w:tc>
        <w:tc>
          <w:tcPr>
            <w:tcW w:w="10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(7,881)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(6,697)</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w w:val="96"/>
              </w:rPr>
              <w:t>2022</w:t>
            </w:r>
          </w:p>
        </w:tc>
      </w:tr>
      <w:tr>
        <w:trPr>
          <w:trHeight w:val="193"/>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6"/>
                <w:szCs w:val="16"/>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1,144</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9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7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190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r>
      <w:tr>
        <w:trPr>
          <w:trHeight w:val="193"/>
        </w:trPr>
        <w:tc>
          <w:tcPr>
            <w:tcW w:w="7560" w:type="dxa"/>
            <w:vAlign w:val="bottom"/>
          </w:tcPr>
          <w:p>
            <w:pPr>
              <w:spacing w:after="0"/>
              <w:rPr>
                <w:sz w:val="16"/>
                <w:szCs w:val="16"/>
                <w:color w:val="auto"/>
              </w:rPr>
            </w:pPr>
          </w:p>
        </w:tc>
        <w:tc>
          <w:tcPr>
            <w:tcW w:w="3100" w:type="dxa"/>
            <w:vAlign w:val="bottom"/>
            <w:gridSpan w:val="4"/>
          </w:tcPr>
          <w:p>
            <w:pPr>
              <w:jc w:val="right"/>
              <w:ind w:right="180"/>
              <w:spacing w:after="0"/>
              <w:rPr>
                <w:sz w:val="20"/>
                <w:szCs w:val="20"/>
                <w:color w:val="auto"/>
              </w:rPr>
            </w:pPr>
            <w:r>
              <w:rPr>
                <w:rFonts w:ascii="Arial" w:cs="Arial" w:eastAsia="Arial" w:hAnsi="Arial"/>
                <w:sz w:val="14"/>
                <w:szCs w:val="14"/>
                <w:i w:val="1"/>
                <w:iCs w:val="1"/>
                <w:color w:val="auto"/>
              </w:rPr>
              <w:t>(as a percentage of total revenue)</w:t>
            </w:r>
          </w:p>
        </w:tc>
        <w:tc>
          <w:tcPr>
            <w:tcW w:w="580" w:type="dxa"/>
            <w:vAlign w:val="bottom"/>
          </w:tcPr>
          <w:p>
            <w:pPr>
              <w:spacing w:after="0"/>
              <w:rPr>
                <w:sz w:val="16"/>
                <w:szCs w:val="16"/>
                <w:color w:val="auto"/>
              </w:rPr>
            </w:pP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8"/>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8</w:t>
            </w:r>
          </w:p>
        </w:tc>
      </w:tr>
      <w:tr>
        <w:trPr>
          <w:trHeight w:val="20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r>
      <w:tr>
        <w:trPr>
          <w:trHeight w:val="178"/>
        </w:trPr>
        <w:tc>
          <w:tcPr>
            <w:tcW w:w="7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w:t>
            </w:r>
          </w:p>
        </w:tc>
      </w:tr>
      <w:tr>
        <w:trPr>
          <w:trHeight w:val="198"/>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34</w:t>
            </w: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w:t>
            </w:r>
          </w:p>
        </w:tc>
      </w:tr>
      <w:tr>
        <w:trPr>
          <w:trHeight w:val="19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148</w:t>
            </w:r>
          </w:p>
        </w:tc>
      </w:tr>
      <w:tr>
        <w:trPr>
          <w:trHeight w:val="200"/>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r>
      <w:tr>
        <w:trPr>
          <w:trHeight w:val="198"/>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900" w:type="dxa"/>
            <w:vAlign w:val="bottom"/>
            <w:gridSpan w:val="3"/>
          </w:tcPr>
          <w:p>
            <w:pPr>
              <w:jc w:val="right"/>
              <w:ind w:right="15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2"/>
        </w:trPr>
        <w:tc>
          <w:tcPr>
            <w:tcW w:w="7560" w:type="dxa"/>
            <w:vAlign w:val="bottom"/>
          </w:tcPr>
          <w:p>
            <w:pPr>
              <w:ind w:left="20"/>
              <w:spacing w:after="0"/>
              <w:rPr>
                <w:sz w:val="20"/>
                <w:szCs w:val="20"/>
                <w:color w:val="auto"/>
              </w:rPr>
            </w:pPr>
            <w:r>
              <w:rPr>
                <w:rFonts w:ascii="Arial" w:cs="Arial" w:eastAsia="Arial" w:hAnsi="Arial"/>
                <w:sz w:val="14"/>
                <w:szCs w:val="14"/>
                <w:color w:val="auto"/>
              </w:rPr>
              <w:t>Loss before provision for income taxes and loss from equity method investment</w:t>
            </w:r>
          </w:p>
        </w:tc>
        <w:tc>
          <w:tcPr>
            <w:tcW w:w="1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(57)</w:t>
            </w:r>
          </w:p>
        </w:tc>
      </w:tr>
      <w:tr>
        <w:trPr>
          <w:trHeight w:val="207"/>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98"/>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221"/>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2023 and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11,844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99"/>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1,290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31 %</w:t>
            </w: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13,154</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11,755</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r>
      <w:tr>
        <w:trPr>
          <w:trHeight w:val="25"/>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from licensing, support and maintenance increased $1.3 million during the three months ended March 31, 2023 compared to the three months ended March 31, 2022. The increase was primarily due to the addition of new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145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 of revenue increased, $0.1 million, or 15%, to $1.1 million for the three months ended March 31, 2023, from $1.0 million for the three months ended March 31, 2022. The increase in cost of revenue was primarily due to higher FAE employee-related expenses.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11,381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5,005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4,401</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2"/>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20,787</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R&amp;D expenses increased, $1.9 million, or 20%, to $11.4 million for the three months ended March 31, 2023 from $9.5 million for the three months ended March 31, 2022. The increase in R&amp;D expenses was due to higher employee-related costs of $1.4 million, including higher stock-based compensation expense of $0.3 million primarily related to new grants in 2022, as a result of an increase in engineering headcount to support our continued growth and investment in our interconnect technology and IP deployment software. In addition, we incurred higher depreciation expense of R&amp;D equipment of $0.2 million and a recognized lower R&amp;D tax credit of $0.2 million during the three months ended March 31, 2023 compared to the three months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S&amp;M expenses increased, $1.1 million, or 28%, to $5.0 million for the three months ended March 31, 2023 from $3.9 million for the three months ended March 31, 2022. The increase in S&amp;M expenses was primarily due to higher employee-related costs, including sales commissions, of $0.3 million mainly driven by increased headcount to support growth of our business, higher stock-based compensation expense of $0.4 million primarily related to new grants in 2022, and higher professional fees of $0.2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G&amp;A expenses increased, $0.4 million, or 10%, to $4.4 million for the three months ended March 31, 2023 from $4.0 million for the three months ended March 31, 2022. The increase in G&amp;A expenses was primarily due to higher professional fees of $0.4 million driven by legal expenses related to our intellectual property litigation.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3"/>
        </w:trPr>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(32)</w:t>
            </w:r>
          </w:p>
        </w:tc>
        <w:tc>
          <w:tcPr>
            <w:tcW w:w="7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(12)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remained relatively flat for the three months ended March 31, 2023 and compared to the three months ended March 31,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vMerge w:val="restart"/>
          </w:tcPr>
          <w:p>
            <w:pPr>
              <w:jc w:val="right"/>
              <w:ind w:right="1328"/>
              <w:spacing w:after="0"/>
              <w:rPr>
                <w:sz w:val="20"/>
                <w:szCs w:val="20"/>
                <w:color w:val="auto"/>
              </w:rPr>
            </w:pPr>
            <w:r>
              <w:rPr>
                <w:rFonts w:ascii="Arial" w:cs="Arial" w:eastAsia="Arial" w:hAnsi="Arial"/>
                <w:sz w:val="14"/>
                <w:szCs w:val="14"/>
                <w:b w:val="1"/>
                <w:bCs w:val="1"/>
                <w:color w:val="auto"/>
              </w:rPr>
              <w:t>$</w:t>
            </w:r>
          </w:p>
        </w:tc>
        <w:tc>
          <w:tcPr>
            <w:tcW w:w="120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w:t>
            </w:r>
          </w:p>
        </w:tc>
        <w:tc>
          <w:tcPr>
            <w:tcW w:w="7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969</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and other income (expense), net increased, $1.0 million, to an income of $0.9 million for the three months ended March 31, 2023 from an expense of $0.1 million for the three months ended March 31, 2022. The increase in interest and other income (expense), net was primarily due to higher interest rates on cash balances and interest income earned on our available-for-sale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64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548"/>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vMerge w:val="restart"/>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gridSpan w:val="3"/>
          </w:tcPr>
          <w:p>
            <w:pPr>
              <w:jc w:val="center"/>
              <w:ind w:right="420"/>
              <w:spacing w:after="0"/>
              <w:rPr>
                <w:sz w:val="20"/>
                <w:szCs w:val="20"/>
                <w:color w:val="auto"/>
              </w:rPr>
            </w:pPr>
            <w:r>
              <w:rPr>
                <w:rFonts w:ascii="Arial" w:cs="Arial" w:eastAsia="Arial" w:hAnsi="Arial"/>
                <w:sz w:val="14"/>
                <w:szCs w:val="14"/>
                <w:i w:val="1"/>
                <w:iCs w:val="1"/>
                <w:color w:val="auto"/>
              </w:rPr>
              <w:t>(dollars in thousands)</w:t>
            </w: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(834)</w:t>
            </w:r>
          </w:p>
        </w:tc>
        <w:tc>
          <w:tcPr>
            <w:tcW w:w="11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w:t>
            </w:r>
          </w:p>
        </w:tc>
        <w:tc>
          <w:tcPr>
            <w:tcW w:w="16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(834)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Loss from equity method investment was $0.8 million for the three months ended March 31, 2023, compared to zero for the three months ended March 31, 2022, representing our share of Transchip’s net loss during the fourth quarter of 2022 that we record on a one-quarter lag.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172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income taxes was $0.3 million for the three months ended March 31, 2023 compared to $0.1 million for the three months ended March 31, 2022.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 March 31, 2023, we had $60.9 million in cash and cash equivalents and short-term investments of which $2.5 million was held by our foreign subsidiaries.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cash and cash equivalents, short-term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75"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2"/>
        </w:trPr>
        <w:tc>
          <w:tcPr>
            <w:tcW w:w="7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(8,389)</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0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6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March 31, 2023, net cash used in operating activities was $8.4 million primarily due to our net loss of $9.0 million, adjusted for non-cash charges of $3.9 million and $3.3 million changes in operating assets and liabilities. Non-cash charges primarily consisted of stock-based compensation of $3.0 million, loss from our equity method investment of $0.8 million and depreciation and amortization of $0.6 million, partially offset by amortization of deferred income of $0.3 million and net accretion of discounts on available-for-sale securities of $0.3 million. The drivers of the changes in operating assets and liabilities were a $0.6 million increase in accounts payable and a $0.4 million decrease in prepaid expense and other current assets, partially offset by a $2.6 million increase in accounts receivable, a $1.0 million decrease in accrued expenses and other current liabilities and a $0.6 million decrease in deferred revenue.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2022, net cash used in operating activities was $1.4 million primarily due to our net loss of $6.8 million, adjusted for non-cash charges of $2.7 million and $2.7 million changes in operating assets and liabilities. The primary drivers of the changes in operating assets and liabilities were a $5.7 million decrease in accounts receivable, partially offset by a $1.4 million increase in prepaid expenses and other assets and a $1.4 million decrease in accrued expenses and other current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the three months ended March 31, 2023 was $0.4 million primarily attributable to purchases of property and equipment and available-for-sale securities, partially offset by proceeds from maturities of available-for-sale securities.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for the three months ended March 31, 2022 was $0.3 million primarily attributable to payments of deferred transaction costs relating to investment in Transchip and purchases of property and equipment to support our office facilities.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2023 was $1.0 million, primarily attributable to payments of contingent consideration for business combination of $1.0 million.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financing activities for the three months ended March 31, 2022 was $1.9 million, primarily attributable to payments of contingent consideration for business combination of $1.6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2022 Form 10-K, other than those discussed in Note 2 to our unaudited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more information regarding recently issued accounting pronouncements, see Note 2 to our unaudited condensed consolidated financial statements included elsewhere in this Quarterly Report on Form 10-Q.</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2022 Form 10-K. As a result, our financial statements may not be comparable to companies that comply with new or revised accounting pronouncements as of public company effective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our unaudited condensed consolidated financial statements included elsewhere in this Quarterly Report on Form 10-Q.</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spacing w:after="0" w:line="117" w:lineRule="exact"/>
        <w:rPr>
          <w:sz w:val="20"/>
          <w:szCs w:val="20"/>
          <w:color w:val="auto"/>
        </w:rPr>
      </w:pPr>
    </w:p>
    <w:p>
      <w:pPr>
        <w:ind w:left="660" w:right="20" w:hanging="328"/>
        <w:spacing w:after="0" w:line="287" w:lineRule="auto"/>
        <w:tabs>
          <w:tab w:leader="none" w:pos="64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face significant competition from larger companies and third party providers that may deploy their resources so they can develop their IP solutions internally.</w:t>
      </w:r>
    </w:p>
    <w:p>
      <w:pPr>
        <w:spacing w:after="0" w:line="98"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history of net losses, and we may not achieve or maintain profitability in the future.</w:t>
      </w:r>
    </w:p>
    <w:p>
      <w:pPr>
        <w:spacing w:after="0" w:line="171" w:lineRule="exact"/>
        <w:rPr>
          <w:rFonts w:ascii="Arial" w:cs="Arial" w:eastAsia="Arial" w:hAnsi="Arial"/>
          <w:sz w:val="18"/>
          <w:szCs w:val="18"/>
          <w:color w:val="auto"/>
        </w:rPr>
      </w:pPr>
    </w:p>
    <w:p>
      <w:pPr>
        <w:jc w:val="both"/>
        <w:ind w:left="660" w:hanging="328"/>
        <w:spacing w:after="0" w:line="262"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22"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on market acceptance of third-party semiconductor IP.</w:t>
      </w:r>
    </w:p>
    <w:p>
      <w:pPr>
        <w:spacing w:after="0" w:line="171"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business depends on sustaining or growing our licensing revenue and the failure to achieve such revenue would lead to a material decline in our results of operations.</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continually pursue new IP interconnect and other solutions and IP deployment technology initiatives, and if we fail to successfully carry out these initiatives, our business could be harmed.</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to invest more resources in research and development than anticipated, which could increase our operating expenses and negatively affect our operating results.</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errors or defects could expose us to liability and harm our reputation and we could lose market share.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offer high-quality support, our reputation could suffer.</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international customers and operations also subjects us to a range of other additional regulatory, operational, financial, and political risks that could adversely affect our financial results.</w:t>
      </w:r>
    </w:p>
    <w:p>
      <w:pPr>
        <w:spacing w:after="0" w:line="98" w:lineRule="exact"/>
        <w:rPr>
          <w:rFonts w:ascii="Arial" w:cs="Arial" w:eastAsia="Arial" w:hAnsi="Arial"/>
          <w:sz w:val="18"/>
          <w:szCs w:val="18"/>
          <w:color w:val="auto"/>
        </w:rPr>
      </w:pPr>
    </w:p>
    <w:p>
      <w:pPr>
        <w:ind w:left="660" w:hanging="328"/>
        <w:spacing w:after="0" w:line="287" w:lineRule="auto"/>
        <w:tabs>
          <w:tab w:leader="none" w:pos="661"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protect our proprietary technology and inventions through patents and other IP rights, our ability to compete successfully and our financial results could be adversely impacted.</w:t>
      </w:r>
    </w:p>
    <w:p>
      <w:pPr>
        <w:spacing w:after="0" w:line="98" w:lineRule="exact"/>
        <w:rPr>
          <w:rFonts w:ascii="Arial" w:cs="Arial" w:eastAsia="Arial" w:hAnsi="Arial"/>
          <w:sz w:val="18"/>
          <w:szCs w:val="18"/>
          <w:b w:val="1"/>
          <w:bCs w:val="1"/>
          <w:i w:val="1"/>
          <w:iCs w:val="1"/>
          <w:color w:val="auto"/>
        </w:rPr>
      </w:pPr>
    </w:p>
    <w:p>
      <w:pPr>
        <w:ind w:left="660" w:right="20" w:hanging="328"/>
        <w:spacing w:after="0" w:line="287" w:lineRule="auto"/>
        <w:tabs>
          <w:tab w:leader="none" w:pos="64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98"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associated with doing business in China.</w:t>
      </w:r>
    </w:p>
    <w:p>
      <w:pPr>
        <w:spacing w:after="0" w:line="171"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Litigation, including securities class action litigation, may impair our reputation and lead us to incur significant costs. We are a party to a patent litigation.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significant competition from larger companies and third party providers that may deploy their resources so they can develop their IP solutions internally.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operate in industries characterized by rapidly changing technologies as well as technological obsolescence. The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Openedges Technologies Inc. Signature IP, TrueChip, SkyeChip, Sdn. Bhd, EXTOLL GmbH, and Arm Limited,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ability to compete in our market is subject to a variety of factors, many of which are beyond our control. The occurrence of any of the below could adversely affect our ability to compete and harm our business:</w:t>
      </w:r>
    </w:p>
    <w:p>
      <w:pPr>
        <w:spacing w:after="0" w:line="99" w:lineRule="exact"/>
        <w:rPr>
          <w:sz w:val="20"/>
          <w:szCs w:val="20"/>
          <w:color w:val="auto"/>
        </w:rPr>
      </w:pPr>
    </w:p>
    <w:p>
      <w:pPr>
        <w:ind w:left="820" w:right="20" w:hanging="326"/>
        <w:spacing w:after="0" w:line="287" w:lineRule="auto"/>
        <w:tabs>
          <w:tab w:leader="none" w:pos="8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anticipate and lead critical product development cycles and technological shifts as driven by our target markets, to innovate rapidly and efficiently and to improve our existing solutions.</w:t>
      </w:r>
    </w:p>
    <w:p>
      <w:pPr>
        <w:spacing w:after="0" w:line="98"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competitor substantially increases its engineering and marketing resources to compete with us in the semiconductor IP deployment software technology arena.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right="20" w:hanging="326"/>
        <w:spacing w:after="0" w:line="287" w:lineRule="auto"/>
        <w:tabs>
          <w:tab w:leader="none" w:pos="8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 new entrant with substantially greater resources and/or supported by governmental resources decides to enter the markets in which we compete.</w:t>
      </w:r>
    </w:p>
    <w:p>
      <w:pPr>
        <w:spacing w:after="0" w:line="98" w:lineRule="exact"/>
        <w:rPr>
          <w:rFonts w:ascii="Arial" w:cs="Arial" w:eastAsia="Arial" w:hAnsi="Arial"/>
          <w:sz w:val="18"/>
          <w:szCs w:val="18"/>
          <w:color w:val="auto"/>
        </w:rPr>
      </w:pPr>
    </w:p>
    <w:p>
      <w:pPr>
        <w:ind w:left="820" w:right="20" w:hanging="326"/>
        <w:spacing w:after="0" w:line="287" w:lineRule="auto"/>
        <w:tabs>
          <w:tab w:leader="none" w:pos="8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any existing or new competitor bundles its technologies into one package at a discounted price that would make it uneconomical for our customers to license our products separately.</w:t>
      </w:r>
    </w:p>
    <w:p>
      <w:pPr>
        <w:spacing w:after="0" w:line="98" w:lineRule="exact"/>
        <w:rPr>
          <w:rFonts w:ascii="Arial" w:cs="Arial" w:eastAsia="Arial" w:hAnsi="Arial"/>
          <w:sz w:val="18"/>
          <w:szCs w:val="18"/>
          <w:color w:val="auto"/>
        </w:rPr>
      </w:pPr>
    </w:p>
    <w:p>
      <w:pPr>
        <w:ind w:left="820" w:hanging="326"/>
        <w:spacing w:after="0" w:line="287"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of developing, or acquiring externally developed, technology solutions that are adequate and competitive in meeting the rapidly evolving requirements of next-generation design challenges.</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on the basis of payment and pricing features and terms.</w:t>
      </w:r>
    </w:p>
    <w:p>
      <w:pPr>
        <w:spacing w:after="0" w:line="171" w:lineRule="exact"/>
        <w:rPr>
          <w:rFonts w:ascii="Arial" w:cs="Arial" w:eastAsia="Arial" w:hAnsi="Arial"/>
          <w:sz w:val="18"/>
          <w:szCs w:val="18"/>
          <w:color w:val="auto"/>
        </w:rPr>
      </w:pPr>
    </w:p>
    <w:p>
      <w:pPr>
        <w:ind w:left="820" w:hanging="326"/>
        <w:spacing w:after="0" w:line="287"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98"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116"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modify or augment tax treatment of our product and service offerings.</w:t>
      </w:r>
    </w:p>
    <w:p>
      <w:pPr>
        <w:spacing w:after="0" w:line="171"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116" w:lineRule="exact"/>
        <w:rPr>
          <w:rFonts w:ascii="Arial" w:cs="Arial" w:eastAsia="Arial" w:hAnsi="Arial"/>
          <w:sz w:val="18"/>
          <w:szCs w:val="18"/>
          <w:color w:val="auto"/>
        </w:rPr>
      </w:pPr>
    </w:p>
    <w:p>
      <w:pPr>
        <w:ind w:left="820" w:hanging="326"/>
        <w:spacing w:after="0" w:line="287"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effects of geopolitical conflicts, such as the military conflict between Russia and Ukraine, including retaliatory and regulatory actions, on purchasing, development, sales and innovation responses and trends in response to such conflicts.</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embargoes, sanctions, boycotts and/or social unrest.</w:t>
      </w:r>
    </w:p>
    <w:p>
      <w:pPr>
        <w:spacing w:after="0" w:line="171" w:lineRule="exact"/>
        <w:rPr>
          <w:rFonts w:ascii="Arial" w:cs="Arial" w:eastAsia="Arial" w:hAnsi="Arial"/>
          <w:sz w:val="18"/>
          <w:szCs w:val="18"/>
          <w:color w:val="auto"/>
        </w:rPr>
      </w:pPr>
    </w:p>
    <w:p>
      <w:pPr>
        <w:ind w:left="820" w:hanging="326"/>
        <w:spacing w:after="0" w:line="287"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or international economic headwind trends that may lead to recessions, economic slowdowns or sudden changes in economic needs of regions and consumers.</w:t>
      </w:r>
    </w:p>
    <w:p>
      <w:pPr>
        <w:spacing w:after="0" w:line="98"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Silicon chip supply chain and shipment volume restrictions on our customers and their end customers that will impact the amount of royalties payable to us.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may not achieve or maintain profitability in the future.</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incurred net losses in certain periods historically. We incurred a net loss of $27.4 million in 2022, and our net loss for the three months ended March 31, 2023 and 2022 was $9.0 million and $6.8 million, respectively. As of March 31, 2023, we had an accumulated deficit of $75.4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slow downs and/or recessionary pressures, the COVID-19 pandemic and other global economic factors.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long-term success is dependent upon our ability to successfully market our interconnect IP and IP deployment solutions, develop new interconnect IP and IP deployment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spacing w:after="0" w:line="117" w:lineRule="exact"/>
        <w:rPr>
          <w:sz w:val="20"/>
          <w:szCs w:val="20"/>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sales of our customers’ and/or end customers’ products.</w:t>
      </w:r>
    </w:p>
    <w:p>
      <w:pPr>
        <w:spacing w:after="0" w:line="171" w:lineRule="exact"/>
        <w:rPr>
          <w:rFonts w:ascii="Arial" w:cs="Arial" w:eastAsia="Arial" w:hAnsi="Arial"/>
          <w:sz w:val="18"/>
          <w:szCs w:val="18"/>
          <w:color w:val="auto"/>
        </w:rPr>
      </w:pPr>
    </w:p>
    <w:p>
      <w:pPr>
        <w:jc w:val="both"/>
        <w:ind w:left="820" w:hanging="326"/>
        <w:spacing w:after="0" w:line="268" w:lineRule="auto"/>
        <w:tabs>
          <w:tab w:leader="none" w:pos="8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catastrophic and other disruptive events at our customers’ and/or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116"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associated with potential disruptions to our customers’ and/or end markets’ supply chain and other manufacturing and production operations.</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deterioration of our customers’ and/or end customers’ financial condition.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project cancellations as a result of design flaws in the products developed by our customers and/or end customers.</w:t>
      </w:r>
    </w:p>
    <w:p>
      <w:pPr>
        <w:spacing w:after="0" w:line="171"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expand or dedicate the resources necessary to promote and commercialize their products.</w:t>
      </w:r>
    </w:p>
    <w:p>
      <w:pPr>
        <w:spacing w:after="0" w:line="98" w:lineRule="exact"/>
        <w:rPr>
          <w:rFonts w:ascii="Arial" w:cs="Arial" w:eastAsia="Arial" w:hAnsi="Arial"/>
          <w:sz w:val="18"/>
          <w:szCs w:val="18"/>
          <w:color w:val="auto"/>
        </w:rPr>
      </w:pPr>
    </w:p>
    <w:p>
      <w:pPr>
        <w:ind w:left="820" w:hanging="326"/>
        <w:spacing w:after="0" w:line="287" w:lineRule="auto"/>
        <w:tabs>
          <w:tab w:leader="none" w:pos="8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adapt to changing technological demands resulting in their products becoming obsolete.</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customers’ and/or end customers’ products to achieve market success and gain broad market acceptance.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and uncertainty caused by new developments in export and related regulations.</w:t>
      </w:r>
    </w:p>
    <w:p>
      <w:pPr>
        <w:spacing w:after="0" w:line="171"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Regional and global effect of inflation or other adverse economic conditions, such as rising interest rates, recessions or economic slowdowns, resulting in delays or cancellations of new product design starts.</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impact of multiple interest rate increases implemented and forecasted by the U.S. Federal Reserve.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market acceptance of third-party semiconductor IP.</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IP deployment software.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34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Even if we succeed in securing design wins for our IP interconnect and other solutions and our IP deployment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17" w:lineRule="exact"/>
        <w:rPr>
          <w:sz w:val="20"/>
          <w:szCs w:val="20"/>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customer requirements, resulting in an extended development cycle for the product.</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in the ramp-up of volume production of the customer’s products into which our solutions are designed.</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or cancellation of the customer’s product development plans.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or competitive pressures to reduce the selling price of the customer’s end-product.</w:t>
      </w:r>
    </w:p>
    <w:p>
      <w:pPr>
        <w:spacing w:after="0" w:line="171"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expected acceptance of the customers’ end-products.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continually pursue new IP interconnect and other solutions and IP deployment technology initiatives, and if we fail to successfully carry out these initiatives, our business could be harmed.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evolution of our business, we have made substantial investments to develop IP interconnect and other solutions, IP deployment software solutions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IP deployment solutions in a timely and cost-effective manner, or if we fail to introduce new technologies that meet market demand, we may lose our competitive position, our products may become obsolete, and our business could be harmed.</w:t>
      </w:r>
    </w:p>
    <w:p>
      <w:pPr>
        <w:spacing w:after="0" w:line="12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Moreover, new technologies and products may not be profitable, and even if they are profitable, operating margins for new products and businesses may not be as high as the margins we have experienced historically or originally anticipated.</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from time to time, we invest in expansion into adjacent markets, including the acquisition of Magillem and our entry into the IP deployment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efforts in this area may not be successful. Our success in these product areas depend on a variety of factors, including the following:</w:t>
      </w:r>
    </w:p>
    <w:p>
      <w:pPr>
        <w:spacing w:after="0" w:line="125" w:lineRule="exact"/>
        <w:rPr>
          <w:sz w:val="20"/>
          <w:szCs w:val="20"/>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attract new customers in industries in which we have less experience.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successful development of sales and marketing strategies that meet customer requirements.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predict, prepare for, and promptly respond to technological developments in existing and new fields.</w:t>
      </w:r>
    </w:p>
    <w:p>
      <w:pPr>
        <w:spacing w:after="0" w:line="171"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with new and existing competitors, many of which may have more financial resources, industry experience, brand recognition, relevant IP rights, and/or more established customer relationships than we currently do, and they could include free and open-source solutions that provide similar IP deployment solutions.</w:t>
      </w:r>
    </w:p>
    <w:p>
      <w:pPr>
        <w:spacing w:after="0" w:line="116"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continually balance our investment in adjacent markets with investment in our existing products and services.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employees with expertise in new or emerging fields affecting our business.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Difficulties in any of our new product development efforts or our efforts to enter adjacent markets, including delays or disruptions due to factors outside of our control such as any adverse impact resulting from market and inflationary pressures, export and trade controls, and the COVID-19 pandemic, could harm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devote substantial resources to the research and development of new and enhanced interconnect IP and IP deployment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may also decide to increase our research and development investment to seize customer or market opportunities, which could negatively impact our financial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experience hiring challenges, including for engineering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errors or defects could expose us to liability and harm our reputation and we could lose market share.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IP deployment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IP deployment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Interconnect IP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derived 59.3% of our revenue for 2022 from sales to customers outside of the United States. In particular, we derived 28.8% of our revenue in 2022 from customers located in China. For the three months ended March 31, 2023, 65.3% of our revenue was derived from sales to customers outside of the United States and 29.0%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29" w:lineRule="exact"/>
        <w:rPr>
          <w:sz w:val="20"/>
          <w:szCs w:val="20"/>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regulatory or economic conditions.</w:t>
      </w:r>
    </w:p>
    <w:p>
      <w:pPr>
        <w:spacing w:after="0" w:line="171"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116"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spacing w:after="0" w:line="116" w:lineRule="exact"/>
        <w:rPr>
          <w:rFonts w:ascii="Arial" w:cs="Arial" w:eastAsia="Arial" w:hAnsi="Arial"/>
          <w:sz w:val="18"/>
          <w:szCs w:val="18"/>
          <w:color w:val="auto"/>
        </w:rPr>
      </w:pPr>
    </w:p>
    <w:p>
      <w:pPr>
        <w:jc w:val="both"/>
        <w:ind w:left="820" w:hanging="326"/>
        <w:spacing w:after="0" w:line="262"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122" w:lineRule="exact"/>
        <w:rPr>
          <w:rFonts w:ascii="Arial" w:cs="Arial" w:eastAsia="Arial" w:hAnsi="Arial"/>
          <w:sz w:val="18"/>
          <w:szCs w:val="18"/>
          <w:color w:val="auto"/>
        </w:rPr>
      </w:pPr>
    </w:p>
    <w:p>
      <w:pPr>
        <w:jc w:val="both"/>
        <w:ind w:left="820" w:hanging="326"/>
        <w:spacing w:after="0" w:line="268"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116" w:lineRule="exact"/>
        <w:rPr>
          <w:rFonts w:ascii="Arial" w:cs="Arial" w:eastAsia="Arial" w:hAnsi="Arial"/>
          <w:sz w:val="18"/>
          <w:szCs w:val="18"/>
          <w:color w:val="auto"/>
        </w:rPr>
      </w:pPr>
    </w:p>
    <w:p>
      <w:pPr>
        <w:jc w:val="both"/>
        <w:ind w:left="820" w:hanging="326"/>
        <w:spacing w:after="0" w:line="268"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16"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 across different geographic areas, time zones and cultures.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171"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political, legal and economic instability, armed conflict, and civil unrest in the countries in which we and our customers are located.</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and costs of maintaining effective data security.</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protection of our IP.</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171" w:lineRule="exact"/>
        <w:rPr>
          <w:rFonts w:ascii="Arial" w:cs="Arial" w:eastAsia="Arial" w:hAnsi="Arial"/>
          <w:sz w:val="18"/>
          <w:szCs w:val="18"/>
          <w:color w:val="auto"/>
        </w:rPr>
      </w:pPr>
    </w:p>
    <w:p>
      <w:pPr>
        <w:ind w:left="820" w:right="20" w:hanging="326"/>
        <w:spacing w:after="0" w:line="287"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withholding taxes and other potentially negative tax consequences.</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inside and outside of the United States.</w:t>
      </w:r>
    </w:p>
    <w:p>
      <w:pPr>
        <w:spacing w:after="0" w:line="171" w:lineRule="exact"/>
        <w:rPr>
          <w:rFonts w:ascii="Arial" w:cs="Arial" w:eastAsia="Arial" w:hAnsi="Arial"/>
          <w:sz w:val="18"/>
          <w:szCs w:val="18"/>
          <w:color w:val="auto"/>
        </w:rPr>
      </w:pPr>
    </w:p>
    <w:p>
      <w:pPr>
        <w:ind w:left="820" w:right="20" w:hanging="326"/>
        <w:spacing w:after="0" w:line="287"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right="20" w:hanging="326"/>
        <w:spacing w:after="0" w:line="287"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regulatory uncertainties with respect to our wholly foreign-owned enterprise operating in China and any joint ventures we may form or contribute IP or other resources to in the future.</w:t>
      </w:r>
    </w:p>
    <w:p>
      <w:pPr>
        <w:spacing w:after="0" w:line="98" w:lineRule="exact"/>
        <w:rPr>
          <w:rFonts w:ascii="Arial" w:cs="Arial" w:eastAsia="Arial" w:hAnsi="Arial"/>
          <w:sz w:val="18"/>
          <w:szCs w:val="18"/>
          <w:color w:val="auto"/>
        </w:rPr>
      </w:pPr>
    </w:p>
    <w:p>
      <w:pPr>
        <w:jc w:val="both"/>
        <w:ind w:left="820" w:hanging="326"/>
        <w:spacing w:after="0" w:line="262"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factors, individually or in combination, could impair our ability to effectively operate one or more of our foreign facilities or deliver our semiconductor IP or IP deployment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Downturns or volatility in general economic conditions, including as a result of political and economic conditions in the countries in which we conduct business, the current COVID-19 pandemic or any other outbreak of an infectious disease, could harm our business.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would be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disruption in the credit markets, including as a result of the current COVID-19 pandemic,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current COVID-19 pandemic.”</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cyclical nature of the semiconductor industry, including significant supply chain disruption, may limit our ability to maintain or improve our revenue.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COVID-19 pandemic, ongoing trade disputes among the United States and China, weakness in demand and pricing for semiconductors across applications and excess inventory.</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COVID-19 pandemic as well as other trends such as the increasing demand for semiconductors in automobiles, which together have resulted in the inability of fabrication plants to produce sufficient quantities of chips to meet demand, supply chain shortages and other disruptions. Numerous factors, such as the ongoing pandemic or further trade tensions between the U.S. and China, such as the October 7, 2022 Bureau of Industry Security memo affecting semiconductor trade between the U.S. and China, may prolong or deepen these challenges faced by the industry.</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significant amount of our revenue is derived from a limited number of customers. As of March 31, 2023, sales to Samsung Electronics Co. Ltd. accounted for 11% and Intel Corporation accounted for 10% of our revenue. We expect that a relatively small number of customers will continue to account for a substantial portion of our revenue for the foreseeable future.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customer base and achieve broader market acceptance of our products.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Substantial portions of our sales are made, and we anticipate will be made, to automotive, enterprise computing, communications, consumer electronics, and industrial suppliers. Any downturn in any of these markets could significantly harm our business.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Each of these sectors is subject to specific market risks. The consumer sector, for example, is subject to changes in end consumer spending patterns, technology developments and general economic conditions.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as a result of the COVID-19 pandemic and the associated responses by governments of various countries to respond and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harm our business, as well as our ability to execute our growth strategy.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health epidemics, pandemics and other outbreaks of infectious disease, including the current COVID-19 pandemic.</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reached across the globe, resulting in the implementation of significant governmental measures, including lockdowns, closures, quarantines, and travel bans intended to control the spread of the virus. Measures implemented by various authorities in response to the COVID-19 pandemic have caused us to change our business practices, including those related to where employees work, the distance between employees in our facilities, limitations on in-person meetings between employees and with customers, potential customers, suppliers, service providers and stakeholders, as well as restrictions on business travel to domestic and international locations and to attend trade shows, technical conferences and other events. While many of these measures are not currently in effect, ongoing social distancing measures, and future prevention and mitigation measures, as well as the potential for some of these measures to be reinstituted in the event of repeat waves of the virus are likely to have, an adverse impact on global economic conditions, which could further affect our operations. A widespread epidemic, pandemic or other health crisis could also cause significant volatility in global markets. The COVID-19 outbreak has caused disruption in financial markets, which if it continues or intensifies, could reduce our ability to access capital and thereby harm our business.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current and potential future measures that could restrict access to our facilities, limit support operations and place restrictions on our workforce, suppliers and other business partners have impacted and may further impact our workforce and operations, the operations of our customers and end users of our products, and those of our respective vendors, suppliers and other business partners. The disruptions to our operations caused by the COVID-19 pandemic may result in inefficiencies, delays and additional costs in our product development, sales, marketing, and customer service efforts that we cannot fully mitigate through remote or other alternative work arrangements. In addition, the severe global economic disruption, including recession, depression or other sustained adverse market impact caused by health crisis such as the COVID-19 pandemic, may cause our customers and end-users of our products to suffer significant economic hardship and potentially even go out of business, which could result in decreased demand for our products and harm our business.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pandemic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 In addition, in May 2020, Semifore, Inc., a company that we recently acquired, was a recipient of $0.1 million of proceeds from a note payable issued under the Paycheck Protection Program (PPP) under section 7(a)(36) of the Small Business Act. The note was repaid in full in December 2020.</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comes from licensing fees, which may vary period to period.</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License agreements for our interconnect IP are generally treated as ratable revenue, with revenue being recognized evenly over the license term. The majority of software license agreements for our IP deployment solutions and CSRCompiler product are generally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Royalty rates could decrease for existing and future license agreements, which could materially adversely affect our operating results.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10% of our revenue for the three months ended March 31, 2023. Therefore, a significant decrease in our royalty revenue could materially adversely affect our operating results.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Moreover, royalty rates may be negatively affected by macroeconomic trends, including from global semiconductor supply chain issues (including from shortages in the availability of the supply of chips in several semiconductor sectors and applications), the COVID-19 pandemic and its world effects and changes in products mix. Furthermore, consolidation among our customers may increase the leverage of our existing customers to extract concessions from us in royalty rates.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currency exchange rates could harm our business.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three months ended March 31, 2023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particular, in light of the military conflict between Russia and Ukraine and the resulting tensions between the European Union, other European countries, as well as the United States, with Russia, any resulting material change to the valuation of the Euro relative to the U.S. dollar could adversely impact our operating results.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28" w:lineRule="exact"/>
        <w:rPr>
          <w:sz w:val="20"/>
          <w:szCs w:val="20"/>
          <w:color w:val="auto"/>
        </w:rPr>
      </w:pPr>
    </w:p>
    <w:p>
      <w:pPr>
        <w:jc w:val="both"/>
        <w:ind w:left="820" w:hanging="326"/>
        <w:spacing w:after="0" w:line="268"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16" w:lineRule="exact"/>
        <w:rPr>
          <w:rFonts w:ascii="Arial" w:cs="Arial" w:eastAsia="Arial" w:hAnsi="Arial"/>
          <w:sz w:val="18"/>
          <w:szCs w:val="18"/>
          <w:color w:val="auto"/>
        </w:rPr>
      </w:pPr>
    </w:p>
    <w:p>
      <w:pPr>
        <w:jc w:val="both"/>
        <w:ind w:left="820" w:hanging="326"/>
        <w:spacing w:after="0" w:line="262"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0" w:hanging="30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expect to incur integration and startup costs.</w:t>
      </w:r>
    </w:p>
    <w:p>
      <w:pPr>
        <w:spacing w:after="0" w:line="171" w:lineRule="exact"/>
        <w:rPr>
          <w:rFonts w:ascii="Arial" w:cs="Arial" w:eastAsia="Arial" w:hAnsi="Arial"/>
          <w:sz w:val="18"/>
          <w:szCs w:val="18"/>
          <w:color w:val="auto"/>
        </w:rPr>
      </w:pPr>
    </w:p>
    <w:p>
      <w:pPr>
        <w:jc w:val="both"/>
        <w:ind w:left="820" w:hanging="326"/>
        <w:spacing w:after="0" w:line="268" w:lineRule="auto"/>
        <w:tabs>
          <w:tab w:leader="none" w:pos="8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116" w:lineRule="exact"/>
        <w:rPr>
          <w:rFonts w:ascii="Arial" w:cs="Arial" w:eastAsia="Arial" w:hAnsi="Arial"/>
          <w:sz w:val="18"/>
          <w:szCs w:val="18"/>
          <w:color w:val="auto"/>
        </w:rPr>
      </w:pPr>
    </w:p>
    <w:p>
      <w:pPr>
        <w:ind w:left="820" w:right="20" w:hanging="326"/>
        <w:spacing w:after="0" w:line="287"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98"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create demands on our management, operational resources and financial and internal control systems that we are unable to effectively address.</w:t>
      </w:r>
    </w:p>
    <w:p>
      <w:pPr>
        <w:spacing w:after="0" w:line="98"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98"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joint venture or other strategic relationship.</w:t>
      </w:r>
    </w:p>
    <w:p>
      <w:pPr>
        <w:spacing w:after="0" w:line="98" w:lineRule="exact"/>
        <w:rPr>
          <w:rFonts w:ascii="Arial" w:cs="Arial" w:eastAsia="Arial" w:hAnsi="Arial"/>
          <w:sz w:val="18"/>
          <w:szCs w:val="18"/>
          <w:color w:val="auto"/>
        </w:rPr>
      </w:pPr>
    </w:p>
    <w:p>
      <w:pPr>
        <w:jc w:val="both"/>
        <w:ind w:left="820" w:hanging="326"/>
        <w:spacing w:after="0" w:line="262"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22" w:lineRule="exact"/>
        <w:rPr>
          <w:rFonts w:ascii="Arial" w:cs="Arial" w:eastAsia="Arial" w:hAnsi="Arial"/>
          <w:sz w:val="18"/>
          <w:szCs w:val="18"/>
          <w:color w:val="auto"/>
        </w:rPr>
      </w:pPr>
    </w:p>
    <w:p>
      <w:pPr>
        <w:ind w:left="820" w:right="20" w:hanging="326"/>
        <w:spacing w:after="0" w:line="287"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98"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116"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spacing w:after="0" w:line="116" w:lineRule="exact"/>
        <w:rPr>
          <w:rFonts w:ascii="Arial" w:cs="Arial" w:eastAsia="Arial" w:hAnsi="Arial"/>
          <w:sz w:val="18"/>
          <w:szCs w:val="18"/>
          <w:color w:val="auto"/>
        </w:rPr>
      </w:pPr>
    </w:p>
    <w:p>
      <w:pPr>
        <w:jc w:val="both"/>
        <w:ind w:left="820" w:hanging="326"/>
        <w:spacing w:after="0" w:line="268"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potential acquisitions, investments,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could prevent us from executing our growth strategy.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operate and expand our business depends on the availability of adequate capital, which in turn depends on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29" w:lineRule="exact"/>
        <w:rPr>
          <w:sz w:val="20"/>
          <w:szCs w:val="20"/>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semiconductor IP and other solutions, and our IP deployment solutions;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adapt to changing technologies and technical requirements;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opportunities for expansion; and</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access to and availability of sufficient management, technical, marketing and financial personnel.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appreciated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counterparties are unable to fulfill their financial and other obligations to us, our business and results of operations may be affected adversely.</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downturn in economic conditions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patents and other IP rights, our ability to compete successfully and our financial results could be adversely impacted.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seek to protect our proprietary technology and innovations, particularly those relating to the design of our products, through patents, trade secrets and other IP rights. As of March 31, 2023, we had 132 total allowed or issued patents, pending patent applications and non-expired provisional patent applications worldwide. Of these, we had 59 allowed or issued patents, 53 of which are U.S. allowed or issued patents, three of which are allowed or issued China patents, one is a U.K. issued patent, one is a Japan issued patent, and one is a South Korea issued patent. The 59 allowed or issued patents generally expire between July 2035 and December 2041. As of March 31, 2023, we had 73 pending non-provisional and provisional patent application filings, including 34 in the United States, 19 in Europe, 16 in China, three in South Korea and one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it is difficult and costly to monitor the use of our IP. It may be the case that our IP is already being infringed and infringement may occur in the future without our knowledge. Litigation may be necessary to enforce our IP rights. While it is our policy to protect and defend our rights to our IP, we cannot predict whether steps taken by us to enforce and protect our IP rights will be adequate to prevent infringement, misappropriation, or other violations of our IP rights. Any inability to meaningfully enforce our IP rights could harm our ability to compete. Moreover, in any lawsuit we bring to enforce our IP rights, a court may refuse to stop the other party from using the technology at issue on grounds that our IP rights do not cover the technology in question. Further, in such proceedings, the defendant could counterclaim that our IP is invalid or unenforceable and the court may agree, in which case we could lose valuable IP rights. Any litigation of this nature, regardless of outcome or merit, could materially harm our business and hurt our competitive advantage.</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noted above, we seek to protect our proprietary technology and innovations, particularly those relating to our products, as patents, trade secrets and other forms of IP.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ability to compete successfully depends in part on our ability to commercialize our IP solutions without infringing the patent, trade secret or other IP rights of others.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the same extent that we seek to protect our technology and inventions with patents, trade secrets and other IP rights, our competitors and other third parties do the same for their technology and inventions.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Claims by other companies that we infringe their intellectual property rights or that patents on which we rely are invalid could adversely affect our business.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semiconductor industry is ripe with patent assertion entities and is characterized by frequent litigation regarding patent and other IP rights. From time to time, we receive communications from or are sued by third parties that allege that our products or technologies infringe their patent or other IP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 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event that any third-party succeeds in asserting a valid claim against us or any of our customers, we could be forced to do one or more of the following:</w:t>
      </w:r>
    </w:p>
    <w:p>
      <w:pPr>
        <w:spacing w:after="0" w:line="99" w:lineRule="exact"/>
        <w:rPr>
          <w:sz w:val="20"/>
          <w:szCs w:val="20"/>
          <w:color w:val="auto"/>
        </w:rPr>
      </w:pPr>
    </w:p>
    <w:p>
      <w:pPr>
        <w:ind w:left="820" w:right="20" w:hanging="326"/>
        <w:spacing w:after="0" w:line="287" w:lineRule="auto"/>
        <w:tabs>
          <w:tab w:leader="none" w:pos="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discontinue selling access to certain technologies that contain the allegedly infringing IP which would result in a decline in our revenue and could result in breach of contract claim by our affected customers and damage to our reputation;</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stop receiving payment from a customer that can no longer sell the end-product if it contains allegedly infringing IP;</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to develop non-infringing technologies, which may not be feasible;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substantial monetary damages to the party whose IP rights we may be found to be infringing; and/or</w:t>
      </w:r>
    </w:p>
    <w:p>
      <w:pPr>
        <w:spacing w:after="0" w:line="171" w:lineRule="exact"/>
        <w:rPr>
          <w:rFonts w:ascii="Arial" w:cs="Arial" w:eastAsia="Arial" w:hAnsi="Arial"/>
          <w:sz w:val="18"/>
          <w:szCs w:val="18"/>
          <w:color w:val="auto"/>
        </w:rPr>
      </w:pPr>
    </w:p>
    <w:p>
      <w:pPr>
        <w:ind w:left="820" w:hanging="326"/>
        <w:spacing w:after="0" w:line="287" w:lineRule="auto"/>
        <w:tabs>
          <w:tab w:leader="none" w:pos="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customers could be required to seek licenses to the infringed technology that may not be available on commercially reasonable terms, if at all.</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 third party causes us to discontinue the use of any of our technologies, we could be required to design around those technologies. This could be costly and time consuming and could have an adverse impact on our financial results. Any significant impairments of our IP rights from any litigation we face could harm our business and our ability to compete in our industry.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IP on reasonable terms or at all, which may disrupt our business and harm our financial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license third-party software and other IP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IP rights may be licensed to us on a non-exclusive basis, and accordingly, the owners of such IP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 Qualcomm Agreements” in our 2022 Form 10-K for additional information. Third parties may stop adequately supporting or maintaining their technology, or they or their technology may be acquired by our competitors. If we are unable to obtain licenses to these third-party software and IP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 -party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cannot be certain that our licensors are not infringing the IP rights of others or that our licensors have sufficient rights to the IP to grant us the applicable licenses. Although we seek to mitigate this risk contractually, we may not be able to sufficiently limit our potential liability. If we are unable to obtain or maintain rights to any of this IP because of IP infringement claims brought by third parties against our licensors or against us, our ability to develop, maintain and support our products and technology incorporating that IP could be severely limited and our business could be harmed. Furthermore, regardless of outcome, infringement claims may require us to use significant resources and may divert management’s attention.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may not be eliminated and may, if not properly addressed, result in unanticipated obligations that could harm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dispute regarding our IP may require us to indemnify certain customers, the cost of which could severely harm our business.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any potential dispute involving our patents or other IP, our customers could also become the target of litigation. Some of our agreements, including those with key customers like Texas Instruments Incorporated and Samsung Electronics Co., Ltd.,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 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w:t>
      </w:r>
    </w:p>
    <w:p>
      <w:pPr>
        <w:spacing w:after="0" w:line="14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Additionally,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Untied States Signals Intelligence Activities.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has published revised SCCs, which must be used for relevant new data transfers from September 27, 2021; existing standard contractual clauses arrangements must be migrated to the revised SCCs by December 27, 2022. We currently rely on the SCCs to transfer personal data outside the EEA and the UK, including to the U.S., with respect to both intragroup and third 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comply with the large body of laws and regulations to which we are subject could materially harm our business.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derived zero and 0.7% of our revenue in the form of royalties in the three months ended March 31, 2023 and the year ended 2022, respectively, from parties that are subject to the Entity List of the EAR (a list of entities to which the transfer of EAR-controlled technology or software requires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2021, we submitted a voluntary self-disclosure (VSD) to the BIS, noting potential violations of the EAR. On April 28, 2022, the Office of Export Enforcement of the BIS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doing business in China.</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March 31, 2023, we derived 29.0%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28" w:lineRule="exact"/>
        <w:rPr>
          <w:sz w:val="20"/>
          <w:szCs w:val="20"/>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Chinese government exerts substantial influence over the manner in which we must conduct our business activities.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currency exchange may limit our ability to receive, transfer and use our cash effectively.</w:t>
      </w:r>
    </w:p>
    <w:p>
      <w:pPr>
        <w:spacing w:after="0" w:line="157" w:lineRule="exact"/>
        <w:rPr>
          <w:rFonts w:ascii="Arial" w:cs="Arial" w:eastAsia="Arial" w:hAnsi="Arial"/>
          <w:sz w:val="18"/>
          <w:szCs w:val="18"/>
          <w:color w:val="auto"/>
        </w:rPr>
      </w:pPr>
    </w:p>
    <w:p>
      <w:pPr>
        <w:ind w:left="820" w:hanging="326"/>
        <w:spacing w:after="0" w:line="271"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IP rights including any IP rights that we may license to a Chinese (or other emerging jurisdiction) entity, including any joint ventures we may form.</w:t>
      </w:r>
    </w:p>
    <w:p>
      <w:pPr>
        <w:spacing w:after="0" w:line="113"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uncertainties relating to Chinese regulation of exports of products and technology to and from China.</w:t>
      </w:r>
    </w:p>
    <w:p>
      <w:pPr>
        <w:spacing w:after="0" w:line="171" w:lineRule="exact"/>
        <w:rPr>
          <w:rFonts w:ascii="Arial" w:cs="Arial" w:eastAsia="Arial" w:hAnsi="Arial"/>
          <w:sz w:val="18"/>
          <w:szCs w:val="18"/>
          <w:color w:val="auto"/>
        </w:rPr>
      </w:pPr>
    </w:p>
    <w:p>
      <w:pPr>
        <w:ind w:left="820" w:right="20" w:hanging="326"/>
        <w:spacing w:after="0" w:line="287" w:lineRule="auto"/>
        <w:tabs>
          <w:tab w:leader="none" w:pos="8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and rapidly changing export and related trade regulations and restrictions imposed by U.S. and Chinese legislation, executive actions and regulations.</w:t>
      </w:r>
    </w:p>
    <w:p>
      <w:pPr>
        <w:spacing w:after="0" w:line="98" w:lineRule="exact"/>
        <w:rPr>
          <w:rFonts w:ascii="Arial" w:cs="Arial" w:eastAsia="Arial" w:hAnsi="Arial"/>
          <w:sz w:val="18"/>
          <w:szCs w:val="18"/>
          <w:color w:val="auto"/>
        </w:rPr>
      </w:pPr>
    </w:p>
    <w:p>
      <w:pPr>
        <w:ind w:left="820" w:hanging="326"/>
        <w:spacing w:after="0" w:line="287" w:lineRule="auto"/>
        <w:tabs>
          <w:tab w:leader="none" w:pos="8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of travel to and from China (and to and from United States) arising from or related to the COVID-19 pandemic or any future pandemic.</w:t>
      </w:r>
    </w:p>
    <w:p>
      <w:pPr>
        <w:spacing w:after="0" w:line="98"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contracts with certain parties.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restrictive rules on foreign investment could adversely affect our ability to expand our operations in China.</w:t>
      </w:r>
    </w:p>
    <w:p>
      <w:pPr>
        <w:spacing w:after="0" w:line="171" w:lineRule="exact"/>
        <w:rPr>
          <w:rFonts w:ascii="Arial" w:cs="Arial" w:eastAsia="Arial" w:hAnsi="Arial"/>
          <w:sz w:val="18"/>
          <w:szCs w:val="18"/>
          <w:color w:val="auto"/>
        </w:rPr>
      </w:pPr>
    </w:p>
    <w:p>
      <w:pPr>
        <w:ind w:left="820" w:right="20" w:hanging="326"/>
        <w:spacing w:after="0" w:line="287"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our growing operations in China, these risks could harm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on October 7, 2022, the Bureau of Industry and Security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These restrictions, and any subsequent restrictions, may have an adverse effect on our business, results of operations, or financial condition and we currently anticipate that we may no longer be able to license or support our products to certain Chinese companies.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99" w:lineRule="exact"/>
        <w:rPr>
          <w:sz w:val="20"/>
          <w:szCs w:val="20"/>
          <w:color w:val="auto"/>
        </w:rPr>
      </w:pPr>
    </w:p>
    <w:p>
      <w:pPr>
        <w:ind w:left="820" w:hanging="326"/>
        <w:spacing w:after="0" w:line="287"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not commit sufficient resources to market and distribute our products or to otherwise support the joint venture and its intended operations.</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have economic or business interests or goals that are different from ours.</w:t>
      </w:r>
    </w:p>
    <w:p>
      <w:pPr>
        <w:spacing w:after="0" w:line="171"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infringe the IP we assign to such joint venture, or the IP of other parties, which may expose us to litigation and other potential liabilities.</w:t>
      </w:r>
    </w:p>
    <w:p>
      <w:pPr>
        <w:spacing w:after="0" w:line="98" w:lineRule="exact"/>
        <w:rPr>
          <w:rFonts w:ascii="Arial" w:cs="Arial" w:eastAsia="Arial" w:hAnsi="Arial"/>
          <w:sz w:val="18"/>
          <w:szCs w:val="18"/>
          <w:color w:val="auto"/>
        </w:rPr>
      </w:pPr>
    </w:p>
    <w:p>
      <w:pPr>
        <w:jc w:val="both"/>
        <w:ind w:left="820" w:hanging="326"/>
        <w:spacing w:after="0" w:line="268" w:lineRule="auto"/>
        <w:tabs>
          <w:tab w:leader="none" w:pos="8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spacing w:after="0" w:line="116"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spacing w:after="0" w:line="116" w:lineRule="exact"/>
        <w:rPr>
          <w:rFonts w:ascii="Arial" w:cs="Arial" w:eastAsia="Arial" w:hAnsi="Arial"/>
          <w:sz w:val="18"/>
          <w:szCs w:val="18"/>
          <w:color w:val="auto"/>
        </w:rPr>
      </w:pPr>
    </w:p>
    <w:p>
      <w:pPr>
        <w:ind w:left="800" w:hanging="30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additional capital requirements.</w:t>
      </w:r>
    </w:p>
    <w:p>
      <w:pPr>
        <w:spacing w:after="0" w:line="171"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the risks related to doing business in China or having a Chinese joint venture or investment that are discussed elsewhere in these risk factors.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occurrence of one or more of the above risks, or any other negative events, could adversely impact our joint ventures or similar investments and could in turn harm our business.</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an increasing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6" w:name="page67"/>
    <w:bookmarkEnd w:id="6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7" w:name="page68"/>
    <w:bookmarkEnd w:id="6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22" w:lineRule="exact"/>
        <w:rPr>
          <w:sz w:val="20"/>
          <w:szCs w:val="20"/>
          <w:color w:val="auto"/>
        </w:rPr>
      </w:pPr>
    </w:p>
    <w:p>
      <w:pPr>
        <w:ind w:left="820" w:hanging="326"/>
        <w:spacing w:after="0" w:line="287" w:lineRule="auto"/>
        <w:tabs>
          <w:tab w:leader="none" w:pos="8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engage an auditor to report on our internal controls over financial reporting pursuant to Section 404(b) of the Sarbanes-Oxley Act;</w:t>
      </w:r>
    </w:p>
    <w:p>
      <w:pPr>
        <w:spacing w:after="0" w:line="98" w:lineRule="exact"/>
        <w:rPr>
          <w:rFonts w:ascii="Arial" w:cs="Arial" w:eastAsia="Arial" w:hAnsi="Arial"/>
          <w:sz w:val="18"/>
          <w:szCs w:val="18"/>
          <w:color w:val="auto"/>
        </w:rPr>
      </w:pPr>
    </w:p>
    <w:p>
      <w:pPr>
        <w:jc w:val="both"/>
        <w:ind w:left="820" w:hanging="326"/>
        <w:spacing w:after="0" w:line="268" w:lineRule="auto"/>
        <w:tabs>
          <w:tab w:leader="none" w:pos="8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16" w:lineRule="exact"/>
        <w:rPr>
          <w:rFonts w:ascii="Arial" w:cs="Arial" w:eastAsia="Arial" w:hAnsi="Arial"/>
          <w:sz w:val="18"/>
          <w:szCs w:val="18"/>
          <w:color w:val="auto"/>
        </w:rPr>
      </w:pPr>
    </w:p>
    <w:p>
      <w:pPr>
        <w:ind w:left="820" w:hanging="326"/>
        <w:spacing w:after="0" w:line="287" w:lineRule="auto"/>
        <w:tabs>
          <w:tab w:leader="none" w:pos="8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“say-on-golden-parachutes”; and</w:t>
      </w:r>
    </w:p>
    <w:p>
      <w:pPr>
        <w:spacing w:after="0" w:line="98" w:lineRule="exact"/>
        <w:rPr>
          <w:rFonts w:ascii="Arial" w:cs="Arial" w:eastAsia="Arial" w:hAnsi="Arial"/>
          <w:sz w:val="18"/>
          <w:szCs w:val="18"/>
          <w:color w:val="auto"/>
        </w:rPr>
      </w:pPr>
    </w:p>
    <w:p>
      <w:pPr>
        <w:jc w:val="both"/>
        <w:ind w:left="820" w:hanging="326"/>
        <w:spacing w:after="0" w:line="318" w:lineRule="auto"/>
        <w:tabs>
          <w:tab w:leader="none" w:pos="8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8" w:name="page69"/>
    <w:bookmarkEnd w:id="6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are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and liquid trading market for our common stock may not be sustained.</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stock price may be volatile, and investors in our common stock may not be able to resell shares of our common stock at or above the price paid, or at all.</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trading price of our common stock could be volatile and subject to wide fluctuations in response to various factors, many of which are beyond our control, including, but not limited to:</w:t>
      </w:r>
    </w:p>
    <w:p>
      <w:pPr>
        <w:spacing w:after="0" w:line="99" w:lineRule="exact"/>
        <w:rPr>
          <w:sz w:val="20"/>
          <w:szCs w:val="20"/>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effects arising if U.S. inflationary and/or currency devaluation trends appear or increase;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171" w:lineRule="exact"/>
        <w:rPr>
          <w:rFonts w:ascii="Arial" w:cs="Arial" w:eastAsia="Arial" w:hAnsi="Arial"/>
          <w:sz w:val="18"/>
          <w:szCs w:val="18"/>
          <w:color w:val="auto"/>
        </w:rPr>
      </w:pPr>
    </w:p>
    <w:p>
      <w:pPr>
        <w:ind w:left="820" w:right="20" w:hanging="326"/>
        <w:spacing w:after="0" w:line="287" w:lineRule="auto"/>
        <w:tabs>
          <w:tab w:leader="none" w:pos="8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meet our publicly announced guidance or other expectations about our business;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69" w:name="page70"/>
    <w:bookmarkEnd w:id="6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820" w:hanging="326"/>
        <w:spacing w:after="0" w:line="262" w:lineRule="auto"/>
        <w:tabs>
          <w:tab w:leader="none" w:pos="8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22"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71" w:lineRule="exact"/>
        <w:rPr>
          <w:rFonts w:ascii="Arial" w:cs="Arial" w:eastAsia="Arial" w:hAnsi="Arial"/>
          <w:sz w:val="18"/>
          <w:szCs w:val="18"/>
          <w:color w:val="auto"/>
        </w:rPr>
      </w:pPr>
    </w:p>
    <w:p>
      <w:pPr>
        <w:ind w:left="820" w:hanging="326"/>
        <w:spacing w:after="0" w:line="287" w:lineRule="auto"/>
        <w:tabs>
          <w:tab w:leader="none" w:pos="8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98"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71" w:lineRule="exact"/>
        <w:rPr>
          <w:rFonts w:ascii="Arial" w:cs="Arial" w:eastAsia="Arial" w:hAnsi="Arial"/>
          <w:sz w:val="18"/>
          <w:szCs w:val="18"/>
          <w:color w:val="auto"/>
        </w:rPr>
      </w:pPr>
    </w:p>
    <w:p>
      <w:pPr>
        <w:jc w:val="both"/>
        <w:ind w:left="820" w:hanging="326"/>
        <w:spacing w:after="0" w:line="268" w:lineRule="auto"/>
        <w:tabs>
          <w:tab w:leader="none" w:pos="8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16"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including rising interest rates; and</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report.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our stock price may be volatile, investors in our common stock may not be able to resell shares of our common stock at or above the price paid, or at all.</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which could cause our stock price to decline.</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0" w:name="page71"/>
    <w:bookmarkEnd w:id="7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March 31, 2023, we had approximately 35.3 million shares of common stock outstanding.</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additional shares outside of a Rule 10b5-1 plan when they are not in possession of material, nonpublic information.</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K. Charles Janac, our President, Chief Executive Officer and Chairman, held voting power over approximately 29.8%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1" w:name="page72"/>
    <w:bookmarkEnd w:id="7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300,000,000 shares of common stock authorized as of March 31, 2023.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common stock for the foreseeable future.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spacing w:after="0" w:line="13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Management may apply our net proceeds from our initial public offering to uses that do not increase our market value or improve our operating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2" w:name="page73"/>
    <w:bookmarkEnd w:id="7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8"/>
          <w:szCs w:val="18"/>
          <w:color w:val="auto"/>
        </w:rPr>
        <w:t>.</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29" w:lineRule="exact"/>
        <w:rPr>
          <w:sz w:val="20"/>
          <w:szCs w:val="20"/>
          <w:color w:val="auto"/>
        </w:rPr>
      </w:pPr>
    </w:p>
    <w:p>
      <w:pPr>
        <w:ind w:left="660" w:hanging="328"/>
        <w:spacing w:after="0" w:line="287" w:lineRule="auto"/>
        <w:tabs>
          <w:tab w:leader="none" w:pos="6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have the effect of deferring, delaying or discouraging hostile takeovers, or changes in control of us or our management;</w:t>
      </w:r>
    </w:p>
    <w:p>
      <w:pPr>
        <w:spacing w:after="0" w:line="98"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71"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98" w:lineRule="exact"/>
        <w:rPr>
          <w:rFonts w:ascii="Arial" w:cs="Arial" w:eastAsia="Arial" w:hAnsi="Arial"/>
          <w:sz w:val="18"/>
          <w:szCs w:val="18"/>
          <w:color w:val="auto"/>
        </w:rPr>
      </w:pPr>
    </w:p>
    <w:p>
      <w:pPr>
        <w:ind w:left="660" w:hanging="328"/>
        <w:spacing w:after="0" w:line="287" w:lineRule="auto"/>
        <w:tabs>
          <w:tab w:leader="none" w:pos="6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98" w:lineRule="exact"/>
        <w:rPr>
          <w:rFonts w:ascii="Arial" w:cs="Arial" w:eastAsia="Arial" w:hAnsi="Arial"/>
          <w:sz w:val="18"/>
          <w:szCs w:val="18"/>
          <w:color w:val="auto"/>
        </w:rPr>
      </w:pPr>
    </w:p>
    <w:p>
      <w:pPr>
        <w:jc w:val="both"/>
        <w:ind w:left="660" w:right="20" w:hanging="328"/>
        <w:spacing w:after="0" w:line="268" w:lineRule="auto"/>
        <w:tabs>
          <w:tab w:leader="none" w:pos="6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3" w:name="page74"/>
    <w:bookmarkEnd w:id="7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8"/>
          <w:szCs w:val="18"/>
          <w:color w:val="auto"/>
        </w:rPr>
        <w:t>.</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4" w:name="page75"/>
    <w:bookmarkEnd w:id="7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Litigation, including securities class action litigation, may impair our reputation and lead us to incur significant costs. We are a party to a patent litigation</w:t>
      </w:r>
      <w:r>
        <w:rPr>
          <w:rFonts w:ascii="Arial" w:cs="Arial" w:eastAsia="Arial" w:hAnsi="Arial"/>
          <w:sz w:val="18"/>
          <w:szCs w:val="18"/>
          <w:color w:val="auto"/>
        </w:rPr>
        <w:t>.</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may be party to various lawsuits and claims arising in the normal course of business, which may include lawsuits or claims relating to contracts, third-party contractors, IP, employment matters or other aspects of our business. We may face claims based on IP rights from individuals, companies, non-practicing entities, academic and research institutions, and other parties, including claims from multiple sources against us and other companies. Claims that our products infringe the IP rights of others, regardless of merit, may cause us to incur large costs to respond to, defend and resolve the claims, and they may divert the efforts and attention of our management and technical personnel from our operations.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Jefferies LLC and Cowen served as lead book-running managers and BMO Capital Markets served as joint book-running manager for the offering. Northland Capital Markets and Rosenblatt Securities acted as co-managers.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5" w:name="page76"/>
    <w:bookmarkEnd w:id="7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399"/>
        <w:spacing w:after="0"/>
        <w:rPr>
          <w:sz w:val="20"/>
          <w:szCs w:val="20"/>
          <w:color w:val="auto"/>
        </w:rPr>
      </w:pPr>
      <w:r>
        <w:rPr>
          <w:rFonts w:ascii="Verdana" w:cs="Verdana" w:eastAsia="Verdana" w:hAnsi="Verdana"/>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 w:right="1440" w:bottom="1440" w:gutter="0" w:footer="0" w:header="0"/>
        </w:sectPr>
      </w:pPr>
    </w:p>
    <w:bookmarkStart w:id="76" w:name="page77"/>
    <w:bookmarkEnd w:id="7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6560" w:type="dxa"/>
            <w:vAlign w:val="bottom"/>
            <w:gridSpan w:val="11"/>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232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Exhibit   Filing DateFiled</w:t>
            </w:r>
          </w:p>
        </w:tc>
      </w:tr>
      <w:tr>
        <w:trPr>
          <w:trHeight w:val="185"/>
        </w:trPr>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1558"/>
              <w:spacing w:after="0"/>
              <w:rPr>
                <w:sz w:val="20"/>
                <w:szCs w:val="20"/>
                <w:color w:val="auto"/>
              </w:rPr>
            </w:pPr>
            <w:r>
              <w:rPr>
                <w:rFonts w:ascii="Arial" w:cs="Arial" w:eastAsia="Arial" w:hAnsi="Arial"/>
                <w:sz w:val="14"/>
                <w:szCs w:val="14"/>
                <w:b w:val="1"/>
                <w:bCs w:val="1"/>
                <w:color w:val="auto"/>
              </w:rPr>
              <w:t>Herewith</w:t>
            </w:r>
          </w:p>
        </w:tc>
      </w:tr>
      <w:tr>
        <w:trPr>
          <w:trHeight w:val="182"/>
        </w:trPr>
        <w:tc>
          <w:tcPr>
            <w:tcW w:w="28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80" w:type="dxa"/>
            <w:vAlign w:val="bottom"/>
          </w:tcPr>
          <w:p>
            <w:pPr>
              <w:spacing w:after="0"/>
              <w:rPr>
                <w:sz w:val="15"/>
                <w:szCs w:val="15"/>
                <w:color w:val="auto"/>
              </w:rPr>
            </w:pPr>
          </w:p>
        </w:tc>
        <w:tc>
          <w:tcPr>
            <w:tcW w:w="6580" w:type="dxa"/>
            <w:vAlign w:val="bottom"/>
            <w:gridSpan w:val="12"/>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Amended and Restated Certificate of Incorporation of Arteris, Inc.</w:t>
              </w:r>
            </w:hyperlink>
          </w:p>
        </w:tc>
        <w:tc>
          <w:tcPr>
            <w:tcW w:w="640" w:type="dxa"/>
            <w:vAlign w:val="bottom"/>
          </w:tcPr>
          <w:p>
            <w:pPr>
              <w:ind w:left="100"/>
              <w:spacing w:after="0" w:line="182" w:lineRule="exact"/>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line="182" w:lineRule="exact"/>
              <w:rPr>
                <w:sz w:val="20"/>
                <w:szCs w:val="20"/>
                <w:color w:val="auto"/>
              </w:rPr>
            </w:pPr>
            <w:r>
              <w:rPr>
                <w:rFonts w:ascii="Arial" w:cs="Arial" w:eastAsia="Arial" w:hAnsi="Arial"/>
                <w:sz w:val="18"/>
                <w:szCs w:val="18"/>
                <w:color w:val="auto"/>
              </w:rPr>
              <w:t>3.1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8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89">
              <w:r>
                <w:rPr>
                  <w:rFonts w:ascii="Arial" w:cs="Arial" w:eastAsia="Arial" w:hAnsi="Arial"/>
                  <w:sz w:val="18"/>
                  <w:szCs w:val="18"/>
                  <w:color w:val="0000FF"/>
                </w:rPr>
                <w:t>Amended and Restated Bylaws of Arteris, Inc.</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8-K</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3.2 10-29-2021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9"/>
        </w:trPr>
        <w:tc>
          <w:tcPr>
            <w:tcW w:w="540" w:type="dxa"/>
            <w:vAlign w:val="bottom"/>
            <w:gridSpan w:val="3"/>
          </w:tcPr>
          <w:p>
            <w:pPr>
              <w:jc w:val="center"/>
              <w:ind w:left="191"/>
              <w:spacing w:after="0"/>
              <w:rPr>
                <w:rFonts w:ascii="Arial" w:cs="Arial" w:eastAsia="Arial" w:hAnsi="Arial"/>
                <w:sz w:val="18"/>
                <w:szCs w:val="18"/>
                <w:color w:val="0000FF"/>
              </w:rPr>
            </w:pPr>
            <w:hyperlink r:id="rId9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90">
              <w:r>
                <w:rPr>
                  <w:rFonts w:ascii="Arial" w:cs="Arial" w:eastAsia="Arial" w:hAnsi="Arial"/>
                  <w:sz w:val="18"/>
                  <w:szCs w:val="18"/>
                  <w:color w:val="0000FF"/>
                </w:rPr>
                <w:t>Specimen Stock Certificate evidencing the shares of common stock.</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S-1/A</w:t>
            </w:r>
          </w:p>
        </w:tc>
        <w:tc>
          <w:tcPr>
            <w:tcW w:w="2320" w:type="dxa"/>
            <w:vAlign w:val="bottom"/>
          </w:tcPr>
          <w:p>
            <w:pPr>
              <w:jc w:val="right"/>
              <w:ind w:right="618"/>
              <w:spacing w:after="0"/>
              <w:rPr>
                <w:sz w:val="20"/>
                <w:szCs w:val="20"/>
                <w:color w:val="auto"/>
              </w:rPr>
            </w:pPr>
            <w:r>
              <w:rPr>
                <w:rFonts w:ascii="Arial" w:cs="Arial" w:eastAsia="Arial" w:hAnsi="Arial"/>
                <w:sz w:val="18"/>
                <w:szCs w:val="18"/>
                <w:color w:val="auto"/>
              </w:rPr>
              <w:t>4.1 10-18-2021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32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0"/>
        </w:trPr>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5460" w:type="dxa"/>
            <w:vAlign w:val="bottom"/>
            <w:gridSpan w:val="6"/>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580" w:type="dxa"/>
            <w:vAlign w:val="bottom"/>
            <w:gridSpan w:val="12"/>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tcBorders>
              <w:top w:val="single" w:sz="8" w:color="0000FF"/>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00" w:type="dxa"/>
            <w:vAlign w:val="bottom"/>
            <w:tcBorders>
              <w:top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23"/>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94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10"/>
        </w:trPr>
        <w:tc>
          <w:tcPr>
            <w:tcW w:w="7400" w:type="dxa"/>
            <w:vAlign w:val="bottom"/>
            <w:gridSpan w:val="16"/>
          </w:tcPr>
          <w:p>
            <w:pPr>
              <w:ind w:left="8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640" w:type="dxa"/>
            <w:vAlign w:val="bottom"/>
          </w:tcPr>
          <w:p>
            <w:pPr>
              <w:spacing w:after="0"/>
              <w:rPr>
                <w:sz w:val="18"/>
                <w:szCs w:val="18"/>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4"/>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580" w:type="dxa"/>
            <w:vAlign w:val="bottom"/>
            <w:gridSpan w:val="12"/>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64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29"/>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101.SCH XBRL Taxonomy Extension Schema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101.CAL XBRL Taxonomy Extension Calculation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30"/>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101.LAB XBRL Taxonomy Extension Label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101.PRE XBRL Taxonomy Extension Presentation Linkbase Document.</w:t>
            </w:r>
          </w:p>
        </w:tc>
        <w:tc>
          <w:tcPr>
            <w:tcW w:w="640" w:type="dxa"/>
            <w:vAlign w:val="bottom"/>
          </w:tcPr>
          <w:p>
            <w:pPr>
              <w:spacing w:after="0"/>
              <w:rPr>
                <w:sz w:val="19"/>
                <w:szCs w:val="19"/>
                <w:color w:val="auto"/>
              </w:rPr>
            </w:pPr>
          </w:p>
        </w:tc>
        <w:tc>
          <w:tcPr>
            <w:tcW w:w="2320" w:type="dxa"/>
            <w:vAlign w:val="bottom"/>
          </w:tcPr>
          <w:p>
            <w:pPr>
              <w:jc w:val="center"/>
              <w:ind w:left="1558"/>
              <w:spacing w:after="0"/>
              <w:rPr>
                <w:sz w:val="20"/>
                <w:szCs w:val="20"/>
                <w:color w:val="auto"/>
              </w:rPr>
            </w:pPr>
            <w:r>
              <w:rPr>
                <w:rFonts w:ascii="Arial" w:cs="Arial" w:eastAsia="Arial" w:hAnsi="Arial"/>
                <w:sz w:val="18"/>
                <w:szCs w:val="18"/>
                <w:color w:val="auto"/>
                <w:w w:val="99"/>
              </w:rPr>
              <w:t>X</w:t>
            </w:r>
          </w:p>
        </w:tc>
      </w:tr>
      <w:tr>
        <w:trPr>
          <w:trHeight w:val="181"/>
        </w:trPr>
        <w:tc>
          <w:tcPr>
            <w:tcW w:w="540" w:type="dxa"/>
            <w:vAlign w:val="bottom"/>
            <w:gridSpan w:val="3"/>
          </w:tcPr>
          <w:p>
            <w:pPr>
              <w:jc w:val="center"/>
              <w:ind w:left="151"/>
              <w:spacing w:after="0" w:line="181" w:lineRule="exact"/>
              <w:rPr>
                <w:sz w:val="20"/>
                <w:szCs w:val="20"/>
                <w:color w:val="auto"/>
              </w:rPr>
            </w:pPr>
            <w:r>
              <w:rPr>
                <w:rFonts w:ascii="Arial" w:cs="Arial" w:eastAsia="Arial" w:hAnsi="Arial"/>
                <w:sz w:val="18"/>
                <w:szCs w:val="18"/>
                <w:color w:val="auto"/>
                <w:w w:val="99"/>
              </w:rPr>
              <w:t>104</w:t>
            </w:r>
          </w:p>
        </w:tc>
        <w:tc>
          <w:tcPr>
            <w:tcW w:w="280" w:type="dxa"/>
            <w:vAlign w:val="bottom"/>
          </w:tcPr>
          <w:p>
            <w:pPr>
              <w:spacing w:after="0"/>
              <w:rPr>
                <w:sz w:val="15"/>
                <w:szCs w:val="15"/>
                <w:color w:val="auto"/>
              </w:rPr>
            </w:pPr>
          </w:p>
        </w:tc>
        <w:tc>
          <w:tcPr>
            <w:tcW w:w="6580" w:type="dxa"/>
            <w:vAlign w:val="bottom"/>
            <w:gridSpan w:val="12"/>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640" w:type="dxa"/>
            <w:vAlign w:val="bottom"/>
          </w:tcPr>
          <w:p>
            <w:pPr>
              <w:spacing w:after="0"/>
              <w:rPr>
                <w:sz w:val="15"/>
                <w:szCs w:val="15"/>
                <w:color w:val="auto"/>
              </w:rPr>
            </w:pPr>
          </w:p>
        </w:tc>
        <w:tc>
          <w:tcPr>
            <w:tcW w:w="2320" w:type="dxa"/>
            <w:vAlign w:val="bottom"/>
          </w:tcPr>
          <w:p>
            <w:pPr>
              <w:jc w:val="center"/>
              <w:ind w:left="1558"/>
              <w:spacing w:after="0" w:line="181" w:lineRule="exact"/>
              <w:rPr>
                <w:sz w:val="20"/>
                <w:szCs w:val="20"/>
                <w:color w:val="auto"/>
              </w:rPr>
            </w:pPr>
            <w:r>
              <w:rPr>
                <w:rFonts w:ascii="Arial" w:cs="Arial" w:eastAsia="Arial" w:hAnsi="Arial"/>
                <w:sz w:val="18"/>
                <w:szCs w:val="18"/>
                <w:color w:val="auto"/>
                <w:w w:val="99"/>
              </w:rPr>
              <w:t>X</w:t>
            </w:r>
          </w:p>
        </w:tc>
      </w:tr>
      <w:tr>
        <w:trPr>
          <w:trHeight w:val="239"/>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Exhibits 101).</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52292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Indicates a management contract or compensatory plan or arrangement.</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right="2200"/>
        <w:spacing w:after="0" w:line="221" w:lineRule="auto"/>
        <w:rPr>
          <w:sz w:val="20"/>
          <w:szCs w:val="20"/>
          <w:color w:val="auto"/>
        </w:rPr>
      </w:pPr>
      <w:r>
        <w:rPr>
          <w:rFonts w:ascii="Arial" w:cs="Arial" w:eastAsia="Arial" w:hAnsi="Arial"/>
          <w:sz w:val="14"/>
          <w:szCs w:val="14"/>
          <w:color w:val="auto"/>
        </w:rPr>
        <w:t>Portions of this exhibit (indicated by asterisks) have been omitted pursuant to Item 601(b)(10)(iv) of Regulation S-K under the Securities Act of 1933, as amended, because they are both (i) not material and (ii) the type of information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that the registrant both customarily and actually treats as private and confidential.</w:t>
      </w:r>
    </w:p>
    <w:p>
      <w:pPr>
        <w:spacing w:after="0" w:line="28" w:lineRule="exact"/>
        <w:rPr>
          <w:sz w:val="20"/>
          <w:szCs w:val="20"/>
          <w:color w:val="auto"/>
        </w:rPr>
      </w:pPr>
    </w:p>
    <w:p>
      <w:pPr>
        <w:ind w:left="840" w:right="2160" w:hanging="462"/>
        <w:spacing w:after="0" w:line="232"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Verdana" w:cs="Verdana" w:eastAsia="Verdana" w:hAnsi="Verdana"/>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35" w:right="1219" w:bottom="1440" w:gutter="0" w:footer="0" w:header="0"/>
        </w:sectPr>
      </w:pPr>
    </w:p>
    <w:bookmarkStart w:id="77" w:name="page78"/>
    <w:bookmarkEnd w:id="7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333" w:lineRule="exact"/>
        <w:rPr>
          <w:sz w:val="20"/>
          <w:szCs w:val="20"/>
          <w:color w:val="auto"/>
        </w:rPr>
      </w:pPr>
    </w:p>
    <w:tbl>
      <w:tblPr>
        <w:tblLayout w:type="fixed"/>
        <w:tblInd w:w="6100" w:type="dxa"/>
        <w:tblCellMar>
          <w:top w:w="0" w:type="dxa"/>
          <w:left w:w="0" w:type="dxa"/>
          <w:bottom w:w="0" w:type="dxa"/>
          <w:right w:w="0" w:type="dxa"/>
        </w:tblCellMar>
      </w:tblPr>
      <w:tr>
        <w:trPr>
          <w:trHeight w:val="247"/>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1"/>
                <w:szCs w:val="21"/>
                <w:color w:val="auto"/>
              </w:rPr>
            </w:pPr>
          </w:p>
        </w:tc>
      </w:tr>
      <w:tr>
        <w:trPr>
          <w:trHeight w:val="528"/>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36"/>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4"/>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78</w:t>
      </w:r>
    </w:p>
    <w:p>
      <w:pPr>
        <w:sectPr>
          <w:pgSz w:w="11900" w:h="16838" w:orient="portrait"/>
          <w:cols w:equalWidth="0" w:num="1">
            <w:col w:w="11240"/>
          </w:cols>
          <w:pgMar w:left="320" w:top="13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firstLine="8"/>
        <w:spacing w:after="0" w:line="286" w:lineRule="auto"/>
        <w:tabs>
          <w:tab w:leader="none" w:pos="1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jc w:val="both"/>
        <w:ind w:left="1040" w:firstLine="5"/>
        <w:spacing w:after="0" w:line="257" w:lineRule="auto"/>
        <w:tabs>
          <w:tab w:leader="none" w:pos="1323"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firstLine="8"/>
        <w:spacing w:after="0" w:line="286" w:lineRule="auto"/>
        <w:tabs>
          <w:tab w:leader="none" w:pos="2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68"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80" w:type="dxa"/>
            <w:vAlign w:val="bottom"/>
          </w:tcPr>
          <w:p>
            <w:pPr>
              <w:spacing w:after="0"/>
              <w:rPr>
                <w:sz w:val="20"/>
                <w:szCs w:val="20"/>
                <w:color w:val="auto"/>
              </w:rPr>
            </w:pPr>
            <w:r>
              <w:rPr>
                <w:rFonts w:ascii="Arial" w:cs="Arial" w:eastAsia="Arial" w:hAnsi="Arial"/>
                <w:sz w:val="16"/>
                <w:szCs w:val="16"/>
                <w:color w:val="auto"/>
              </w:rPr>
              <w:t>Date: May 4, 2023</w:t>
            </w:r>
          </w:p>
        </w:tc>
        <w:tc>
          <w:tcPr>
            <w:tcW w:w="2920" w:type="dxa"/>
            <w:vAlign w:val="bottom"/>
          </w:tcPr>
          <w:p>
            <w:pPr>
              <w:ind w:left="184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3180" w:type="dxa"/>
            <w:vAlign w:val="bottom"/>
          </w:tcPr>
          <w:p>
            <w:pPr>
              <w:spacing w:after="0"/>
              <w:rPr>
                <w:sz w:val="2"/>
                <w:szCs w:val="2"/>
                <w:color w:val="auto"/>
              </w:rPr>
            </w:pPr>
          </w:p>
        </w:tc>
        <w:tc>
          <w:tcPr>
            <w:tcW w:w="2920" w:type="dxa"/>
            <w:vAlign w:val="bottom"/>
            <w:vMerge w:val="restart"/>
          </w:tcPr>
          <w:p>
            <w:pPr>
              <w:ind w:left="184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920" w:type="dxa"/>
            <w:vAlign w:val="bottom"/>
            <w:vMerge w:val="continue"/>
          </w:tcPr>
          <w:p>
            <w:pPr>
              <w:spacing w:after="0"/>
              <w:rPr>
                <w:sz w:val="19"/>
                <w:szCs w:val="19"/>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2920" w:type="dxa"/>
            <w:vAlign w:val="bottom"/>
          </w:tcPr>
          <w:p>
            <w:pPr>
              <w:ind w:left="184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86" w:lineRule="auto"/>
        <w:tabs>
          <w:tab w:leader="none" w:pos="2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6"/>
          <w:szCs w:val="16"/>
          <w:color w:val="auto"/>
        </w:rPr>
      </w:pPr>
    </w:p>
    <w:p>
      <w:pPr>
        <w:ind w:right="20" w:firstLine="8"/>
        <w:spacing w:after="0" w:line="286" w:lineRule="auto"/>
        <w:tabs>
          <w:tab w:leader="none" w:pos="18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firstLine="8"/>
        <w:spacing w:after="0" w:line="286" w:lineRule="auto"/>
        <w:tabs>
          <w:tab w:leader="none" w:pos="1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jc w:val="both"/>
        <w:ind w:left="1040" w:firstLine="5"/>
        <w:spacing w:after="0" w:line="257" w:lineRule="auto"/>
        <w:tabs>
          <w:tab w:leader="none" w:pos="1323"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jc w:val="both"/>
        <w:ind w:left="1040" w:firstLine="5"/>
        <w:spacing w:after="0" w:line="266" w:lineRule="auto"/>
        <w:tabs>
          <w:tab w:leader="none" w:pos="1296"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040" w:firstLine="5"/>
        <w:spacing w:after="0" w:line="286" w:lineRule="auto"/>
        <w:tabs>
          <w:tab w:leader="none" w:pos="1286"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left="1040" w:firstLine="5"/>
        <w:spacing w:after="0" w:line="266" w:lineRule="auto"/>
        <w:tabs>
          <w:tab w:leader="none" w:pos="13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firstLine="8"/>
        <w:spacing w:after="0" w:line="286" w:lineRule="auto"/>
        <w:tabs>
          <w:tab w:leader="none" w:pos="2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40" w:right="20" w:firstLine="5"/>
        <w:spacing w:after="0" w:line="286" w:lineRule="auto"/>
        <w:tabs>
          <w:tab w:leader="none" w:pos="131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40" w:right="20" w:firstLine="5"/>
        <w:spacing w:after="0" w:line="268" w:lineRule="auto"/>
        <w:tabs>
          <w:tab w:leader="none" w:pos="1296"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00" w:type="dxa"/>
            <w:vAlign w:val="bottom"/>
          </w:tcPr>
          <w:p>
            <w:pPr>
              <w:spacing w:after="0"/>
              <w:rPr>
                <w:sz w:val="20"/>
                <w:szCs w:val="20"/>
                <w:color w:val="auto"/>
              </w:rPr>
            </w:pPr>
            <w:r>
              <w:rPr>
                <w:rFonts w:ascii="Arial" w:cs="Arial" w:eastAsia="Arial" w:hAnsi="Arial"/>
                <w:sz w:val="16"/>
                <w:szCs w:val="16"/>
                <w:color w:val="auto"/>
              </w:rPr>
              <w:t>Date: May 4, 2023</w:t>
            </w:r>
          </w:p>
        </w:tc>
        <w:tc>
          <w:tcPr>
            <w:tcW w:w="3060" w:type="dxa"/>
            <w:vAlign w:val="bottom"/>
          </w:tcPr>
          <w:p>
            <w:pPr>
              <w:ind w:left="200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3060" w:type="dxa"/>
            <w:vAlign w:val="bottom"/>
            <w:vMerge w:val="restart"/>
          </w:tcPr>
          <w:p>
            <w:pPr>
              <w:ind w:left="200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19"/>
                <w:szCs w:val="19"/>
                <w:color w:val="auto"/>
              </w:rPr>
            </w:pPr>
          </w:p>
        </w:tc>
        <w:tc>
          <w:tcPr>
            <w:tcW w:w="3060" w:type="dxa"/>
            <w:vAlign w:val="bottom"/>
            <w:vMerge w:val="continue"/>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3060" w:type="dxa"/>
            <w:vAlign w:val="bottom"/>
          </w:tcPr>
          <w:p>
            <w:pPr>
              <w:ind w:left="200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March 31, 2023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20" w:type="dxa"/>
            <w:vAlign w:val="bottom"/>
          </w:tcPr>
          <w:p>
            <w:pPr>
              <w:spacing w:after="0"/>
              <w:rPr>
                <w:sz w:val="20"/>
                <w:szCs w:val="20"/>
                <w:color w:val="auto"/>
              </w:rPr>
            </w:pPr>
            <w:r>
              <w:rPr>
                <w:rFonts w:ascii="Arial" w:cs="Arial" w:eastAsia="Arial" w:hAnsi="Arial"/>
                <w:sz w:val="16"/>
                <w:szCs w:val="16"/>
                <w:color w:val="auto"/>
              </w:rPr>
              <w:t>Date: May 4, 2023</w:t>
            </w:r>
          </w:p>
        </w:tc>
        <w:tc>
          <w:tcPr>
            <w:tcW w:w="2820" w:type="dxa"/>
            <w:vAlign w:val="bottom"/>
          </w:tcPr>
          <w:p>
            <w:pPr>
              <w:ind w:left="160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2820" w:type="dxa"/>
            <w:vAlign w:val="bottom"/>
            <w:vMerge w:val="restart"/>
          </w:tcPr>
          <w:p>
            <w:pPr>
              <w:ind w:left="160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2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820" w:type="dxa"/>
            <w:vAlign w:val="bottom"/>
          </w:tcPr>
          <w:p>
            <w:pPr>
              <w:ind w:left="160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March 31, 2023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40" w:firstLine="5"/>
        <w:spacing w:after="0" w:line="268" w:lineRule="auto"/>
        <w:tabs>
          <w:tab w:leader="none" w:pos="13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69" w:lineRule="exact"/>
        <w:rPr>
          <w:rFonts w:ascii="Arial" w:cs="Arial" w:eastAsia="Arial" w:hAnsi="Arial"/>
          <w:sz w:val="16"/>
          <w:szCs w:val="16"/>
          <w:color w:val="auto"/>
        </w:rPr>
      </w:pPr>
    </w:p>
    <w:p>
      <w:pPr>
        <w:ind w:left="1040" w:firstLine="5"/>
        <w:spacing w:after="0" w:line="286" w:lineRule="auto"/>
        <w:tabs>
          <w:tab w:leader="none" w:pos="13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20" w:type="dxa"/>
            <w:vAlign w:val="bottom"/>
          </w:tcPr>
          <w:p>
            <w:pPr>
              <w:spacing w:after="0"/>
              <w:rPr>
                <w:sz w:val="20"/>
                <w:szCs w:val="20"/>
                <w:color w:val="auto"/>
              </w:rPr>
            </w:pPr>
            <w:r>
              <w:rPr>
                <w:rFonts w:ascii="Arial" w:cs="Arial" w:eastAsia="Arial" w:hAnsi="Arial"/>
                <w:sz w:val="16"/>
                <w:szCs w:val="16"/>
                <w:color w:val="auto"/>
              </w:rPr>
              <w:t>Date: May 4, 2023</w:t>
            </w:r>
          </w:p>
        </w:tc>
        <w:tc>
          <w:tcPr>
            <w:tcW w:w="2820" w:type="dxa"/>
            <w:vAlign w:val="bottom"/>
          </w:tcPr>
          <w:p>
            <w:pPr>
              <w:ind w:left="160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29"/>
        </w:trPr>
        <w:tc>
          <w:tcPr>
            <w:tcW w:w="2920" w:type="dxa"/>
            <w:vAlign w:val="bottom"/>
          </w:tcPr>
          <w:p>
            <w:pPr>
              <w:spacing w:after="0"/>
              <w:rPr>
                <w:sz w:val="2"/>
                <w:szCs w:val="2"/>
                <w:color w:val="auto"/>
              </w:rPr>
            </w:pPr>
          </w:p>
        </w:tc>
        <w:tc>
          <w:tcPr>
            <w:tcW w:w="2820" w:type="dxa"/>
            <w:vAlign w:val="bottom"/>
            <w:vMerge w:val="restart"/>
          </w:tcPr>
          <w:p>
            <w:pPr>
              <w:ind w:left="160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2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2820" w:type="dxa"/>
            <w:vAlign w:val="bottom"/>
          </w:tcPr>
          <w:p>
            <w:pPr>
              <w:ind w:left="160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decimal"/>
      <w:start w:val="7"/>
    </w:lvl>
  </w:abstractNum>
  <w:abstractNum w:abstractNumId="9">
    <w:nsid w:val="79838CB2"/>
    <w:multiLevelType w:val="hybridMultilevel"/>
    <w:lvl w:ilvl="0">
      <w:lvlJc w:val="left"/>
      <w:lvlText w:val="%1."/>
      <w:numFmt w:val="decimal"/>
      <w:start w:val="9"/>
    </w:lvl>
  </w:abstractNum>
  <w:abstractNum w:abstractNumId="10">
    <w:nsid w:val="4353D0CD"/>
    <w:multiLevelType w:val="hybridMultilevel"/>
    <w:lvl w:ilvl="0">
      <w:lvlJc w:val="left"/>
      <w:lvlText w:val="%1."/>
      <w:numFmt w:val="decimal"/>
      <w:start w:val="10"/>
    </w:lvl>
  </w:abstractNum>
  <w:abstractNum w:abstractNumId="11">
    <w:nsid w:val="B03E0C6"/>
    <w:multiLevelType w:val="hybridMultilevel"/>
    <w:lvl w:ilvl="0">
      <w:lvlJc w:val="left"/>
      <w:lvlText w:val="%1."/>
      <w:numFmt w:val="decimal"/>
      <w:start w:val="11"/>
    </w:lvl>
  </w:abstractNum>
  <w:abstractNum w:abstractNumId="12">
    <w:nsid w:val="189A769B"/>
    <w:multiLevelType w:val="hybridMultilevel"/>
    <w:lvl w:ilvl="0">
      <w:lvlJc w:val="left"/>
      <w:lvlText w:val="%1."/>
      <w:numFmt w:val="decimal"/>
      <w:start w:val="12"/>
    </w:lvl>
  </w:abstractNum>
  <w:abstractNum w:abstractNumId="13">
    <w:nsid w:val="54E49EB4"/>
    <w:multiLevelType w:val="hybridMultilevel"/>
    <w:lvl w:ilvl="0">
      <w:lvlJc w:val="left"/>
      <w:lvlText w:val="%1."/>
      <w:numFmt w:val="decimal"/>
      <w:start w:val="13"/>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88" Type="http://schemas.openxmlformats.org/officeDocument/2006/relationships/hyperlink" Target="http://www.sec.gov/Archives/edgar/data/0001667011/000119312521289866/d52087dex31.htm" TargetMode="External"/><Relationship Id="rId89" Type="http://schemas.openxmlformats.org/officeDocument/2006/relationships/hyperlink" Target="https://www.sec.gov/Archives/edgar/data/0001667011/000119312521313553/d211035dex32.htm" TargetMode="External"/><Relationship Id="rId90"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2023-05-04T16:41:50Z</dcterms:created>
  <dcterms:modified xsi:type="dcterms:W3CDTF">2023-05-04T16:41:50Z</dcterms:modified>
</cp:coreProperties>
</file>