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Verdana;sans-serif" w:hAnsi="Verdana;sans-serif"/>
          <w:b/>
          <w:color w:val="000000"/>
          <w:sz w:val="36"/>
        </w:rPr>
      </w:pPr>
      <w:r>
        <w:rPr>
          <w:rFonts w:ascii="Verdana;sans-serif" w:hAnsi="Verdana;sans-serif"/>
          <w:b/>
          <w:color w:val="000000"/>
          <w:sz w:val="36"/>
        </w:rPr>
        <w:t>UNITED STATES</w:t>
      </w:r>
    </w:p>
    <w:p>
      <w:pPr>
        <w:pStyle w:val="TextBody"/>
        <w:bidi w:val="0"/>
        <w:spacing w:lineRule="auto" w:line="288" w:before="0" w:after="0"/>
        <w:jc w:val="center"/>
        <w:rPr>
          <w:rFonts w:ascii="Verdana;sans-serif" w:hAnsi="Verdana;sans-serif"/>
          <w:b/>
          <w:color w:val="000000"/>
          <w:sz w:val="36"/>
        </w:rPr>
      </w:pPr>
      <w:r>
        <w:rPr>
          <w:rFonts w:ascii="Verdana;sans-serif" w:hAnsi="Verdana;sans-serif"/>
          <w:b/>
          <w:color w:val="000000"/>
          <w:sz w:val="36"/>
        </w:rPr>
        <w:t>SECURITIES AND EXCHANGE COMMISSION</w:t>
      </w:r>
    </w:p>
    <w:p>
      <w:pPr>
        <w:pStyle w:val="TextBody"/>
        <w:bidi w:val="0"/>
        <w:spacing w:lineRule="auto" w:line="288" w:before="0" w:after="0"/>
        <w:jc w:val="center"/>
        <w:rPr>
          <w:rFonts w:ascii="Verdana;sans-serif" w:hAnsi="Verdana;sans-serif"/>
          <w:b/>
          <w:color w:val="000000"/>
          <w:sz w:val="20"/>
        </w:rPr>
      </w:pPr>
      <w:r>
        <w:rPr>
          <w:rFonts w:ascii="Verdana;sans-serif" w:hAnsi="Verdana;sans-serif"/>
          <w:b/>
          <w:color w:val="000000"/>
          <w:sz w:val="20"/>
        </w:rPr>
        <w:t>Washington, D.C. 20549</w:t>
      </w:r>
    </w:p>
    <w:p>
      <w:pPr>
        <w:pStyle w:val="TextBody"/>
        <w:bidi w:val="0"/>
        <w:spacing w:lineRule="auto" w:line="288" w:before="80" w:after="283"/>
        <w:jc w:val="center"/>
        <w:rPr>
          <w:rFonts w:ascii="Verdana;sans-serif" w:hAnsi="Verdana;sans-serif"/>
          <w:b/>
          <w:color w:val="000000"/>
          <w:sz w:val="22"/>
        </w:rPr>
      </w:pPr>
      <w:r>
        <w:rPr>
          <w:rFonts w:ascii="Verdana;sans-serif" w:hAnsi="Verdana;sans-serif"/>
          <w:b/>
          <w:color w:val="000000"/>
          <w:sz w:val="22"/>
        </w:rPr>
        <w:t>FORM 10-K</w:t>
      </w:r>
    </w:p>
    <w:p>
      <w:pPr>
        <w:pStyle w:val="TextBody"/>
        <w:bidi w:val="0"/>
        <w:spacing w:lineRule="auto" w:line="288" w:before="120" w:after="283"/>
        <w:jc w:val="left"/>
        <w:rPr>
          <w:rFonts w:ascii="Verdana;sans-serif" w:hAnsi="Verdana;sans-serif"/>
          <w:b/>
          <w:color w:val="000000"/>
          <w:sz w:val="16"/>
        </w:rPr>
      </w:pPr>
      <w:r>
        <w:rPr>
          <w:rFonts w:ascii="Verdana;sans-serif" w:hAnsi="Verdana;sans-serif"/>
          <w:b/>
          <w:color w:val="000000"/>
          <w:sz w:val="16"/>
        </w:rPr>
        <w:t>(Mark One)</w:t>
      </w:r>
    </w:p>
    <w:tbl>
      <w:tblPr>
        <w:tblW w:w="9147" w:type="dxa"/>
        <w:jc w:val="left"/>
        <w:tblInd w:w="0" w:type="dxa"/>
        <w:tblLayout w:type="fixed"/>
        <w:tblCellMar>
          <w:top w:w="28" w:type="dxa"/>
          <w:left w:w="28" w:type="dxa"/>
          <w:bottom w:w="28" w:type="dxa"/>
          <w:right w:w="28" w:type="dxa"/>
        </w:tblCellMar>
      </w:tblPr>
      <w:tblGrid>
        <w:gridCol w:w="124"/>
        <w:gridCol w:w="109"/>
        <w:gridCol w:w="109"/>
        <w:gridCol w:w="2578"/>
        <w:gridCol w:w="2578"/>
        <w:gridCol w:w="36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88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16"/>
              </w:rPr>
            </w:pPr>
            <w:r>
              <w:rPr>
                <w:rFonts w:ascii="Verdana;sans-serif" w:hAnsi="Verdana;sans-serif"/>
                <w:b w:val="false"/>
                <w:color w:val="000000"/>
                <w:sz w:val="16"/>
              </w:rPr>
              <w:t>ANNUAL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9556" w:type="dxa"/>
        <w:jc w:val="left"/>
        <w:tblInd w:w="0" w:type="dxa"/>
        <w:tblLayout w:type="fixed"/>
        <w:tblCellMar>
          <w:top w:w="28" w:type="dxa"/>
          <w:left w:w="28" w:type="dxa"/>
          <w:bottom w:w="28" w:type="dxa"/>
          <w:right w:w="28" w:type="dxa"/>
        </w:tblCellMar>
      </w:tblPr>
      <w:tblGrid>
        <w:gridCol w:w="125"/>
        <w:gridCol w:w="110"/>
        <w:gridCol w:w="111"/>
        <w:gridCol w:w="2698"/>
        <w:gridCol w:w="2698"/>
        <w:gridCol w:w="38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Wingdings;sans-serif" w:hAnsi="Wingdings;sans-serif"/>
                <w:b w:val="false"/>
                <w:color w:val="000000"/>
                <w:sz w:val="20"/>
              </w:rPr>
            </w:pPr>
            <w:r>
              <w:rPr>
                <w:rFonts w:ascii="Wingdings;sans-serif" w:hAnsi="Wingdings;sans-serif"/>
                <w:b w:val="false"/>
                <w:color w:val="000000"/>
                <w:sz w:val="20"/>
              </w:rPr>
              <w:t>o</w:t>
            </w:r>
          </w:p>
        </w:tc>
        <w:tc>
          <w:tcPr>
            <w:tcW w:w="92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16"/>
              </w:rPr>
            </w:pPr>
            <w:r>
              <w:rPr>
                <w:rFonts w:ascii="Verdana;sans-serif" w:hAnsi="Verdana;sans-serif"/>
                <w:b w:val="false"/>
                <w:color w:val="000000"/>
                <w:sz w:val="16"/>
              </w:rPr>
              <w:t>TRANSITION REPORT PURSUANT TO SECTION 13 OR 15(d) OF THE SECURITIES EXCHANGE ACT OF 1934</w:t>
            </w:r>
          </w:p>
        </w:tc>
      </w:tr>
    </w:tbl>
    <w:p>
      <w:pPr>
        <w:pStyle w:val="TextBody"/>
        <w:bidi w:val="0"/>
        <w:spacing w:lineRule="auto" w:line="288" w:before="0" w:after="0"/>
        <w:jc w:val="center"/>
        <w:rPr>
          <w:rFonts w:ascii="Verdana;sans-serif" w:hAnsi="Verdana;sans-serif"/>
          <w:b/>
          <w:color w:val="000000"/>
          <w:sz w:val="16"/>
        </w:rPr>
      </w:pPr>
      <w:r>
        <w:rPr>
          <w:rFonts w:ascii="Verdana;sans-serif" w:hAnsi="Verdana;sans-serif"/>
          <w:b/>
          <w:color w:val="000000"/>
          <w:sz w:val="16"/>
        </w:rPr>
        <w:t xml:space="preserve">For the transition period from to </w:t>
      </w:r>
    </w:p>
    <w:p>
      <w:pPr>
        <w:pStyle w:val="TextBody"/>
        <w:bidi w:val="0"/>
        <w:spacing w:lineRule="auto" w:line="288" w:before="80" w:after="283"/>
        <w:jc w:val="center"/>
        <w:rPr>
          <w:rFonts w:ascii="Verdana;sans-serif" w:hAnsi="Verdana;sans-serif"/>
          <w:b/>
          <w:color w:val="000000"/>
          <w:sz w:val="20"/>
        </w:rPr>
      </w:pPr>
      <w:r>
        <w:rPr>
          <w:rFonts w:ascii="Verdana;sans-serif" w:hAnsi="Verdana;sans-serif"/>
          <w:b/>
          <w:color w:val="000000"/>
          <w:sz w:val="20"/>
        </w:rPr>
        <w:t>Commission file number 001-40960</w:t>
      </w:r>
    </w:p>
    <w:p>
      <w:pPr>
        <w:pStyle w:val="TextBody"/>
        <w:bidi w:val="0"/>
        <w:spacing w:lineRule="auto" w:line="288" w:before="120" w:after="283"/>
        <w:jc w:val="center"/>
        <w:rPr>
          <w:rFonts w:ascii="Verdana;sans-serif" w:hAnsi="Verdana;sans-serif"/>
          <w:b/>
          <w:color w:val="231F20"/>
          <w:sz w:val="36"/>
        </w:rPr>
      </w:pPr>
      <w:r>
        <w:rPr>
          <w:rFonts w:ascii="Verdana;sans-serif" w:hAnsi="Verdana;sans-serif"/>
          <w:b/>
          <w:color w:val="231F20"/>
          <w:sz w:val="36"/>
        </w:rPr>
        <w:t>Arteris, Inc.</w:t>
      </w:r>
    </w:p>
    <w:p>
      <w:pPr>
        <w:pStyle w:val="TextBody"/>
        <w:bidi w:val="0"/>
        <w:spacing w:lineRule="auto" w:line="288" w:before="0" w:after="0"/>
        <w:jc w:val="center"/>
        <w:rPr>
          <w:rFonts w:ascii="Verdana;sans-serif" w:hAnsi="Verdana;sans-serif"/>
          <w:b w:val="false"/>
          <w:color w:val="000000"/>
          <w:sz w:val="18"/>
        </w:rPr>
      </w:pPr>
      <w:r>
        <w:rPr>
          <w:rFonts w:ascii="Verdana;sans-serif" w:hAnsi="Verdana;sans-serif"/>
          <w:b w:val="false"/>
          <w:color w:val="000000"/>
          <w:sz w:val="18"/>
        </w:rPr>
        <w:t>(Exact name of registrant as specified in its charter)</w:t>
      </w:r>
    </w:p>
    <w:tbl>
      <w:tblPr>
        <w:tblW w:w="8726" w:type="dxa"/>
        <w:jc w:val="center"/>
        <w:tblInd w:w="0" w:type="dxa"/>
        <w:tblLayout w:type="fixed"/>
        <w:tblCellMar>
          <w:top w:w="28" w:type="dxa"/>
          <w:left w:w="28" w:type="dxa"/>
          <w:bottom w:w="28" w:type="dxa"/>
          <w:right w:w="28" w:type="dxa"/>
        </w:tblCellMar>
      </w:tblPr>
      <w:tblGrid>
        <w:gridCol w:w="1885"/>
        <w:gridCol w:w="1663"/>
        <w:gridCol w:w="1671"/>
        <w:gridCol w:w="109"/>
        <w:gridCol w:w="109"/>
        <w:gridCol w:w="109"/>
        <w:gridCol w:w="877"/>
        <w:gridCol w:w="877"/>
        <w:gridCol w:w="1426"/>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ind w:left="0" w:right="0" w:firstLine="45"/>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16"/>
              </w:rPr>
            </w:pPr>
            <w:r>
              <w:rPr>
                <w:rFonts w:ascii="Verdana;sans-serif" w:hAnsi="Verdan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Verdana;sans-serif" w:hAnsi="Verdana;sans-serif"/>
                <w:b/>
                <w:color w:val="000000"/>
                <w:sz w:val="16"/>
              </w:rPr>
            </w:pPr>
            <w:r>
              <w:rPr>
                <w:rFonts w:ascii="Verdana;sans-serif" w:hAnsi="Verdana;sans-serif"/>
                <w:b/>
                <w:color w:val="000000"/>
                <w:sz w:val="16"/>
              </w:rPr>
              <w:t>27-0117058</w:t>
            </w:r>
          </w:p>
        </w:tc>
      </w:tr>
      <w:tr>
        <w:trPr/>
        <w:tc>
          <w:tcPr>
            <w:tcW w:w="52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16"/>
              </w:rPr>
            </w:pPr>
            <w:r>
              <w:rPr>
                <w:rFonts w:ascii="Verdana;sans-serif" w:hAnsi="Verdana;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16"/>
              </w:rPr>
            </w:pPr>
            <w:r>
              <w:rPr>
                <w:rFonts w:ascii="Verdana;sans-serif" w:hAnsi="Verdana;sans-serif"/>
                <w:b w:val="false"/>
                <w:color w:val="000000"/>
                <w:sz w:val="16"/>
              </w:rPr>
              <w:t>(I.R.S. Employer Identification No.)</w:t>
            </w:r>
          </w:p>
        </w:tc>
      </w:tr>
      <w:tr>
        <w:trPr/>
        <w:tc>
          <w:tcPr>
            <w:tcW w:w="55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6" w:type="dxa"/>
            <w:gridSpan w:val="9"/>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Verdana;sans-serif" w:hAnsi="Verdana;sans-serif"/>
                <w:b/>
                <w:color w:val="000000"/>
                <w:sz w:val="16"/>
              </w:rPr>
            </w:pPr>
            <w:r>
              <w:rPr>
                <w:rFonts w:ascii="Verdana;sans-serif" w:hAnsi="Verdana;sans-serif"/>
                <w:b/>
                <w:color w:val="000000"/>
                <w:sz w:val="16"/>
              </w:rPr>
              <w:t>900 E. Hamilton Ave., Suite 300</w:t>
            </w:r>
          </w:p>
          <w:p>
            <w:pPr>
              <w:pStyle w:val="TableContents"/>
              <w:bidi w:val="0"/>
              <w:spacing w:lineRule="auto" w:line="268" w:before="0" w:after="0"/>
              <w:ind w:left="0" w:right="0" w:firstLine="45"/>
              <w:jc w:val="center"/>
              <w:rPr>
                <w:rFonts w:ascii="Verdana;sans-serif" w:hAnsi="Verdana;sans-serif"/>
                <w:b/>
                <w:color w:val="000000"/>
                <w:sz w:val="16"/>
              </w:rPr>
            </w:pPr>
            <w:r>
              <w:rPr>
                <w:rFonts w:ascii="Verdana;sans-serif" w:hAnsi="Verdana;sans-serif"/>
                <w:b/>
                <w:color w:val="000000"/>
                <w:sz w:val="16"/>
              </w:rPr>
              <w:t>Campbell, CA 95008</w:t>
            </w:r>
          </w:p>
          <w:p>
            <w:pPr>
              <w:pStyle w:val="TableContents"/>
              <w:bidi w:val="0"/>
              <w:spacing w:lineRule="auto" w:line="268" w:before="0" w:after="0"/>
              <w:ind w:left="0" w:right="0" w:firstLine="45"/>
              <w:jc w:val="center"/>
              <w:rPr>
                <w:rFonts w:ascii="Verdana;sans-serif" w:hAnsi="Verdana;sans-serif"/>
                <w:b/>
                <w:color w:val="000000"/>
                <w:sz w:val="16"/>
              </w:rPr>
            </w:pPr>
            <w:r>
              <w:rPr>
                <w:rFonts w:ascii="Verdana;sans-serif" w:hAnsi="Verdana;sans-serif"/>
                <w:b/>
                <w:color w:val="000000"/>
                <w:sz w:val="16"/>
              </w:rPr>
              <w:t>(408) 470-7300</w:t>
            </w:r>
          </w:p>
        </w:tc>
      </w:tr>
      <w:tr>
        <w:trPr/>
        <w:tc>
          <w:tcPr>
            <w:tcW w:w="872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14"/>
              </w:rPr>
            </w:pPr>
            <w:r>
              <w:rPr>
                <w:rFonts w:ascii="Verdana;sans-serif" w:hAnsi="Verdana;sans-serif"/>
                <w:b/>
                <w:color w:val="000000"/>
                <w:sz w:val="14"/>
              </w:rPr>
              <w:t>(Address, including zip code, and telephone number, including area code, of registrant’s principal executive offices)</w:t>
            </w:r>
          </w:p>
        </w:tc>
      </w:tr>
    </w:tbl>
    <w:p>
      <w:pPr>
        <w:pStyle w:val="TextBody"/>
        <w:bidi w:val="0"/>
        <w:spacing w:lineRule="auto" w:line="288" w:before="120" w:after="283"/>
        <w:jc w:val="left"/>
        <w:rPr>
          <w:rFonts w:ascii="Verdana;sans-serif" w:hAnsi="Verdana;sans-serif"/>
          <w:b/>
          <w:color w:val="000000"/>
          <w:sz w:val="16"/>
        </w:rPr>
      </w:pPr>
      <w:r>
        <w:rPr>
          <w:rFonts w:ascii="Verdana;sans-serif" w:hAnsi="Verdana;sans-serif"/>
          <w:b/>
          <w:color w:val="000000"/>
          <w:sz w:val="16"/>
        </w:rPr>
        <w:t>Securities registered pursuant to Section 12(b) of the Act:</w:t>
      </w:r>
    </w:p>
    <w:tbl>
      <w:tblPr>
        <w:tblW w:w="7302" w:type="dxa"/>
        <w:jc w:val="left"/>
        <w:tblInd w:w="0" w:type="dxa"/>
        <w:tblLayout w:type="fixed"/>
        <w:tblCellMar>
          <w:top w:w="28" w:type="dxa"/>
          <w:left w:w="28" w:type="dxa"/>
          <w:bottom w:w="28" w:type="dxa"/>
          <w:right w:w="28" w:type="dxa"/>
        </w:tblCellMar>
      </w:tblPr>
      <w:tblGrid>
        <w:gridCol w:w="863"/>
        <w:gridCol w:w="758"/>
        <w:gridCol w:w="763"/>
        <w:gridCol w:w="494"/>
        <w:gridCol w:w="494"/>
        <w:gridCol w:w="496"/>
        <w:gridCol w:w="1006"/>
        <w:gridCol w:w="1006"/>
        <w:gridCol w:w="1422"/>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14"/>
              </w:rPr>
            </w:pPr>
            <w:r>
              <w:rPr>
                <w:rFonts w:ascii="Verdana;sans-serif" w:hAnsi="Verdana;sans-serif"/>
                <w:b/>
                <w:color w:val="000000"/>
                <w:sz w:val="14"/>
              </w:rPr>
              <w:t>Title of each class</w:t>
            </w:r>
          </w:p>
        </w:tc>
        <w:tc>
          <w:tcPr>
            <w:tcW w:w="1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14"/>
              </w:rPr>
            </w:pPr>
            <w:r>
              <w:rPr>
                <w:rFonts w:ascii="Verdana;sans-serif" w:hAnsi="Verdana;sans-serif"/>
                <w:b/>
                <w:color w:val="000000"/>
                <w:sz w:val="14"/>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Verdana;sans-serif" w:hAnsi="Verdana;sans-serif"/>
                <w:b/>
                <w:color w:val="000000"/>
                <w:sz w:val="14"/>
              </w:rPr>
            </w:pPr>
            <w:r>
              <w:rPr>
                <w:rFonts w:ascii="Verdana;sans-serif" w:hAnsi="Verdana;sans-serif"/>
                <w:b/>
                <w:color w:val="000000"/>
                <w:sz w:val="14"/>
              </w:rPr>
              <w:t>Name of each exchange on which registered</w:t>
            </w:r>
          </w:p>
        </w:tc>
      </w:tr>
      <w:tr>
        <w:trPr/>
        <w:tc>
          <w:tcPr>
            <w:tcW w:w="23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Verdana;sans-serif" w:hAnsi="Verdana;sans-serif"/>
                <w:b w:val="false"/>
                <w:color w:val="000000"/>
                <w:sz w:val="14"/>
              </w:rPr>
            </w:pPr>
            <w:r>
              <w:rPr>
                <w:rFonts w:ascii="Verdana;sans-serif" w:hAnsi="Verdana;sans-serif"/>
                <w:b w:val="false"/>
                <w:color w:val="000000"/>
                <w:sz w:val="14"/>
              </w:rPr>
              <w:t>Common Stock, $0.001 par value</w:t>
            </w:r>
          </w:p>
        </w:tc>
        <w:tc>
          <w:tcPr>
            <w:tcW w:w="14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Verdana;sans-serif" w:hAnsi="Verdana;sans-serif"/>
                <w:b w:val="false"/>
                <w:color w:val="000000"/>
                <w:sz w:val="14"/>
              </w:rPr>
            </w:pPr>
            <w:r>
              <w:rPr>
                <w:rFonts w:ascii="Verdana;sans-serif" w:hAnsi="Verdana;sans-serif"/>
                <w:b w:val="false"/>
                <w:color w:val="000000"/>
                <w:sz w:val="14"/>
              </w:rPr>
              <w:t>AIP</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Verdana;sans-serif" w:hAnsi="Verdana;sans-serif"/>
                <w:b w:val="false"/>
                <w:color w:val="000000"/>
                <w:sz w:val="14"/>
              </w:rPr>
            </w:pPr>
            <w:r>
              <w:rPr>
                <w:rFonts w:ascii="Verdana;sans-serif" w:hAnsi="Verdana;sans-serif"/>
                <w:b w:val="false"/>
                <w:color w:val="000000"/>
                <w:sz w:val="14"/>
              </w:rPr>
              <w:t>The Nasdaq Stock Market LLC</w:t>
            </w:r>
          </w:p>
        </w:tc>
      </w:tr>
    </w:tbl>
    <w:p>
      <w:pPr>
        <w:pStyle w:val="TextBody"/>
        <w:bidi w:val="0"/>
        <w:spacing w:lineRule="auto" w:line="288" w:before="120" w:after="283"/>
        <w:jc w:val="left"/>
        <w:rPr>
          <w:rFonts w:ascii="Verdana;sans-serif" w:hAnsi="Verdana;sans-serif"/>
          <w:b/>
          <w:color w:val="000000"/>
          <w:sz w:val="16"/>
        </w:rPr>
      </w:pPr>
      <w:r>
        <w:rPr>
          <w:rFonts w:ascii="Verdana;sans-serif" w:hAnsi="Verdana;sans-serif"/>
          <w:b/>
          <w:color w:val="000000"/>
          <w:sz w:val="16"/>
        </w:rPr>
        <w:t>Securities registered pursuant to section 12(g) of the Act:</w:t>
      </w:r>
    </w:p>
    <w:p>
      <w:pPr>
        <w:pStyle w:val="TextBody"/>
        <w:bidi w:val="0"/>
        <w:spacing w:lineRule="auto" w:line="288" w:before="120" w:after="283"/>
        <w:jc w:val="left"/>
        <w:rPr>
          <w:rFonts w:ascii="Verdana;sans-serif" w:hAnsi="Verdana;sans-serif"/>
          <w:b w:val="false"/>
          <w:color w:val="000000"/>
          <w:sz w:val="12"/>
        </w:rPr>
      </w:pPr>
      <w:r>
        <w:rPr>
          <w:rFonts w:ascii="Verdana;sans-serif" w:hAnsi="Verdana;sans-serif"/>
          <w:b w:val="false"/>
          <w:color w:val="000000"/>
          <w:sz w:val="12"/>
        </w:rPr>
        <w:t>Indicate by check mark if the registrant is a well-known seasoned issuer, as defined in Rule 405 of the Securities Act. Yes o No x</w:t>
      </w:r>
    </w:p>
    <w:p>
      <w:pPr>
        <w:pStyle w:val="TextBody"/>
        <w:bidi w:val="0"/>
        <w:spacing w:lineRule="auto" w:line="288" w:before="120" w:after="283"/>
        <w:jc w:val="left"/>
        <w:rPr>
          <w:rFonts w:ascii="Verdana;sans-serif" w:hAnsi="Verdana;sans-serif"/>
          <w:b w:val="false"/>
          <w:color w:val="000000"/>
          <w:sz w:val="12"/>
        </w:rPr>
      </w:pPr>
      <w:r>
        <w:rPr>
          <w:rFonts w:ascii="Verdana;sans-serif" w:hAnsi="Verdana;sans-serif"/>
          <w:b w:val="false"/>
          <w:color w:val="000000"/>
          <w:sz w:val="12"/>
        </w:rPr>
        <w:t>Indicate by check mark if the registrant is not required to file reports pursuant to Section 13 or Section 15(d) of the Act. Yes o No x</w:t>
      </w:r>
    </w:p>
    <w:p>
      <w:pPr>
        <w:pStyle w:val="TextBody"/>
        <w:bidi w:val="0"/>
        <w:spacing w:lineRule="auto" w:line="288" w:before="120" w:after="283"/>
        <w:jc w:val="left"/>
        <w:rPr>
          <w:rFonts w:ascii="Verdana;sans-serif" w:hAnsi="Verdana;sans-serif"/>
          <w:b w:val="false"/>
          <w:color w:val="000000"/>
          <w:sz w:val="12"/>
        </w:rPr>
      </w:pPr>
      <w:r>
        <w:rPr>
          <w:rFonts w:ascii="Verdana;sans-serif" w:hAnsi="Verdana;sans-serif"/>
          <w:b w:val="false"/>
          <w:color w:val="000000"/>
          <w:sz w:val="12"/>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pStyle w:val="TextBody"/>
        <w:bidi w:val="0"/>
        <w:spacing w:lineRule="auto" w:line="288" w:before="120" w:after="283"/>
        <w:jc w:val="left"/>
        <w:rPr>
          <w:rFonts w:ascii="Verdana;sans-serif" w:hAnsi="Verdana;sans-serif"/>
          <w:b w:val="false"/>
          <w:color w:val="000000"/>
          <w:sz w:val="12"/>
        </w:rPr>
      </w:pPr>
      <w:r>
        <w:rPr>
          <w:rFonts w:ascii="Verdana;sans-serif" w:hAnsi="Verdana;sans-serif"/>
          <w:b w:val="false"/>
          <w:color w:val="000000"/>
          <w:sz w:val="12"/>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pStyle w:val="TextBody"/>
        <w:bidi w:val="0"/>
        <w:spacing w:lineRule="auto" w:line="288" w:before="120" w:after="283"/>
        <w:jc w:val="both"/>
        <w:rPr>
          <w:rFonts w:ascii="Verdana;sans-serif" w:hAnsi="Verdana;sans-serif"/>
          <w:b w:val="false"/>
          <w:color w:val="000000"/>
          <w:sz w:val="12"/>
        </w:rPr>
      </w:pPr>
      <w:r>
        <w:rPr>
          <w:rFonts w:ascii="Verdana;sans-serif" w:hAnsi="Verdana;sans-serif"/>
          <w:b w:val="false"/>
          <w:color w:val="000000"/>
          <w:sz w:val="12"/>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3983" w:type="dxa"/>
        <w:jc w:val="center"/>
        <w:tblInd w:w="0" w:type="dxa"/>
        <w:tblLayout w:type="fixed"/>
        <w:tblCellMar>
          <w:top w:w="28" w:type="dxa"/>
          <w:left w:w="28" w:type="dxa"/>
          <w:bottom w:w="28" w:type="dxa"/>
          <w:right w:w="28" w:type="dxa"/>
        </w:tblCellMar>
      </w:tblPr>
      <w:tblGrid>
        <w:gridCol w:w="543"/>
        <w:gridCol w:w="476"/>
        <w:gridCol w:w="480"/>
        <w:gridCol w:w="109"/>
        <w:gridCol w:w="109"/>
        <w:gridCol w:w="109"/>
        <w:gridCol w:w="594"/>
        <w:gridCol w:w="594"/>
        <w:gridCol w:w="597"/>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Verdana;sans-serif" w:hAnsi="Verdana;sans-serif"/>
                <w:b w:val="false"/>
                <w:color w:val="000000"/>
                <w:sz w:val="12"/>
              </w:rPr>
            </w:pPr>
            <w:r>
              <w:rPr>
                <w:rFonts w:ascii="Verdana;sans-serif" w:hAnsi="Verdana;sans-serif"/>
                <w:b w:val="false"/>
                <w:color w:val="000000"/>
                <w:sz w:val="12"/>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Verdana;sans-serif" w:hAnsi="Verdana;sans-serif"/>
                <w:b w:val="false"/>
                <w:color w:val="000000"/>
                <w:sz w:val="12"/>
              </w:rPr>
            </w:pPr>
            <w:r>
              <w:rPr>
                <w:rFonts w:ascii="Verdana;sans-serif" w:hAnsi="Verdana;sans-serif"/>
                <w:b w:val="false"/>
                <w:color w:val="000000"/>
                <w:sz w:val="12"/>
              </w:rPr>
              <w:t>o</w:t>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Verdana;sans-serif" w:hAnsi="Verdana;sans-serif"/>
                <w:b w:val="false"/>
                <w:color w:val="000000"/>
                <w:sz w:val="12"/>
              </w:rPr>
            </w:pPr>
            <w:r>
              <w:rPr>
                <w:rFonts w:ascii="Verdana;sans-serif" w:hAnsi="Verdana;sans-serif"/>
                <w:b w:val="false"/>
                <w:color w:val="000000"/>
                <w:sz w:val="12"/>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12"/>
              </w:rPr>
            </w:pPr>
            <w:r>
              <w:rPr>
                <w:rFonts w:ascii="Verdana;sans-serif" w:hAnsi="Verdana;sans-serif"/>
                <w:b w:val="false"/>
                <w:color w:val="000000"/>
                <w:sz w:val="12"/>
              </w:rPr>
              <w:t>o</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Verdana;sans-serif" w:hAnsi="Verdana;sans-serif"/>
                <w:b w:val="false"/>
                <w:color w:val="000000"/>
                <w:sz w:val="12"/>
              </w:rPr>
            </w:pPr>
            <w:r>
              <w:rPr>
                <w:rFonts w:ascii="Verdana;sans-serif" w:hAnsi="Verdana;sans-serif"/>
                <w:b w:val="false"/>
                <w:color w:val="000000"/>
                <w:sz w:val="12"/>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Verdana;sans-serif" w:hAnsi="Verdana;sans-serif"/>
                <w:b w:val="false"/>
                <w:color w:val="000000"/>
                <w:sz w:val="12"/>
              </w:rPr>
            </w:pPr>
            <w:r>
              <w:rPr>
                <w:rFonts w:ascii="Verdana;sans-serif" w:hAnsi="Verdana;sans-serif"/>
                <w:b w:val="false"/>
                <w:color w:val="000000"/>
                <w:sz w:val="12"/>
              </w:rPr>
              <w:t>x</w:t>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Verdana;sans-serif" w:hAnsi="Verdana;sans-serif"/>
                <w:b w:val="false"/>
                <w:color w:val="000000"/>
                <w:sz w:val="12"/>
              </w:rPr>
            </w:pPr>
            <w:r>
              <w:rPr>
                <w:rFonts w:ascii="Verdana;sans-serif" w:hAnsi="Verdana;sans-serif"/>
                <w:b w:val="false"/>
                <w:color w:val="000000"/>
                <w:sz w:val="12"/>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12"/>
              </w:rPr>
            </w:pPr>
            <w:r>
              <w:rPr>
                <w:rFonts w:ascii="Verdana;sans-serif" w:hAnsi="Verdana;sans-serif"/>
                <w:b w:val="false"/>
                <w:color w:val="000000"/>
                <w:sz w:val="12"/>
              </w:rPr>
              <w:t>x</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Verdana;sans-serif" w:hAnsi="Verdana;sans-serif"/>
                <w:b w:val="false"/>
                <w:color w:val="000000"/>
                <w:sz w:val="12"/>
              </w:rPr>
            </w:pPr>
            <w:r>
              <w:rPr>
                <w:rFonts w:ascii="Verdana;sans-serif" w:hAnsi="Verdana;sans-serif"/>
                <w:b w:val="false"/>
                <w:color w:val="000000"/>
                <w:sz w:val="12"/>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12"/>
              </w:rPr>
            </w:pPr>
            <w:r>
              <w:rPr>
                <w:rFonts w:ascii="Verdana;sans-serif" w:hAnsi="Verdana;sans-serif"/>
                <w:b w:val="false"/>
                <w:color w:val="000000"/>
                <w:sz w:val="12"/>
              </w:rPr>
              <w:t>x</w:t>
            </w:r>
          </w:p>
        </w:tc>
      </w:tr>
    </w:tbl>
    <w:p>
      <w:pPr>
        <w:pStyle w:val="TextBody"/>
        <w:bidi w:val="0"/>
        <w:spacing w:lineRule="auto" w:line="288" w:before="0" w:after="0"/>
        <w:jc w:val="left"/>
        <w:rPr>
          <w:rFonts w:ascii="Verdana;sans-serif" w:hAnsi="Verdana;sans-serif"/>
          <w:b w:val="false"/>
          <w:color w:val="000000"/>
          <w:sz w:val="12"/>
        </w:rPr>
      </w:pPr>
      <w:r>
        <w:rPr>
          <w:rFonts w:ascii="Verdana;sans-serif" w:hAnsi="Verdana;sans-serif"/>
          <w:b w:val="false"/>
          <w:color w:val="000000"/>
          <w:sz w:val="12"/>
        </w:rPr>
        <w:t>If an emerging growth company, indicate by check mark if the registrant has elected not to use the extended transition period for complying with any new or revised financial accounting standards provided pursuant to Section 13(a) of the Exchange Act. o</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If securities are registered pursuant to Section 12(b) of the Act, indicate by check mark whether the financial statements of the registrant included in the filing reflect the correction of an error to previously issued financial statements. o</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Indicate by check mark whether any of those error corrections are restatements that required a recovery analysis of incentive-based compensation received by any of the registrant's executive officers during the relevant recovery period pursuant to Section 240.10D-1(b). o</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Indicate by check mark whether the registrant is a shell company (as defined in Rule 12b-2 of the Act). Yes o No x</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As of June 30, 2025, the aggregate market value of shares held by non-affiliates of the registrant (based upon the closing sale prices of such shares on the Nasdaq Global Select Market on June 30, 2025) was approximately $295.0 million. Shares of common stock held by each officer, director and entities affiliated with directors have been excluded because such persons may be deemed to be “affiliates” as that term is defined under the rules and regulations of the Exchange Act. This determination of affiliate status is not necessarily a conclusive determination for any other purpose.</w:t>
      </w:r>
    </w:p>
    <w:p>
      <w:pPr>
        <w:pStyle w:val="TextBody"/>
        <w:bidi w:val="0"/>
        <w:spacing w:lineRule="auto" w:line="288" w:before="60" w:after="283"/>
        <w:jc w:val="left"/>
        <w:rPr/>
      </w:pPr>
      <w:r>
        <w:rPr>
          <w:rFonts w:ascii="Verdana;sans-serif" w:hAnsi="Verdana;sans-serif"/>
          <w:b w:val="false"/>
          <w:color w:val="000000"/>
          <w:sz w:val="12"/>
        </w:rPr>
        <w:t>As of February 5, 2026, there were</w:t>
      </w:r>
      <w:r>
        <w:rPr>
          <w:color w:val="000000"/>
          <w:shd w:fill="FFFFFF" w:val="clear"/>
        </w:rPr>
        <w:t xml:space="preserve"> </w:t>
      </w:r>
      <w:r>
        <w:rPr>
          <w:rFonts w:ascii="Verdana;sans-serif" w:hAnsi="Verdana;sans-serif"/>
          <w:b w:val="false"/>
          <w:color w:val="000000"/>
          <w:sz w:val="12"/>
          <w:shd w:fill="FFFFFF" w:val="clear"/>
        </w:rPr>
        <w:t>45,467,261 shares</w:t>
      </w:r>
      <w:r>
        <w:rPr>
          <w:color w:val="000000"/>
        </w:rPr>
        <w:t xml:space="preserve"> </w:t>
      </w:r>
      <w:r>
        <w:rPr>
          <w:rFonts w:ascii="Verdana;sans-serif" w:hAnsi="Verdana;sans-serif"/>
          <w:b w:val="false"/>
          <w:color w:val="000000"/>
          <w:sz w:val="12"/>
        </w:rPr>
        <w:t xml:space="preserve">of the registrant’s common stock outstanding. </w:t>
      </w:r>
    </w:p>
    <w:p>
      <w:pPr>
        <w:pStyle w:val="TextBody"/>
        <w:bidi w:val="0"/>
        <w:spacing w:lineRule="auto" w:line="288" w:before="120" w:after="283"/>
        <w:jc w:val="center"/>
        <w:rPr>
          <w:rFonts w:ascii="Verdana;sans-serif" w:hAnsi="Verdana;sans-serif"/>
          <w:b/>
          <w:color w:val="000000"/>
          <w:sz w:val="12"/>
        </w:rPr>
      </w:pPr>
      <w:r>
        <w:rPr>
          <w:rFonts w:ascii="Verdana;sans-serif" w:hAnsi="Verdana;sans-serif"/>
          <w:b/>
          <w:color w:val="000000"/>
          <w:sz w:val="12"/>
        </w:rPr>
        <w:t>DOCUMENTS INCORPORATED BY REFERENCE</w:t>
      </w:r>
    </w:p>
    <w:p>
      <w:pPr>
        <w:pStyle w:val="TextBody"/>
        <w:bidi w:val="0"/>
        <w:spacing w:lineRule="auto" w:line="288" w:before="60" w:after="283"/>
        <w:jc w:val="left"/>
        <w:rPr>
          <w:rFonts w:ascii="Verdana;sans-serif" w:hAnsi="Verdana;sans-serif"/>
          <w:b w:val="false"/>
          <w:color w:val="000000"/>
          <w:sz w:val="12"/>
        </w:rPr>
      </w:pPr>
      <w:r>
        <w:rPr>
          <w:rFonts w:ascii="Verdana;sans-serif" w:hAnsi="Verdana;sans-serif"/>
          <w:b w:val="false"/>
          <w:color w:val="000000"/>
          <w:sz w:val="12"/>
        </w:rPr>
        <w:t>Portions of the registrant's definitive Proxy Statement relating to the 2025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81"/>
        <w:gridCol w:w="3053"/>
        <w:gridCol w:w="3098"/>
        <w:gridCol w:w="167"/>
        <w:gridCol w:w="167"/>
        <w:gridCol w:w="239"/>
      </w:tblGrid>
      <w:tr>
        <w:trPr/>
        <w:tc>
          <w:tcPr>
            <w:tcW w:w="3481"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Page</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3">
              <w:r>
                <w:rPr>
                  <w:rStyle w:val="InternetLink"/>
                  <w:rFonts w:ascii="Times New Roman;serif" w:hAnsi="Times New Roman;serif"/>
                  <w:b/>
                  <w:color w:val="0000FF"/>
                  <w:sz w:val="19"/>
                  <w:u w:val="single"/>
                </w:rPr>
                <w:t>PART I</w:t>
              </w:r>
            </w:hyperlink>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6">
              <w:r>
                <w:rPr>
                  <w:rStyle w:val="InternetLink"/>
                  <w:rFonts w:ascii="Times New Roman;serif" w:hAnsi="Times New Roman;serif"/>
                  <w:b w:val="false"/>
                  <w:color w:val="0000FF"/>
                  <w:sz w:val="19"/>
                  <w:u w:val="single"/>
                </w:rPr>
                <w:t>Item 1. 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6">
              <w:r>
                <w:rPr>
                  <w:rStyle w:val="InternetLink"/>
                  <w:rFonts w:ascii="Times New Roman;serif" w:hAnsi="Times New Roman;serif"/>
                  <w:b w:val="false"/>
                  <w:strike w:val="false"/>
                  <w:dstrike w:val="false"/>
                  <w:color w:val="000000"/>
                  <w:sz w:val="19"/>
                  <w:u w:val="none"/>
                  <w:effect w:val="none"/>
                </w:rPr>
                <w:t>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9">
              <w:r>
                <w:rPr>
                  <w:rStyle w:val="InternetLink"/>
                  <w:rFonts w:ascii="Times New Roman;serif" w:hAnsi="Times New Roman;serif"/>
                  <w:b w:val="false"/>
                  <w:color w:val="0000FF"/>
                  <w:sz w:val="19"/>
                  <w:u w:val="single"/>
                </w:rPr>
                <w:t>Item 1A. 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9">
              <w:r>
                <w:rPr>
                  <w:rStyle w:val="InternetLink"/>
                  <w:rFonts w:ascii="Times New Roman;serif" w:hAnsi="Times New Roman;serif"/>
                  <w:b w:val="false"/>
                  <w:strike w:val="false"/>
                  <w:dstrike w:val="false"/>
                  <w:color w:val="000000"/>
                  <w:sz w:val="19"/>
                  <w:u w:val="none"/>
                  <w:effect w:val="none"/>
                </w:rPr>
                <w:t>21</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22">
              <w:r>
                <w:rPr>
                  <w:rStyle w:val="InternetLink"/>
                  <w:rFonts w:ascii="Times New Roman;serif" w:hAnsi="Times New Roman;serif"/>
                  <w:b w:val="false"/>
                  <w:color w:val="0000FF"/>
                  <w:sz w:val="19"/>
                  <w:u w:val="single"/>
                </w:rPr>
                <w:t>Item 1B. 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22">
              <w:r>
                <w:rPr>
                  <w:rStyle w:val="InternetLink"/>
                  <w:rFonts w:ascii="Times New Roman;serif" w:hAnsi="Times New Roman;serif"/>
                  <w:b w:val="false"/>
                  <w:strike w:val="false"/>
                  <w:dstrike w:val="false"/>
                  <w:color w:val="000000"/>
                  <w:sz w:val="19"/>
                  <w:u w:val="none"/>
                  <w:effect w:val="none"/>
                </w:rPr>
                <w:t>55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25">
              <w:r>
                <w:rPr>
                  <w:rStyle w:val="InternetLink"/>
                  <w:rFonts w:ascii="Times New Roman;serif" w:hAnsi="Times New Roman;serif"/>
                  <w:b w:val="false"/>
                  <w:color w:val="0000FF"/>
                  <w:sz w:val="19"/>
                  <w:u w:val="single"/>
                </w:rPr>
                <w:t>Item 1C. Cybersecurity Risk Management and Strategy.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25">
              <w:r>
                <w:rPr>
                  <w:rStyle w:val="InternetLink"/>
                  <w:rFonts w:ascii="Times New Roman;serif" w:hAnsi="Times New Roman;serif"/>
                  <w:b w:val="false"/>
                  <w:strike w:val="false"/>
                  <w:dstrike w:val="false"/>
                  <w:color w:val="000000"/>
                  <w:sz w:val="19"/>
                  <w:u w:val="none"/>
                  <w:effect w:val="none"/>
                </w:rPr>
                <w:t>56</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28">
              <w:r>
                <w:rPr>
                  <w:rStyle w:val="InternetLink"/>
                  <w:rFonts w:ascii="Times New Roman;serif" w:hAnsi="Times New Roman;serif"/>
                  <w:b w:val="false"/>
                  <w:color w:val="0000FF"/>
                  <w:sz w:val="19"/>
                  <w:u w:val="single"/>
                </w:rPr>
                <w:t>Item 2. 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28">
              <w:r>
                <w:rPr>
                  <w:rStyle w:val="InternetLink"/>
                  <w:rFonts w:ascii="Times New Roman;serif" w:hAnsi="Times New Roman;serif"/>
                  <w:b w:val="false"/>
                  <w:strike w:val="false"/>
                  <w:dstrike w:val="false"/>
                  <w:color w:val="000000"/>
                  <w:sz w:val="19"/>
                  <w:u w:val="none"/>
                  <w:effect w:val="none"/>
                </w:rPr>
                <w:t>57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31">
              <w:r>
                <w:rPr>
                  <w:rStyle w:val="InternetLink"/>
                  <w:rFonts w:ascii="Times New Roman;serif" w:hAnsi="Times New Roman;serif"/>
                  <w:b w:val="false"/>
                  <w:color w:val="0000FF"/>
                  <w:sz w:val="19"/>
                  <w:u w:val="single"/>
                </w:rPr>
                <w:t>Item 3. 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31">
              <w:r>
                <w:rPr>
                  <w:rStyle w:val="InternetLink"/>
                  <w:rFonts w:ascii="Times New Roman;serif" w:hAnsi="Times New Roman;serif"/>
                  <w:b w:val="false"/>
                  <w:strike w:val="false"/>
                  <w:dstrike w:val="false"/>
                  <w:color w:val="000000"/>
                  <w:sz w:val="19"/>
                  <w:u w:val="none"/>
                  <w:effect w:val="none"/>
                </w:rPr>
                <w:t>57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34">
              <w:r>
                <w:rPr>
                  <w:rStyle w:val="InternetLink"/>
                  <w:rFonts w:ascii="Times New Roman;serif" w:hAnsi="Times New Roman;serif"/>
                  <w:b w:val="false"/>
                  <w:color w:val="0000FF"/>
                  <w:sz w:val="19"/>
                  <w:u w:val="single"/>
                </w:rPr>
                <w:t>Item 4. 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34">
              <w:r>
                <w:rPr>
                  <w:rStyle w:val="InternetLink"/>
                  <w:rFonts w:ascii="Times New Roman;serif" w:hAnsi="Times New Roman;serif"/>
                  <w:b w:val="false"/>
                  <w:strike w:val="false"/>
                  <w:dstrike w:val="false"/>
                  <w:color w:val="000000"/>
                  <w:sz w:val="19"/>
                  <w:u w:val="none"/>
                  <w:effect w:val="none"/>
                </w:rPr>
                <w:t>57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37">
              <w:r>
                <w:rPr>
                  <w:rStyle w:val="InternetLink"/>
                  <w:rFonts w:ascii="Times New Roman;serif" w:hAnsi="Times New Roman;serif"/>
                  <w:b/>
                  <w:color w:val="0000FF"/>
                  <w:sz w:val="19"/>
                  <w:u w:val="single"/>
                </w:rPr>
                <w:t>PART II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40">
              <w:r>
                <w:rPr>
                  <w:rStyle w:val="InternetLink"/>
                  <w:rFonts w:ascii="Times New Roman;serif" w:hAnsi="Times New Roman;serif"/>
                  <w:b w:val="false"/>
                  <w:color w:val="0000FF"/>
                  <w:sz w:val="19"/>
                  <w:u w:val="single"/>
                </w:rPr>
                <w:t>Item 5. 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40">
              <w:r>
                <w:rPr>
                  <w:rStyle w:val="InternetLink"/>
                  <w:rFonts w:ascii="Times New Roman;serif" w:hAnsi="Times New Roman;serif"/>
                  <w:b w:val="false"/>
                  <w:strike w:val="false"/>
                  <w:dstrike w:val="false"/>
                  <w:color w:val="000000"/>
                  <w:sz w:val="19"/>
                  <w:u w:val="none"/>
                  <w:effect w:val="none"/>
                </w:rPr>
                <w:t>58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43">
              <w:r>
                <w:rPr>
                  <w:rStyle w:val="InternetLink"/>
                  <w:rFonts w:ascii="Times New Roman;serif" w:hAnsi="Times New Roman;serif"/>
                  <w:b w:val="false"/>
                  <w:color w:val="0000FF"/>
                  <w:sz w:val="19"/>
                  <w:u w:val="single"/>
                </w:rPr>
                <w:t>Item 6. [Reserved.]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43">
              <w:r>
                <w:rPr>
                  <w:rStyle w:val="InternetLink"/>
                  <w:rFonts w:ascii="Times New Roman;serif" w:hAnsi="Times New Roman;serif"/>
                  <w:b w:val="false"/>
                  <w:strike w:val="false"/>
                  <w:dstrike w:val="false"/>
                  <w:color w:val="000000"/>
                  <w:sz w:val="19"/>
                  <w:u w:val="none"/>
                  <w:effect w:val="none"/>
                </w:rPr>
                <w:t>58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49">
              <w:r>
                <w:rPr>
                  <w:rStyle w:val="InternetLink"/>
                  <w:rFonts w:ascii="Times New Roman;serif" w:hAnsi="Times New Roman;serif"/>
                  <w:b w:val="false"/>
                  <w:color w:val="0000FF"/>
                  <w:sz w:val="19"/>
                  <w:u w:val="single"/>
                </w:rPr>
                <w:t>Item 7. 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49">
              <w:r>
                <w:rPr>
                  <w:rStyle w:val="InternetLink"/>
                  <w:rFonts w:ascii="Times New Roman;serif" w:hAnsi="Times New Roman;serif"/>
                  <w:b w:val="false"/>
                  <w:strike w:val="false"/>
                  <w:dstrike w:val="false"/>
                  <w:color w:val="000000"/>
                  <w:sz w:val="19"/>
                  <w:u w:val="none"/>
                  <w:effect w:val="none"/>
                </w:rPr>
                <w:t>59</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88">
              <w:r>
                <w:rPr>
                  <w:rStyle w:val="InternetLink"/>
                  <w:rFonts w:ascii="Times New Roman;serif" w:hAnsi="Times New Roman;serif"/>
                  <w:b w:val="false"/>
                  <w:color w:val="0000FF"/>
                  <w:sz w:val="19"/>
                  <w:u w:val="single"/>
                </w:rPr>
                <w:t>Item 7A. 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88">
              <w:r>
                <w:rPr>
                  <w:rStyle w:val="InternetLink"/>
                  <w:rFonts w:ascii="Times New Roman;serif" w:hAnsi="Times New Roman;serif"/>
                  <w:b w:val="false"/>
                  <w:strike w:val="false"/>
                  <w:dstrike w:val="false"/>
                  <w:color w:val="000000"/>
                  <w:sz w:val="19"/>
                  <w:u w:val="none"/>
                  <w:effect w:val="none"/>
                </w:rPr>
                <w:t>72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91">
              <w:r>
                <w:rPr>
                  <w:rStyle w:val="InternetLink"/>
                  <w:rFonts w:ascii="Times New Roman;serif" w:hAnsi="Times New Roman;serif"/>
                  <w:b w:val="false"/>
                  <w:color w:val="0000FF"/>
                  <w:sz w:val="19"/>
                  <w:u w:val="single"/>
                </w:rPr>
                <w:t>Item 8. 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91">
              <w:r>
                <w:rPr>
                  <w:rStyle w:val="InternetLink"/>
                  <w:rFonts w:ascii="Times New Roman;serif" w:hAnsi="Times New Roman;serif"/>
                  <w:b w:val="false"/>
                  <w:strike w:val="false"/>
                  <w:dstrike w:val="false"/>
                  <w:color w:val="000000"/>
                  <w:sz w:val="19"/>
                  <w:u w:val="none"/>
                  <w:effect w:val="none"/>
                </w:rPr>
                <w:t>74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81">
              <w:r>
                <w:rPr>
                  <w:rStyle w:val="InternetLink"/>
                  <w:rFonts w:ascii="Times New Roman;serif" w:hAnsi="Times New Roman;serif"/>
                  <w:b w:val="false"/>
                  <w:color w:val="0000FF"/>
                  <w:sz w:val="19"/>
                  <w:u w:val="single"/>
                </w:rPr>
                <w:t>Item 9. 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81">
              <w:r>
                <w:rPr>
                  <w:rStyle w:val="InternetLink"/>
                  <w:rFonts w:ascii="Times New Roman;serif" w:hAnsi="Times New Roman;serif"/>
                  <w:b w:val="false"/>
                  <w:strike w:val="false"/>
                  <w:dstrike w:val="false"/>
                  <w:color w:val="000000"/>
                  <w:sz w:val="19"/>
                  <w:u w:val="none"/>
                  <w:effect w:val="none"/>
                </w:rPr>
                <w:t>110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84">
              <w:r>
                <w:rPr>
                  <w:rStyle w:val="InternetLink"/>
                  <w:rFonts w:ascii="Times New Roman;serif" w:hAnsi="Times New Roman;serif"/>
                  <w:b w:val="false"/>
                  <w:color w:val="0000FF"/>
                  <w:sz w:val="19"/>
                  <w:u w:val="single"/>
                </w:rPr>
                <w:t>Item 9A. 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84">
              <w:r>
                <w:rPr>
                  <w:rStyle w:val="InternetLink"/>
                  <w:rFonts w:ascii="Times New Roman;serif" w:hAnsi="Times New Roman;serif"/>
                  <w:b w:val="false"/>
                  <w:strike w:val="false"/>
                  <w:dstrike w:val="false"/>
                  <w:color w:val="000000"/>
                  <w:sz w:val="19"/>
                  <w:u w:val="none"/>
                  <w:effect w:val="none"/>
                </w:rPr>
                <w:t>110</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87">
              <w:r>
                <w:rPr>
                  <w:rStyle w:val="InternetLink"/>
                  <w:rFonts w:ascii="Times New Roman;serif" w:hAnsi="Times New Roman;serif"/>
                  <w:b w:val="false"/>
                  <w:color w:val="0000FF"/>
                  <w:sz w:val="19"/>
                  <w:u w:val="single"/>
                </w:rPr>
                <w:t>Item 9B.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87">
              <w:r>
                <w:rPr>
                  <w:rStyle w:val="InternetLink"/>
                  <w:rFonts w:ascii="Times New Roman;serif" w:hAnsi="Times New Roman;serif"/>
                  <w:b w:val="false"/>
                  <w:strike w:val="false"/>
                  <w:dstrike w:val="false"/>
                  <w:color w:val="000000"/>
                  <w:sz w:val="19"/>
                  <w:u w:val="none"/>
                  <w:effect w:val="none"/>
                </w:rPr>
                <w:t>111</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93">
              <w:r>
                <w:rPr>
                  <w:rStyle w:val="InternetLink"/>
                  <w:rFonts w:ascii="Times New Roman;serif" w:hAnsi="Times New Roman;serif"/>
                  <w:b w:val="false"/>
                  <w:color w:val="0000FF"/>
                  <w:sz w:val="19"/>
                  <w:u w:val="single"/>
                </w:rPr>
                <w:t>Item 9C. Disclosure Regarding Foreign Jurisdictions that Prevent Inspections</w:t>
              </w:r>
            </w:hyperlink>
            <w:r>
              <w:rPr>
                <w:rFonts w:ascii="Times New Roman;serif" w:hAnsi="Times New Roman;serif"/>
                <w:b w:val="false"/>
                <w:color w:val="000000"/>
                <w:sz w:val="19"/>
              </w:rPr>
              <w:t>.</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87">
              <w:r>
                <w:rPr>
                  <w:rStyle w:val="InternetLink"/>
                  <w:rFonts w:ascii="Times New Roman;serif" w:hAnsi="Times New Roman;serif"/>
                  <w:b w:val="false"/>
                  <w:strike w:val="false"/>
                  <w:dstrike w:val="false"/>
                  <w:color w:val="000000"/>
                  <w:sz w:val="19"/>
                  <w:u w:val="none"/>
                  <w:effect w:val="none"/>
                </w:rPr>
                <w:t>111</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96">
              <w:r>
                <w:rPr>
                  <w:rStyle w:val="InternetLink"/>
                  <w:rFonts w:ascii="Times New Roman;serif" w:hAnsi="Times New Roman;serif"/>
                  <w:b/>
                  <w:color w:val="0000FF"/>
                  <w:sz w:val="19"/>
                  <w:u w:val="single"/>
                </w:rPr>
                <w:t>PART III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99">
              <w:r>
                <w:rPr>
                  <w:rStyle w:val="InternetLink"/>
                  <w:rFonts w:ascii="Times New Roman;serif" w:hAnsi="Times New Roman;serif"/>
                  <w:b w:val="false"/>
                  <w:color w:val="0000FF"/>
                  <w:sz w:val="19"/>
                  <w:u w:val="single"/>
                </w:rPr>
                <w:t>Item 10. 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99">
              <w:r>
                <w:rPr>
                  <w:rStyle w:val="InternetLink"/>
                  <w:rFonts w:ascii="Times New Roman;serif" w:hAnsi="Times New Roman;serif"/>
                  <w:b w:val="false"/>
                  <w:strike w:val="false"/>
                  <w:dstrike w:val="false"/>
                  <w:color w:val="000000"/>
                  <w:sz w:val="19"/>
                  <w:u w:val="none"/>
                  <w:effect w:val="none"/>
                </w:rPr>
                <w:t>112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202">
              <w:r>
                <w:rPr>
                  <w:rStyle w:val="InternetLink"/>
                  <w:rFonts w:ascii="Times New Roman;serif" w:hAnsi="Times New Roman;serif"/>
                  <w:b w:val="false"/>
                  <w:color w:val="0000FF"/>
                  <w:sz w:val="19"/>
                  <w:u w:val="single"/>
                </w:rPr>
                <w:t>Item 11. 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202">
              <w:r>
                <w:rPr>
                  <w:rStyle w:val="InternetLink"/>
                  <w:rFonts w:ascii="Times New Roman;serif" w:hAnsi="Times New Roman;serif"/>
                  <w:b w:val="false"/>
                  <w:strike w:val="false"/>
                  <w:dstrike w:val="false"/>
                  <w:color w:val="000000"/>
                  <w:sz w:val="19"/>
                  <w:u w:val="none"/>
                  <w:effect w:val="none"/>
                </w:rPr>
                <w:t>112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205">
              <w:r>
                <w:rPr>
                  <w:rStyle w:val="InternetLink"/>
                  <w:rFonts w:ascii="Times New Roman;serif" w:hAnsi="Times New Roman;serif"/>
                  <w:b w:val="false"/>
                  <w:color w:val="0000FF"/>
                  <w:sz w:val="19"/>
                  <w:u w:val="single"/>
                </w:rPr>
                <w:t>Item 12. 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205">
              <w:r>
                <w:rPr>
                  <w:rStyle w:val="InternetLink"/>
                  <w:rFonts w:ascii="Times New Roman;serif" w:hAnsi="Times New Roman;serif"/>
                  <w:b w:val="false"/>
                  <w:strike w:val="false"/>
                  <w:dstrike w:val="false"/>
                  <w:color w:val="000000"/>
                  <w:sz w:val="19"/>
                  <w:u w:val="none"/>
                  <w:effect w:val="none"/>
                </w:rPr>
                <w:t>112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208">
              <w:r>
                <w:rPr>
                  <w:rStyle w:val="InternetLink"/>
                  <w:rFonts w:ascii="Times New Roman;serif" w:hAnsi="Times New Roman;serif"/>
                  <w:b w:val="false"/>
                  <w:color w:val="0000FF"/>
                  <w:sz w:val="19"/>
                  <w:u w:val="single"/>
                </w:rPr>
                <w:t>Item 13. 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208">
              <w:r>
                <w:rPr>
                  <w:rStyle w:val="InternetLink"/>
                  <w:rFonts w:ascii="Times New Roman;serif" w:hAnsi="Times New Roman;serif"/>
                  <w:b w:val="false"/>
                  <w:strike w:val="false"/>
                  <w:dstrike w:val="false"/>
                  <w:color w:val="000000"/>
                  <w:sz w:val="19"/>
                  <w:u w:val="none"/>
                  <w:effect w:val="none"/>
                </w:rPr>
                <w:t>112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211">
              <w:r>
                <w:rPr>
                  <w:rStyle w:val="InternetLink"/>
                  <w:rFonts w:ascii="Times New Roman;serif" w:hAnsi="Times New Roman;serif"/>
                  <w:b w:val="false"/>
                  <w:color w:val="0000FF"/>
                  <w:sz w:val="19"/>
                  <w:u w:val="single"/>
                </w:rPr>
                <w:t>Item 14. Principal Accounting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211">
              <w:r>
                <w:rPr>
                  <w:rStyle w:val="InternetLink"/>
                  <w:rFonts w:ascii="Times New Roman;serif" w:hAnsi="Times New Roman;serif"/>
                  <w:b w:val="false"/>
                  <w:strike w:val="false"/>
                  <w:dstrike w:val="false"/>
                  <w:color w:val="000000"/>
                  <w:sz w:val="19"/>
                  <w:u w:val="none"/>
                  <w:effect w:val="none"/>
                </w:rPr>
                <w:t>112</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214">
              <w:r>
                <w:rPr>
                  <w:rStyle w:val="InternetLink"/>
                  <w:rFonts w:ascii="Times New Roman;serif" w:hAnsi="Times New Roman;serif"/>
                  <w:b/>
                  <w:color w:val="0000FF"/>
                  <w:sz w:val="19"/>
                  <w:u w:val="single"/>
                </w:rPr>
                <w:t>PART IV</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217">
              <w:r>
                <w:rPr>
                  <w:rStyle w:val="InternetLink"/>
                  <w:rFonts w:ascii="Times New Roman;serif" w:hAnsi="Times New Roman;serif"/>
                  <w:b w:val="false"/>
                  <w:color w:val="0000FF"/>
                  <w:sz w:val="19"/>
                  <w:u w:val="single"/>
                </w:rPr>
                <w:t>Item 15. Exhibits,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217">
              <w:r>
                <w:rPr>
                  <w:rStyle w:val="InternetLink"/>
                  <w:rFonts w:ascii="Times New Roman;serif" w:hAnsi="Times New Roman;serif"/>
                  <w:b w:val="false"/>
                  <w:strike w:val="false"/>
                  <w:dstrike w:val="false"/>
                  <w:color w:val="000000"/>
                  <w:sz w:val="19"/>
                  <w:u w:val="none"/>
                  <w:effect w:val="none"/>
                </w:rPr>
                <w:t>113</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220">
              <w:r>
                <w:rPr>
                  <w:rStyle w:val="InternetLink"/>
                  <w:rFonts w:ascii="Times New Roman;serif" w:hAnsi="Times New Roman;serif"/>
                  <w:b w:val="false"/>
                  <w:color w:val="0000FF"/>
                  <w:sz w:val="19"/>
                  <w:u w:val="single"/>
                </w:rPr>
                <w:t>Item 16. 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220">
              <w:r>
                <w:rPr>
                  <w:rStyle w:val="InternetLink"/>
                  <w:rFonts w:ascii="Times New Roman;serif" w:hAnsi="Times New Roman;serif"/>
                  <w:b w:val="false"/>
                  <w:strike w:val="false"/>
                  <w:dstrike w:val="false"/>
                  <w:color w:val="000000"/>
                  <w:sz w:val="19"/>
                  <w:u w:val="none"/>
                  <w:effect w:val="none"/>
                </w:rPr>
                <w:t>115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223">
              <w:r>
                <w:rPr>
                  <w:rStyle w:val="InternetLink"/>
                  <w:rFonts w:ascii="Times New Roman;serif" w:hAnsi="Times New Roman;serif"/>
                  <w:b/>
                  <w:color w:val="0000FF"/>
                  <w:sz w:val="19"/>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223">
              <w:r>
                <w:rPr>
                  <w:rStyle w:val="InternetLink"/>
                  <w:rFonts w:ascii="Times New Roman;serif" w:hAnsi="Times New Roman;serif"/>
                  <w:b w:val="false"/>
                  <w:strike w:val="false"/>
                  <w:dstrike w:val="false"/>
                  <w:color w:val="000000"/>
                  <w:sz w:val="19"/>
                  <w:u w:val="none"/>
                  <w:effect w:val="none"/>
                </w:rPr>
                <w:t>116</w:t>
              </w:r>
            </w:hyperlink>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60" w:after="283"/>
        <w:jc w:val="center"/>
        <w:rPr>
          <w:rFonts w:ascii="Arial;sans-serif" w:hAnsi="Arial;sans-serif"/>
          <w:b/>
          <w:color w:val="000000"/>
          <w:sz w:val="20"/>
          <w:shd w:fill="FFFFFF" w:val="clear"/>
        </w:rPr>
      </w:pPr>
      <w:r>
        <w:rPr>
          <w:rFonts w:ascii="Arial;sans-serif" w:hAnsi="Arial;sans-serif"/>
          <w:b/>
          <w:color w:val="000000"/>
          <w:sz w:val="20"/>
          <w:shd w:fill="FFFFFF" w:val="clear"/>
        </w:rPr>
        <w:t>CAUTIONARY NOTE REGARDING FORWARD-LOOKING STATEMENTS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This Annual Report on Form 10-K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All statements other than statements of historical facts contained in this report are forward-looking statements. Statements regarding our future results of operations and financial position, business strategy and plans and objectives of management for future operations, including, among others, statements regarding liquidity, growth and profitability strategies and factors and trends affecting our business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Annual Report on Form 10-K include, among other things, statements about: </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expectations regarding our operating results;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ability to acquire new customers and successfully retain existing customers;</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our ability to achieve or sustain our profitability;</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the impact of industry and market trends on our operating results;</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future investments in our business, our anticipated capital expenditures, and our estimates regarding our capital requirements;</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how changes in technology, including how our customers and others utilize changing technology, may impact our offerings and operating results;</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the costs and success of our sales and marketing efforts, and our ability to promote our brand;</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our ability to integrate acquisitions and new product offerings;</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our growth strategies;</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our reliance on key personnel and our ability to identify, recruit, and retain skilled personnel;</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our ability to effectively manage our growth;</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our ability to protect our intellectual property rights and any costs associated therewith;</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beliefs and expectations regarding opportunities, developments and projections relating to our competitors and our industry; and</w:t>
      </w:r>
    </w:p>
    <w:p>
      <w:pPr>
        <w:pStyle w:val="TextBody"/>
        <w:bidi w:val="0"/>
        <w:spacing w:lineRule="auto" w:line="288" w:before="120" w:after="283"/>
        <w:ind w:left="0" w:right="0" w:hanging="360"/>
        <w:jc w:val="left"/>
        <w:rPr/>
      </w:pPr>
      <w:r>
        <w:rPr>
          <w:color w:val="000000"/>
          <w:shd w:fill="FFFFFF" w:val="clear"/>
        </w:rPr>
        <w:t>•</w:t>
      </w:r>
      <w:r>
        <w:rPr>
          <w:rFonts w:ascii="Arial;sans-serif" w:hAnsi="Arial;sans-serif"/>
          <w:b w:val="false"/>
          <w:color w:val="000000"/>
          <w:sz w:val="19"/>
          <w:shd w:fill="FFFFFF" w:val="clear"/>
        </w:rPr>
        <w:t>our expectations regarding the time during which we will be an emerging growth company under the Jumpstart Our Business Startup Act of 2012.</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forward-looking statements in this report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These forward-looking statements speak only as of the date of this Annual Report on Form 10-K. Except as required by applicable law, we do not plan to publicly update or revise any forward-looking statements contained in this report after we distribute this Annual Report on Form 10-K, whether as a result of any new information, future events or otherwise.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SUMMARY OF MATERIAL RISKS ASSOCIATED WITH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business is subject to numerous risks and uncertainties that you should be aware, including those described in the section entitled “Risk Factors.” The risks include the following:</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face significant competition from larger companies and third-party providers that may deploy their resources so they can develop their IP solutions internally;</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have a history of net losses, and we may not achieve or maintain profitability in the future;</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Because our IP solutions are components of end products, if semiconductor, system producers and/or end product producer companies in the aerospace and defense market, automotive market, communications market, consumer electronics market, enterprise computing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depend on market acceptance of third-party semiconductor IP;</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Even if we succeed in securing design wins for our IP interconnect and other solutions and our System-on-Chip (</w:t>
      </w:r>
      <w:r>
        <w:rPr>
          <w:rFonts w:ascii="Arial;sans-serif" w:hAnsi="Arial;sans-serif"/>
          <w:b w:val="false"/>
          <w:color w:val="000000"/>
          <w:sz w:val="19"/>
        </w:rPr>
        <w:t>SoC) Integration Automation software solutions</w:t>
      </w:r>
      <w:r>
        <w:rPr>
          <w:rFonts w:ascii="Arial;sans-serif" w:hAnsi="Arial;sans-serif"/>
          <w:b w:val="false"/>
          <w:color w:val="000000"/>
          <w:sz w:val="19"/>
          <w:shd w:fill="FFFFFF" w:val="clear"/>
        </w:rPr>
        <w:t>, we may not generate timely or sufficient margins or margins from those wins and our financial results could suffer;</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may have to invest more resources in research and development than anticipated, which could increase our operating expenses and negatively affect our operating results;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Product errors or defects could expose us to liability and harm our reputation, and we could lose market share;</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If we fail to offer high-quality products and support, our reputation could suffer;</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Our dependence on international customers and operations also subjects us to a range of other additional regulatory, trade policy, operational, financial and political risks that could adversely affect our financial results;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Changes in legislation and regulation in the United States and other countries, including new trade policies and the imposition of tariffs, may adversely impact our business and our customers’ businesses, and may impact our results of operations and financial condition;</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are subject to government regulations, including import, export and economic sanctions laws and artificial intelligence regulations that may restrict our ability to sell to or get paid by customers in certain regions, or expose us to liability and increase our costs;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We face risks associated with doing business in China; and</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9"/>
          <w:shd w:fill="FFFFFF" w:val="clear"/>
        </w:rPr>
        <w:t xml:space="preserve">Litigation, including securities class action litigation, may impair our reputation and lead us to incur significant costs.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1. Business</w:t>
      </w: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Overview</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 leading provider of semiconductor system IP, including interconnect and other intellectual property (collectively, System IP) technology. Our System IP technology manages on-chip communications and IP block deployments by helping to enable the underlying data movement across chiplets, single-die and multi-die System-on-Chip (SoC) semiconductors. Our leading proprietary System IP solutions achieve this by connecting various semiconductor IP blocks such as processors, memory and logic via multiple Network-on-Chips (NoCs) in order for our customers to meet functional design goals as well as performance and power requirements, while addressing design complexity with efficient and lower cost solutions.</w:t>
      </w:r>
    </w:p>
    <w:p>
      <w:pPr>
        <w:pStyle w:val="TextBody"/>
        <w:bidi w:val="0"/>
        <w:spacing w:lineRule="auto" w:line="288" w:before="180" w:after="283"/>
        <w:jc w:val="both"/>
        <w:rPr/>
      </w:pPr>
      <w:r>
        <w:rPr>
          <w:rFonts w:ascii="Arial;sans-serif" w:hAnsi="Arial;sans-serif"/>
          <w:b w:val="false"/>
          <w:color w:val="000000"/>
          <w:sz w:val="19"/>
          <w:shd w:fill="FFFFFF" w:val="clear"/>
        </w:rPr>
        <w:t xml:space="preserve">Founded in 2003, we are among the pioneers in the development of NoC IP technology for on-chip communication that addresses the growing complexity, performance, and cost requirements of SoC semiconductors and as a result, we have emerged as a global leader. Over time, we have expanded and scaled our interconnect IP and other IP businesses to provide hardware, software, documentation, support, and training under a license, support and maintenance fee and a royalty business model, to companies that design and produce semiconductors. In addition, we are finding an increasing number of customers further down the supply chain, such as system-level companies and original equipment manufacturers (OEMs). Our SoC integration automation capabilities were significantly enhanced by our acquisitions of Magillem in 2020, Semifore in 2022 and Cycuity in 2026, complementing our interconnect IP solutions by helping to automate the customer configuration of its NoC IPs, the process of integrating and assembling all of the customer’s IP blocks into SoC hardware, and ensuring correct hardware-software integration for software development. Products incorporating our IP are used to carry important data inside today’s complex SoCs across a broad range of applications, including aerospace and defense, automotive, communications, consumer electronics, enterprise computing, and industrial markets. Our interconnect IP solutions can be found in multiple industry-standard designs supporting instruction set architectures such as x86, Arm, RISC-V, CEVA, Synopsys ARC, Cadence Tensilica and MIPS, as well as memory controllers, UCIe, BoW, and XSR controllers, I/O and a variety of IP subsystems, to enable customers to integrate such IP blocks with high levels of efficiency and performance. Our solutions enable customer innovation because they are configurable for each customer’s design flow and SoC development projects and have wide applicability for many types of SoCs. We estimate that our solutions have been incorporated into over </w:t>
      </w:r>
      <w:r>
        <w:rPr>
          <w:rFonts w:ascii="Arial;sans-serif" w:hAnsi="Arial;sans-serif"/>
          <w:b w:val="false"/>
          <w:color w:val="000000"/>
          <w:sz w:val="19"/>
        </w:rPr>
        <w:t>four billion production SoCs since inception.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Growing demand for our products and solutions is being driven by increasing SoC sophistication and associated complexity, now extending into disaggregation of SoCs into systems that implement the communication protocol aspects and partnering with industry-leading providers like Arm, Cadence, Synopsys, and others to help realize advanced systems. For example, traditional on-chip communication methods, including bus and crossbar interconnect IPs, are generally inadequate in handling modern semiconductor communications, and even more so for sophisticated applications or more complex chiplet designs. Technological advancements have led to increasingly complex SoCs that integrate numerous functions into a single semiconductor device. Massive amounts of wires, challenging timing closure, and routing congestion lead to greater die area and chip cost. Increased transistor density and design frequencies create higher power consumption leading to heat dissipation challenges and shorter battery life for electronic devices. These challenges have significantly complicated SoC innovation and contributed to the increasing adoption of System IP, across the numerous customer design starts coupled with the expanding number of NoC IPs used in current SoC.</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leveraged our extensive technical expertise to develop configurable IP for a new method for on-chip communication, the NoC, that has emerged over the past couple of decades to address these critical semiconductor development challenges. We accomplished this by pioneering the use of proprietary networking techniques for on-chip communications to remove the inherent architectural limitations of traditional on-chip communications, thereby improving ease of integration, performance, silicon area, and power consumption. In doing so, we enable our customers to achieve their design goals faster, more efficiently, and at lower costs. In addition, our SoC Integration Automation software solutions enable easier IP integration of our interconnect IPs – among other IP blocks that make up an SoC, across both hardware and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work directly with our customers throughout the SoC development process and seek to develop long-term, sustainable relationships with them as our technology becomes embedded in their products. We have historically maintained average customer retention rates of approximately 90%, reflecting the long-term nature of our customer relationships. Increasingly, we are also seeing system companies and even their customers becoming directly involved in SoC and NoC specifications and design, further expanding our ability to partner in this growing market. We also leverage our long history in interconnect IP designs and are able to serve a broad range of applications and deliver application and customer-specific features to our customers. For example, we are a leader in the market of interconnect for advanced driver assistance systems (ADAS) SoCs, which we believe is a result of our quality, reliability, and innovative technology targeted at that business application, and longstanding collaboration with automotive semiconductor companies, Tier 1 suppliers, and car manufacturing OEMs.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solutions for the global chiplet and SoC market and believe that market growth will be driven by an increasing number of SoC designs and growing complexity, increasing average selling prices of interconnect IP and SoC Integration Automation software products. More specifically, we believe our growth will continue to be driven by technology trends requiring more advanced sophisticated on-chip data movement in the aerospace and defense, automotive, communications, consumer electronics, enterprise computing, and industrial markets. Also, the need for sophisticated system IP products is growing rapidly to address the requirements of chiplets and multi-die systems, lower power consumption, and higher operation frequency, smaller die size, and the ability to limited chip design expert resources to scale design needs in a cost-effective manner. As a result, we believe these trends have led to an increased economic benefit of in-licensing commercial semiconductor design IP and increased use of supported Electronic Design Automation (EDA) software a trend that we expect to continue.</w:t>
      </w:r>
    </w:p>
    <w:p>
      <w:pPr>
        <w:pStyle w:val="TextBody"/>
        <w:bidi w:val="0"/>
        <w:spacing w:lineRule="auto" w:line="288" w:before="180" w:after="283"/>
        <w:jc w:val="both"/>
        <w:rPr/>
      </w:pPr>
      <w:r>
        <w:rPr>
          <w:rFonts w:ascii="Arial;sans-serif" w:hAnsi="Arial;sans-serif"/>
          <w:b w:val="false"/>
          <w:color w:val="000000"/>
          <w:sz w:val="19"/>
          <w:shd w:fill="FFFFFF" w:val="clear"/>
        </w:rPr>
        <w:t xml:space="preserve">For the years ended December 31, 2025, and 2024, we generated $70.6 million and $57.7 million in revenue, $6.7 million in cash flows provided by operating activities and $0.7 million in cash flows </w:t>
      </w:r>
      <w:r>
        <w:rPr>
          <w:rFonts w:ascii="Arial;sans-serif" w:hAnsi="Arial;sans-serif"/>
          <w:b w:val="false"/>
          <w:color w:val="000000"/>
          <w:sz w:val="19"/>
        </w:rPr>
        <w:t>used</w:t>
      </w:r>
      <w:r>
        <w:rPr>
          <w:color w:val="000000"/>
          <w:shd w:fill="FFFFFF" w:val="clear"/>
        </w:rPr>
        <w:t xml:space="preserve"> </w:t>
      </w:r>
      <w:r>
        <w:rPr>
          <w:rFonts w:ascii="Arial;sans-serif" w:hAnsi="Arial;sans-serif"/>
          <w:b w:val="false"/>
          <w:color w:val="000000"/>
          <w:sz w:val="19"/>
          <w:shd w:fill="FFFFFF" w:val="clear"/>
        </w:rPr>
        <w:t xml:space="preserve">in operating activities, and $34.7 million and $33.6 million in net loss, respectively. We expect to incur further net losses in the short term as we invest in our business. As of December 31, 2025, we had Annual Contract Value (ACV), which we define for an individual customer agreement as the total fixed fees under the agreement divided by the number of years in the agreement term, of $77.0 million. ACV plus royalties reached $83.6 million as of December 31, 2025. </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Industry Background</w:t>
      </w:r>
    </w:p>
    <w:p>
      <w:pPr>
        <w:pStyle w:val="TextBody"/>
        <w:bidi w:val="0"/>
        <w:spacing w:lineRule="auto" w:line="288" w:before="180" w:after="283"/>
        <w:jc w:val="both"/>
        <w:rPr/>
      </w:pPr>
      <w:r>
        <w:rPr>
          <w:rFonts w:ascii="Arial;sans-serif" w:hAnsi="Arial;sans-serif"/>
          <w:b w:val="false"/>
          <w:i/>
          <w:color w:val="000000"/>
          <w:sz w:val="19"/>
          <w:shd w:fill="FFFFFF" w:val="clear"/>
        </w:rPr>
        <w:t>The semiconductor industry is characterized by rapid technological change and increasing levels of integration</w:t>
      </w:r>
      <w:r>
        <w:rPr>
          <w:rFonts w:ascii="Arial;sans-serif" w:hAnsi="Arial;sans-serif"/>
          <w:b w:val="false"/>
          <w:color w:val="000000"/>
          <w:sz w:val="19"/>
          <w:shd w:fill="FFFFFF" w:val="clear"/>
        </w:rPr>
        <w:t>. The semiconductor industry moved from integrated circuits that process data to SoCs that make decisions, and now extends to systems. SoCs grew more complex, enabling applications such as automated driving and enterprise computing data center acceleration. Integration of processors, accelerators, machine learning subsystems, sophisticated multi-channel memories, and an ever-larger number of interface standards has increased the need to move data efficiently inside the SoC and between SoC chiplets.</w:t>
      </w:r>
    </w:p>
    <w:p>
      <w:pPr>
        <w:pStyle w:val="TextBody"/>
        <w:bidi w:val="0"/>
        <w:spacing w:lineRule="auto" w:line="288" w:before="180" w:after="283"/>
        <w:jc w:val="both"/>
        <w:rPr/>
      </w:pPr>
      <w:r>
        <w:rPr>
          <w:rFonts w:ascii="Arial;sans-serif" w:hAnsi="Arial;sans-serif"/>
          <w:b w:val="false"/>
          <w:i/>
          <w:color w:val="000000"/>
          <w:sz w:val="19"/>
          <w:shd w:fill="FFFFFF" w:val="clear"/>
        </w:rPr>
        <w:t xml:space="preserve">Increasing chip design complexity leads to rising costs. </w:t>
      </w:r>
      <w:r>
        <w:rPr>
          <w:rFonts w:ascii="Arial;sans-serif" w:hAnsi="Arial;sans-serif"/>
          <w:b w:val="false"/>
          <w:color w:val="000000"/>
          <w:sz w:val="19"/>
          <w:shd w:fill="FFFFFF" w:val="clear"/>
        </w:rPr>
        <w:t>The move to more advanced process nodes has led to significantly more expensive and complex chip design methods and manufacturing processes.</w:t>
      </w:r>
    </w:p>
    <w:p>
      <w:pPr>
        <w:pStyle w:val="TextBody"/>
        <w:bidi w:val="0"/>
        <w:spacing w:lineRule="auto" w:line="288" w:before="180" w:after="283"/>
        <w:jc w:val="both"/>
        <w:rPr/>
      </w:pPr>
      <w:r>
        <w:rPr>
          <w:rFonts w:ascii="Arial;sans-serif" w:hAnsi="Arial;sans-serif"/>
          <w:b w:val="false"/>
          <w:i/>
          <w:color w:val="000000"/>
          <w:sz w:val="19"/>
          <w:shd w:fill="FFFFFF" w:val="clear"/>
        </w:rPr>
        <w:t xml:space="preserve">Increasing chiplet and SoC complexity leads to increasing System IP value while also placing pressure on IP block assembly and connectivity efforts. </w:t>
      </w:r>
      <w:r>
        <w:rPr>
          <w:rFonts w:ascii="Arial;sans-serif" w:hAnsi="Arial;sans-serif"/>
          <w:b w:val="false"/>
          <w:color w:val="000000"/>
          <w:sz w:val="19"/>
          <w:shd w:fill="FFFFFF" w:val="clear"/>
        </w:rPr>
        <w:t xml:space="preserve">As chiplets and SoCs grow in size, partly due to machine learning subsystems, communication complexity increases. The increasing use of coherent and non-coherent traffic in a single chiplet or SoC may amplify demand for our System IP products. Increased SoC complexity also requires SoC teams to manage potentially hundreds of IP blocks and chiplets from various vendors and internal development groups. These teams and their electronic design software (EDA) groups must implement IP supply chains with increasingly capable SoC integration automation to succeed, supported by </w:t>
      </w:r>
      <w:r>
        <w:rPr>
          <w:rFonts w:ascii="Arial;sans-serif" w:hAnsi="Arial;sans-serif"/>
          <w:b w:val="false"/>
          <w:color w:val="000000"/>
          <w:sz w:val="19"/>
        </w:rPr>
        <w:t>standards like IEEE 1685 IP-XACT. As these standards become increasingly sophisticate</w:t>
      </w:r>
      <w:r>
        <w:rPr>
          <w:rFonts w:ascii="Arial;sans-serif" w:hAnsi="Arial;sans-serif"/>
          <w:b w:val="false"/>
          <w:color w:val="000000"/>
          <w:sz w:val="19"/>
          <w:shd w:fill="FFFFFF" w:val="clear"/>
        </w:rPr>
        <w:t>d with each generation, more sophisticated software is required to support them.</w:t>
      </w:r>
    </w:p>
    <w:p>
      <w:pPr>
        <w:pStyle w:val="TextBody"/>
        <w:bidi w:val="0"/>
        <w:spacing w:lineRule="auto" w:line="288" w:before="180" w:after="283"/>
        <w:jc w:val="both"/>
        <w:rPr/>
      </w:pPr>
      <w:r>
        <w:rPr>
          <w:rFonts w:ascii="Arial;sans-serif" w:hAnsi="Arial;sans-serif"/>
          <w:b w:val="false"/>
          <w:i/>
          <w:color w:val="000000"/>
          <w:sz w:val="19"/>
          <w:shd w:fill="FFFFFF" w:val="clear"/>
        </w:rPr>
        <w:t>Rising demand from emerging end markets and new market participants is increasing the need for System IP products.</w:t>
      </w:r>
      <w:r>
        <w:rPr>
          <w:color w:val="000000"/>
          <w:shd w:fill="FFFFFF" w:val="clear"/>
        </w:rPr>
        <w:t xml:space="preserve"> </w:t>
      </w:r>
      <w:r>
        <w:rPr>
          <w:rFonts w:ascii="Arial;sans-serif" w:hAnsi="Arial;sans-serif"/>
          <w:b w:val="false"/>
          <w:color w:val="000000"/>
          <w:sz w:val="19"/>
          <w:shd w:fill="FFFFFF" w:val="clear"/>
        </w:rPr>
        <w:t xml:space="preserve">New applications in markets such as aerospace and defense, automotive, communications, consumer electronics, enterprise computing, and industrial have increased the diversity and overall demand in the semiconductor market. These new applications, which often include more AI technology, safety, or complex hardware-software integrations, have led to an increase in the number and complexity of chiplet and SoC designs. Chips used for AI training and inference acceleration have increased in size, with added design complexities and performance requirements, leading to higher design costs. </w:t>
      </w:r>
    </w:p>
    <w:p>
      <w:pPr>
        <w:pStyle w:val="TextBody"/>
        <w:bidi w:val="0"/>
        <w:spacing w:lineRule="auto" w:line="288" w:before="180" w:after="283"/>
        <w:jc w:val="both"/>
        <w:rPr/>
      </w:pPr>
      <w:r>
        <w:rPr>
          <w:rFonts w:ascii="Arial;sans-serif" w:hAnsi="Arial;sans-serif"/>
          <w:b w:val="false"/>
          <w:i/>
          <w:color w:val="000000"/>
          <w:sz w:val="19"/>
          <w:shd w:fill="FFFFFF" w:val="clear"/>
        </w:rPr>
        <w:t xml:space="preserve">There is a shift to third-party IP due to cost benefits, product differentiation, and accelerated time to market. </w:t>
      </w:r>
      <w:r>
        <w:rPr>
          <w:rFonts w:ascii="Arial;sans-serif" w:hAnsi="Arial;sans-serif"/>
          <w:b w:val="false"/>
          <w:color w:val="000000"/>
          <w:sz w:val="19"/>
          <w:shd w:fill="FFFFFF" w:val="clear"/>
        </w:rPr>
        <w:t>Developing state-of-the-art SoC interconnect IP solutions is difficult, time-consuming and expensive. We believe this dynamic is accelerating the degree to which interconnect IP solutions are outsourced to commercial vendors. Commercial silicon proven interconnect vendors, such as Arteris, can potentially accelerate time-to-market by engaging with a greater variety of SoC applications and designs than the typical internal interconnect teams.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i/>
          <w:color w:val="000000"/>
          <w:sz w:val="19"/>
          <w:shd w:fill="FFFFFF" w:val="clear"/>
        </w:rPr>
        <w:t xml:space="preserve">Artificial Intelligence (AI) and Generative AI are transforming the semiconductor industry, revolutionizing how our customers approach design, development, and the resulting products. </w:t>
      </w:r>
      <w:r>
        <w:rPr>
          <w:rFonts w:ascii="Arial;sans-serif" w:hAnsi="Arial;sans-serif"/>
          <w:b w:val="false"/>
          <w:color w:val="000000"/>
          <w:sz w:val="19"/>
          <w:shd w:fill="FFFFFF" w:val="clear"/>
        </w:rPr>
        <w:t>The rapid expansion of AI applications across various industries, combined with the increasing complexity of electronic system design, is accelerating the use of network-on-chip technologies. Moreover, it is also accelerating the broader shift from single-die to multi-die SoCs, increasing the numbers of NoCs being used in complex chiplets and SoCs.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System IP Market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SoC-type semiconductors consist of pre-made IP blocks that are either licensed from third parties by semiconductor and electronics companies or developed in-house. These IP blocks must be assembled into chiplets or SoCs as efficiently as possible to address semiconductor company and system OEM customer requirements. Many of these IP blocks, including processors and other functional blocks, such as machine learning and vision subsystems, perform processing functions and execute complex software stacks. These IP blocks can number in the hundreds on a single chip and generate and consume commands and data, as well as work together as a unit. As SoCs become more complex, there has emerged a class of silicon IP and software tools designed to assemble these IP blocks into a functioning SoC at target cost and performance. We call this the System IP market as it is focuses on high-performing, safe, secure and error free data movement throughout an SoC. The System IP market consists of NoC interconnect IP, NoC interface IP and SoC Integration Automation solutions. As SoC technology evolves, we believe that there is a significant opportunity for us to increase our value by introducing additional functionality for our customers to integrate their SoCs efficiently using our System IP solutions.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addition of more processors, channels of memory access, additional I/Os interface standards, safety and security logic, and other subsystems within SoCs is driving the need for more advanced System IP, including NoC interconnect IPs. We believe this increase in SoC complexity has created a significant opportunity for sophisticated System IP products and solutions that incorporate NoC interconnect IP, NoC interface IP and SoC Integration Automation software.</w:t>
      </w:r>
    </w:p>
    <w:p>
      <w:pPr>
        <w:pStyle w:val="TextBody"/>
        <w:bidi w:val="0"/>
        <w:spacing w:lineRule="auto" w:line="288" w:before="180" w:after="283"/>
        <w:jc w:val="both"/>
        <w:rPr/>
      </w:pPr>
      <w:r>
        <w:rPr>
          <w:rFonts w:ascii="Arial;sans-serif" w:hAnsi="Arial;sans-serif"/>
          <w:b w:val="false"/>
          <w:color w:val="000000"/>
          <w:sz w:val="19"/>
          <w:shd w:fill="FFFFFF" w:val="clear"/>
        </w:rPr>
        <w:t>Our market penetration spans multiple segments and cus</w:t>
      </w:r>
      <w:r>
        <w:rPr>
          <w:rFonts w:ascii="Arial;sans-serif" w:hAnsi="Arial;sans-serif"/>
          <w:b w:val="false"/>
          <w:color w:val="000000"/>
          <w:sz w:val="19"/>
        </w:rPr>
        <w:t xml:space="preserve">tomer adoption is most pronounced in the </w:t>
      </w:r>
      <w:r>
        <w:rPr>
          <w:rFonts w:ascii="Arial;sans-serif" w:hAnsi="Arial;sans-serif"/>
          <w:b w:val="false"/>
          <w:color w:val="000000"/>
          <w:sz w:val="19"/>
          <w:shd w:fill="FFFFFF" w:val="clear"/>
        </w:rPr>
        <w:t xml:space="preserve">aerospace and defense, </w:t>
      </w:r>
      <w:r>
        <w:rPr>
          <w:rFonts w:ascii="Arial;sans-serif" w:hAnsi="Arial;sans-serif"/>
          <w:b w:val="false"/>
          <w:color w:val="000000"/>
          <w:sz w:val="19"/>
        </w:rPr>
        <w:t>automotive, communications across wired and wireless, consumer electronics, enterprise computing, and industrial markets, driven by a higher rate of disruptive innovations.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Aerospace and Defense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aerospace and defense sector, including government-sponsored programs, is undergoing a technology transition toward more highly integrated, software-defined systems. Increasing use of autonomy, multi-sensor processing, AI acceleration, and secure communications across air, space, land, and cyber environments is driving a shift from discrete components and field programmable gate arrays (FPGAs) to complex SoCs and application-specific integrated circuits (ASICs). In parallel, governments and defense agencies are emphasizing technological independence and supply chain resilience through domestic semiconductor initiatives. In addition, growth in commercial space, advanced avionics, and next-generation radar and electronic defense systems is further increasing system complexity and performance requirements. Our NoC and System IP technologies enable developers to meet these rigorous requirements with scalable, deterministic interconnect architectures.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Automotive Applications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automotive market continues to undergo technology disruption with the advent of autonomous driving, electrification, electronic control unit consolidation, software defined vehicles and vehicle connectivity to the internet. Furthermore, cars are becoming increasingly connected to a large network of data centers, roadside and city infrastructures, and other vehicles, creating the “Internet of Cars”.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Due to the complex requirements of electronically enabled vehicles and the high rate of innovation required to compete in the “Internet of Cars” revolution, industry players are designing SoCs tailored to their sophisticated software and applications. This will result in more complex automotive-targeted SoCs, which we expect will continue to grow demand for reliable, configurable, and proven interconnect technologies that accelerate a product’s time to market while reducing overall costs.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Communications Applications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wireless communications market is in the midst of disruption as 5G becomes more prevalent. 5G enables smart devices utilizing sophisticated SoCs to communicate more information at faster speeds while using less power. As 5G is adopted as the wireless market standard, it is expected to revolutionize markets, including cars and smart city vehicle infrastructure, factory automation, logistics, and consumer and business broadband.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Already approaching the next generation network infrastructure, the industry has started the development of a roadmap towards 6G technology to be rolled out towards the end of this decade, with various 5G Advanced steps in-between.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the transition to 5G and 6G, accelerated by AI demands, will result in further stringent requirements for bandwidth, latency, and power consumption, making an easy-to-integrate, high performance and low power on-chip interconnect a critical requirement.</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Consumer Electronics Applications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Consumer electronics are trending towards being smaller, lighter, and more portable, while consumers expect simultaneously increased functionality and performance. Power consumption and heat management are increasingly critical as devices become smaller and more powerful, and consumers demand devices with longer battery life that do not overheat.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AI is also reshaping consumer electronics silicon designs, especially in smart home, gaming, and other connected devices.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From smartphones to wearables, AI-infused tables and laptops, gaming consoles, AR/VR innovation, smart TVs and smart home, the rate of recent innovation has significantly increased, pushing underlying silicon from what used to be relatively simple towards more sophisticated architectures which can benefit from System IP such as the technology provided by Arteris.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Enterprise Computing Applications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Large-scale AI cloud data centers are augmenting and replacing corporate data centers. This evolution expands the market size and value for AI GPUs and other XPUs used in them, enterprise solid-state storage systems and high-bandwidth memories, and the custom ASICs that control them, further strengthening demand for interconnect technologies that improve overall throughput, bandwidth, storage performance and provide data integrity. In addition, enterprise hyperscale computing companies are now creating proprietary multi-die SoCs and accelerators for their own products and data centers. We believe that these new entrants into semiconductor design will further accelerate market opportunities for third-party System IP products, including those from Arteris.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the key areas for workload specific acceleration in data centers are AI, database processing, video/audio transcoding, and scientific computing. AI SoCs and computing pods must be “trained” on large data sets that have to be collected from real-world data utilizing “training” SoCs. A different class of AI SoCs uses such data to match the training data against actual data collected by sensors of the system utilizing “inference” SoCs. Whether used for training or inference, System IP technology deployment by companies like Arteris is on the rise in enterprise computing.</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Industry Challenges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Interconnect IP development is a challenging, time-consuming, and expensive process. The need for robust, maintainable interconnect technology becomes increasingly important as chip designs become more complex and larger in size, both driven by advances in semiconductor manufacturing technology. Key interconnect IP development requirements and challenges include:</w:t>
      </w:r>
    </w:p>
    <w:p>
      <w:pPr>
        <w:pStyle w:val="TextBody"/>
        <w:bidi w:val="0"/>
        <w:spacing w:lineRule="auto" w:line="288" w:before="180" w:after="283"/>
        <w:ind w:left="0" w:right="0" w:hanging="360"/>
        <w:jc w:val="both"/>
        <w:rPr/>
      </w:pPr>
      <w:r>
        <w:rPr>
          <w:color w:val="000000"/>
        </w:rPr>
        <w:t>■</w:t>
      </w:r>
      <w:r>
        <w:rPr>
          <w:rFonts w:ascii="Arial;sans-serif" w:hAnsi="Arial;sans-serif"/>
          <w:b/>
          <w:i/>
          <w:color w:val="000000"/>
          <w:sz w:val="19"/>
        </w:rPr>
        <w:t>Deep technical expertise and knowledge.</w:t>
      </w:r>
      <w:r>
        <w:rPr>
          <w:color w:val="000000"/>
        </w:rPr>
        <w:t> </w:t>
      </w:r>
      <w:r>
        <w:rPr>
          <w:rFonts w:ascii="Arial;sans-serif" w:hAnsi="Arial;sans-serif"/>
          <w:b w:val="false"/>
          <w:color w:val="000000"/>
          <w:sz w:val="19"/>
        </w:rPr>
        <w:t>Interconnect development requires an interdisciplinary engineering team with expertise and skill sets across a wide-range of engineering and scientific domains including hardware architecture, design, verification, EDA-class software development, and SystemC modeling, as well as deep understanding of physical design, design methodologies and networking architectures. The design process requires expertise in developing advanced hardware architectures to handle data coherency and consistency across the interconnect to achieve a high-performance, low power implementation. The design process requires expertise in developing advanced hardware architectures, engineers that have an awareness of the physical implementation and floorplan of the target chip in order to generate an architecture that meets SoC requirements and in-depth knowledge of graph theory, common interface protocols, data models, and graphical user interfaces.</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High quality.</w:t>
      </w:r>
      <w:r>
        <w:rPr>
          <w:color w:val="000000"/>
        </w:rPr>
        <w:t> </w:t>
      </w:r>
      <w:r>
        <w:rPr>
          <w:rFonts w:ascii="Arial;sans-serif" w:hAnsi="Arial;sans-serif"/>
          <w:b w:val="false"/>
          <w:color w:val="000000"/>
          <w:sz w:val="19"/>
        </w:rPr>
        <w:t>Interconnect IP requires a systematic deployment of quality-oriented methodologies, as any customer-level problems in the interconnect will result in SoC project delays or even project failures. Engineering teams creating interconnects must invest heavily not only in skilled engineering resources to develop and verify but also processes and methodologies that provide early indication of any potential quality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Safety standards.</w:t>
      </w:r>
      <w:r>
        <w:rPr>
          <w:color w:val="000000"/>
        </w:rPr>
        <w:t> </w:t>
      </w:r>
      <w:r>
        <w:rPr>
          <w:rFonts w:ascii="Arial;sans-serif" w:hAnsi="Arial;sans-serif"/>
          <w:b w:val="false"/>
          <w:color w:val="000000"/>
          <w:sz w:val="19"/>
        </w:rPr>
        <w:t>High reliability of the interconnect is a heightened requirement for mission-critical markets including automotive, aerospace and defense, and industrial for robotics, medical and other applications.</w:t>
      </w:r>
      <w:r>
        <w:rPr>
          <w:color w:val="000000"/>
          <w:shd w:fill="FFFFFF" w:val="clear"/>
        </w:rPr>
        <w:t> </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Long time commitment and high investment cost.</w:t>
      </w:r>
      <w:r>
        <w:rPr>
          <w:color w:val="000000"/>
        </w:rPr>
        <w:t> </w:t>
      </w:r>
      <w:r>
        <w:rPr>
          <w:rFonts w:ascii="Arial;sans-serif" w:hAnsi="Arial;sans-serif"/>
          <w:b w:val="false"/>
          <w:color w:val="000000"/>
          <w:sz w:val="19"/>
        </w:rPr>
        <w:t>We believe the engineering development cycle for each new interconnect and the market development cycle to establish a significant market position for a customer or for a commercial vendor requires large teams, many years and great expense. Additionally, we believe the investment required by a customer to internally create a configurable interconnect technology for a new SoC can be very expensive compared to the cost of licensing from a proven interconnect IP provider.</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Breadth of System IP products.</w:t>
      </w:r>
      <w:r>
        <w:rPr>
          <w:color w:val="000000"/>
        </w:rPr>
        <w:t xml:space="preserve"> </w:t>
      </w:r>
      <w:r>
        <w:rPr>
          <w:rFonts w:ascii="Arial;sans-serif" w:hAnsi="Arial;sans-serif"/>
          <w:b w:val="false"/>
          <w:color w:val="000000"/>
          <w:sz w:val="19"/>
        </w:rPr>
        <w:t>With the need to address cache coherent, non-coherent, machine learning and chiplet traffic, customers need a System IP solution that works together across all these data traffic types. SoC integration automation technologies allow customers to manage the deployment of the rest of the IP blocks in the SoC in order to ease SoC IP integration. Meeting such requirements requires significant enterprise scale in engineering and customer support. Necessity for such combined technologies amounts to a significant barrier to entry in terms of time, cost and customer adoption.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Given the above requirements and challenges, developing commercial interconnect IP and software tools requires large engineering teams with advanced skill sets, significant amounts of time, and substantial financial investment. By licensing commercial interconnect IP, companies can free up resources to focus on developing new product capabilities and differentiators. Further, we believe the large investments needed to develop commercial interconnect IP also create barriers to entry for potential commercial competitors.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Our Solutions and Competitive Strengths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 leading provider of interconnect and other IP technology that manages the on-chip communications in SoC semiconductor devices. We believe our System IP is integral to our customers in aerospace and defense, automotive, communications across wired and wireless applications, consumer electronics, enterprise computing, and industrial markets. Our core strengths include:</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help to enable the underlying data movement at the core of semiconductors.</w:t>
      </w:r>
      <w:r>
        <w:rPr>
          <w:color w:val="000000"/>
        </w:rPr>
        <w:t xml:space="preserve"> </w:t>
      </w:r>
      <w:r>
        <w:rPr>
          <w:rFonts w:ascii="Arial;sans-serif" w:hAnsi="Arial;sans-serif"/>
          <w:b w:val="false"/>
          <w:color w:val="000000"/>
          <w:sz w:val="19"/>
        </w:rPr>
        <w:t>Network-on-Chip technology provides the core data transport layer between hundreds and thousands of IP blocks in today’s SoC devices or chiplets. Our technology connects the various XPUs, such as CPUs, GPUs, NPUs, TPUs, DPUs, IPUs, and MCUs.</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help accelerate our customers’ time to market.</w:t>
      </w:r>
      <w:r>
        <w:rPr>
          <w:color w:val="000000"/>
        </w:rPr>
        <w:t> </w:t>
      </w:r>
      <w:r>
        <w:rPr>
          <w:rFonts w:ascii="Arial;sans-serif" w:hAnsi="Arial;sans-serif"/>
          <w:b w:val="false"/>
          <w:color w:val="000000"/>
          <w:sz w:val="19"/>
        </w:rPr>
        <w:t>Our interconnect IP software and SoC Integration Automation software solutions help accelerate SoC development at several different steps in the design cycle. For example, we offer design exploration and modeling capability, and we have automated test bench generation to accelerate the verification of our interconnect IP products. Our System IP product lines are structured so that our customers can customize the interconnect for their needs, helping accelerate interconnect IP customization for their particular SoC configurations. In addition to interconnect IP productivity features, we offer a combination of automated interconnect configuration software, pre-verified interfaces to IP block protocols, pre-verified interfaces to EDA tools and a pre-verified interconnect IP element library for rapid generation of customer-specific interconnect IP products. Our SoC Integration Automation software solutions also help accelerate SoC development by enabling the IP blocks making up an SoC to be packaged in a standard format called IP-XACT (Institute of Electrical and Electronics Engineers—IEEE 1685), which provides a uniform IP block assembly and reuse methodology. Our SoC Integration Automation software tool suite includes numerous packages that allow the configuration of IP block exit port registers, establish high-level SoC connectivity and link documentation to the IP-XACT design information.</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Our products help improve the performance and security of our customers’ SoCs.</w:t>
      </w:r>
      <w:r>
        <w:rPr>
          <w:color w:val="000000"/>
        </w:rPr>
        <w:t> </w:t>
      </w:r>
      <w:r>
        <w:rPr>
          <w:rFonts w:ascii="Arial;sans-serif" w:hAnsi="Arial;sans-serif"/>
          <w:b w:val="false"/>
          <w:color w:val="000000"/>
          <w:sz w:val="19"/>
        </w:rPr>
        <w:t>We believe that using our System IP products can result in improved SoC metrics such as higher performance, lower power consumption and smaller die area. We have extensive low-power management features such as three levels of clock gating and power domain features for low-power applications such as smartphone application processors and other SoCs for hand-held applications. We enable customers to partition their designs into “frequency domains”, allowing some domains to run at higher frequencies than others, in order to trade off performance against SoC power consumption.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enable lower customer research and development and SoC unit costs.</w:t>
      </w:r>
      <w:r>
        <w:rPr>
          <w:color w:val="000000"/>
        </w:rPr>
        <w:t> </w:t>
      </w:r>
      <w:r>
        <w:rPr>
          <w:rFonts w:ascii="Arial;sans-serif" w:hAnsi="Arial;sans-serif"/>
          <w:b w:val="false"/>
          <w:color w:val="000000"/>
          <w:sz w:val="19"/>
        </w:rPr>
        <w:t>We believe that we enable lower chip research and development costs, lower SoC unit costs and reduce project risk as compared to solutions developed internally or licensed from another vendor. We have targeted our interconnect IP to be area-efficient so that we can offer silicon area savings, and resulting chip and chiplet cost savings, compared to other interconnect IP alternatives. We provide an integrated package of software, hardware, documentation, verification tools and pre-verified interfaces to major IP blocks and EDA tools. We believe our IP and software can save our customers time and money and enable them to focus on product differentiation and revenue generation.</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believe we have grown our product portfolio through robust and focused research and development.</w:t>
      </w:r>
      <w:r>
        <w:rPr>
          <w:color w:val="000000"/>
        </w:rPr>
        <w:t> </w:t>
      </w:r>
      <w:r>
        <w:rPr>
          <w:rFonts w:ascii="Arial;sans-serif" w:hAnsi="Arial;sans-serif"/>
          <w:b w:val="false"/>
          <w:color w:val="000000"/>
          <w:sz w:val="19"/>
        </w:rPr>
        <w:t>Developing commercial interconnect IP and software tooling requires large and specialized engineering teams, significant amounts of time and extensive periods of commercial productization. We believe we have been the pioneer of using networking technology for on-chip communications and have been licensing such interconnect IP products since 2006. Our strategy is to deliver continuous innovation across both Interconnect IP and SoC Integration Automation software, with at least one major new product or major technology addition each year, and we have done so since 2013. As of December 31, 2025, we have 170 development engineers on staff covering IP hardware, software, verification, testing and methodology development. Such a sizable, multi-disciplinary engineering team allows us to undertake System IP products of sizable scale and permits us to work on multiple product development projects at the same time.</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have grown our solutions through targeted acquisitions.</w:t>
      </w:r>
      <w:r>
        <w:rPr>
          <w:color w:val="000000"/>
        </w:rPr>
        <w:t> </w:t>
      </w:r>
      <w:r>
        <w:rPr>
          <w:rFonts w:ascii="Arial;sans-serif" w:hAnsi="Arial;sans-serif"/>
          <w:b w:val="false"/>
          <w:color w:val="000000"/>
          <w:sz w:val="19"/>
        </w:rPr>
        <w:t xml:space="preserve">We believe we have the ability to complement our product development with selective acquisitions to strengthen our System IP product portfolio. With our acquisition of Magillem in 2020, Semifore in 2022 </w:t>
      </w:r>
      <w:r>
        <w:rPr>
          <w:rFonts w:ascii="Arial;sans-serif" w:hAnsi="Arial;sans-serif"/>
          <w:b w:val="false"/>
          <w:color w:val="000000"/>
          <w:sz w:val="19"/>
          <w:shd w:fill="FFFFFF" w:val="clear"/>
        </w:rPr>
        <w:t xml:space="preserve">and Cycuity in 2026, </w:t>
      </w:r>
      <w:r>
        <w:rPr>
          <w:rFonts w:ascii="Arial;sans-serif" w:hAnsi="Arial;sans-serif"/>
          <w:b w:val="false"/>
          <w:color w:val="000000"/>
          <w:sz w:val="19"/>
        </w:rPr>
        <w:t>we added complementary technology that helps automate the process of integrating and assembling all of the customers’ IP blocks into chiplets, SoC, and its hardware-software integration to accelerate end product system development, as well as providing our customers hardware security verification solutions.</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are able to address mission critical application</w:t>
      </w:r>
      <w:r>
        <w:rPr>
          <w:rFonts w:ascii="Arial;sans-serif" w:hAnsi="Arial;sans-serif"/>
          <w:b/>
          <w:i/>
          <w:color w:val="000000"/>
          <w:sz w:val="19"/>
          <w:shd w:fill="FFFFFF" w:val="clear"/>
        </w:rPr>
        <w:t>s.</w:t>
      </w:r>
      <w:r>
        <w:rPr>
          <w:color w:val="000000"/>
          <w:shd w:fill="FFFFFF" w:val="clear"/>
        </w:rPr>
        <w:t> </w:t>
      </w:r>
      <w:r>
        <w:rPr>
          <w:rFonts w:ascii="Arial;sans-serif" w:hAnsi="Arial;sans-serif"/>
          <w:b w:val="false"/>
          <w:color w:val="000000"/>
          <w:sz w:val="19"/>
          <w:shd w:fill="FFFFFF" w:val="clear"/>
        </w:rPr>
        <w:t>We believe we ar</w:t>
      </w:r>
      <w:r>
        <w:rPr>
          <w:rFonts w:ascii="Arial;sans-serif" w:hAnsi="Arial;sans-serif"/>
          <w:b w:val="false"/>
          <w:color w:val="000000"/>
          <w:sz w:val="19"/>
        </w:rPr>
        <w:t>e positioned to take advantage of the rapid growth of semiconductor content in cars. We have been focused on the automotive market since inception. Additionally, we have established customer relationships with market leaders such as Mobileye, Renesas, Socionext, NXP, BMW, Bosch, and many others. As cars continue to grow in complexity and connectivity, we believe there will be significant growth in the number of chiplets and increasingly complex SoCs that will need automotive grade on-chip interconnect IP. Our interconnect IP is designed to meet the automotive safety integrity level D (ASIL D) of the ISO 26262 automotive functional safety standard, which is the highest level, helping to position us as an ideal partner to innovative companies in the advanced automotive SoC market. We believe our solutions make it easier for our automotive semiconductor Tier 1 and OEM customers to collaborate and meet functional safety standards by establishing traceability between requirements, specifications, hardware and software implementation, verification and testing, and quality assurance. Because of this, our SoC Integration Automation software solutions are a complement to our interconnect IP in helping our customers meet their ISO 26262 functional safety requirements. Recently, our System IP and its resilience features have also seen increasing adoption for space exploration related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i/>
          <w:color w:val="000000"/>
          <w:sz w:val="19"/>
        </w:rPr>
        <w:t>With the acquisition of Cycuity, we are looking to help our customers reduce cybersecurity risks in microelectronics.</w:t>
      </w:r>
      <w:r>
        <w:rPr>
          <w:color w:val="000000"/>
        </w:rPr>
        <w:t xml:space="preserve"> </w:t>
      </w:r>
      <w:r>
        <w:rPr>
          <w:rFonts w:ascii="Arial;sans-serif" w:hAnsi="Arial;sans-serif"/>
          <w:b w:val="false"/>
          <w:color w:val="000000"/>
          <w:sz w:val="19"/>
        </w:rPr>
        <w:t xml:space="preserve">With the acquisition of Cycuity, a leading provider and domain expert of semiconductor security verification technology, we are now working to help semiconductor and system companies developing chips and chiplets to mitigate hardware chip-level security risks. Semiconductor security vulnerabilities can result in compromised systems exposing critical information. Reported new Common Vulnerabilities and Exposures in hardware grew by over 15 times between 2020 and 2025, according to the data from US Department of Commerce’s National Institute of Standards and Technology. Additionally, the number of sophisticated cyberattacks continues to increase, targeting the vast amounts of unsecured data moving through semiconductors, from AI data centers, networks to a wide range of edge devices across the interconnect digital ecosystem. Moreover, the </w:t>
      </w:r>
      <w:r>
        <w:rPr>
          <w:rFonts w:ascii="Arial;sans-serif" w:hAnsi="Arial;sans-serif"/>
          <w:b w:val="false"/>
          <w:color w:val="000000"/>
          <w:sz w:val="19"/>
          <w:shd w:fill="FFFFFF" w:val="clear"/>
        </w:rPr>
        <w:t>number of cybersecurity standards, regulations, policies and guidelines that our customers must adhere to for their IP, chiplet and chip designs is growing.</w:t>
      </w:r>
      <w:r>
        <w:rPr>
          <w:color w:val="000000"/>
        </w:rPr>
        <w:t xml:space="preserve"> </w:t>
      </w:r>
      <w:r>
        <w:rPr>
          <w:rFonts w:ascii="Arial;sans-serif" w:hAnsi="Arial;sans-serif"/>
          <w:b w:val="false"/>
          <w:color w:val="000000"/>
          <w:sz w:val="19"/>
        </w:rPr>
        <w:t>Consequently, the establishment of robust hardware security assurance processes are paramount to safeguard not only the interests of manufacturers but also the privacy and security of end-users. In this dynamic landscape, semiconductor manufacturing security standards and compliance requirements are an integral aspect of chip design, development, and market viability and we believe our new security offering can provide meaningful solutions.</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have developed a “Connected by Arteris” ecosystem to provide a broad set of System IP products.</w:t>
      </w:r>
      <w:r>
        <w:rPr>
          <w:color w:val="000000"/>
        </w:rPr>
        <w:t> </w:t>
      </w:r>
      <w:r>
        <w:rPr>
          <w:rFonts w:ascii="Arial;sans-serif" w:hAnsi="Arial;sans-serif"/>
          <w:b w:val="false"/>
          <w:color w:val="000000"/>
          <w:sz w:val="19"/>
        </w:rPr>
        <w:t>Interconnect IP is the data movement backbone of the SoC, connecting IP blocks such as CPUs, GPUs and memory controllers. We work with suppliers who provide these blocks, including IP companies such as Arm, SiFive, MIPS, Synopsys, Cadence Design Systems, Semidynamics, Andes, Codasip and other RISC-V IP vendors to support their products and protocols working with our SoC Integration Automation software and interconnect IP products. By offering an unbiased, standards-based interconnect infrastructure to which other IP vendors can connect, and supporting a broad range of transaction protocols, we believe we have simplified the industry’s development of heterogeneous SoCs while solidifying our role as a neutral, technology-agnostic provider across the semiconductor industry. In addition to on-chip integrations with partners, we work with EDA companies such as Synopsys, Cadence and Siemens to provide prepackaged interfaces to their EDA tools such as simulators, modeling systems, and logic and physical synthesis tools. By working closely with semiconductor IP and EDA leaders, some of whom compete with each other, we believe we have established credibility as a trusted enabler for the integration of their products within our joint customers’ chips and design flows.</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believe we benefit from distinct competitive advantages.</w:t>
      </w:r>
      <w:r>
        <w:rPr>
          <w:color w:val="000000"/>
        </w:rPr>
        <w:t> </w:t>
      </w:r>
      <w:r>
        <w:rPr>
          <w:rFonts w:ascii="Arial;sans-serif" w:hAnsi="Arial;sans-serif"/>
          <w:b w:val="false"/>
          <w:color w:val="000000"/>
          <w:sz w:val="19"/>
        </w:rPr>
        <w:t>We believe our interconnect IP technology benefits from barriers to entry due to our many years of experience and the strength of our proprietary solutions, as well as the significant technical expertise and research costs required to develop a competitive product. We were founded in 2003 when we believe we helped pioneer the industry’s NoC interconnect IP and have maintained our competitive position with our global team of 170</w:t>
      </w:r>
      <w:r>
        <w:rPr>
          <w:color w:val="000000"/>
          <w:shd w:fill="FFFFFF" w:val="clear"/>
        </w:rPr>
        <w:t xml:space="preserve"> </w:t>
      </w:r>
      <w:r>
        <w:rPr>
          <w:rFonts w:ascii="Arial;sans-serif" w:hAnsi="Arial;sans-serif"/>
          <w:b w:val="false"/>
          <w:color w:val="000000"/>
          <w:sz w:val="19"/>
          <w:shd w:fill="FFFFFF" w:val="clear"/>
        </w:rPr>
        <w:t>hardware and software engineers as of December 31, 2025. Developing interconnect IP requires an interdisciplinary</w:t>
      </w:r>
      <w:r>
        <w:rPr>
          <w:color w:val="000000"/>
        </w:rPr>
        <w:t xml:space="preserve"> </w:t>
      </w:r>
      <w:r>
        <w:rPr>
          <w:rFonts w:ascii="Arial;sans-serif" w:hAnsi="Arial;sans-serif"/>
          <w:b w:val="false"/>
          <w:color w:val="000000"/>
          <w:sz w:val="19"/>
        </w:rPr>
        <w:t>engineering team with expertise and skill sets across a wide range of sciences and domains as well as a deep understanding of semiconductor physical design, design methodologies, and networking architectures. Building such teams and keeping them together over long periods of time presents a challenge for many companies. Additionally, strategic patience and focus are required to participate in the market. For example, we believe that the customer acquisition process has a typical duration of two to nine months; following this, a customer’s chip design cycle is typically between one to three years. Customers typically start shipping their products containing our interconnect IP solutions between one to five years following completion of their product design, known as mass production at which point we start to receive royalties; this lasts for up to seven years or longer depending on the particular market. We also leverage our long history of interconnect IP design to deliver customer-specific features, further deepening our relationship and integration with the customer’s product. With our System IP products embedded in our customers’ SoCs, there are significant switching costs in moving to alternative solutions. We believe that our product quality and technical strength have enabled our high customer retention rate.</w:t>
      </w:r>
    </w:p>
    <w:p>
      <w:pPr>
        <w:pStyle w:val="TextBody"/>
        <w:bidi w:val="0"/>
        <w:spacing w:lineRule="auto" w:line="288" w:before="60" w:after="283"/>
        <w:ind w:left="0" w:right="0" w:hanging="360"/>
        <w:jc w:val="both"/>
        <w:rPr/>
      </w:pPr>
      <w:r>
        <w:rPr>
          <w:color w:val="000000"/>
        </w:rPr>
        <w:t>■</w:t>
      </w:r>
      <w:r>
        <w:rPr>
          <w:rFonts w:ascii="Arial;sans-serif" w:hAnsi="Arial;sans-serif"/>
          <w:b/>
          <w:i/>
          <w:color w:val="000000"/>
          <w:sz w:val="19"/>
        </w:rPr>
        <w:t>We offer global support for our System IP customers.</w:t>
      </w:r>
      <w:r>
        <w:rPr>
          <w:color w:val="000000"/>
        </w:rPr>
        <w:t> </w:t>
      </w:r>
      <w:r>
        <w:rPr>
          <w:rFonts w:ascii="Arial;sans-serif" w:hAnsi="Arial;sans-serif"/>
          <w:b w:val="false"/>
          <w:color w:val="000000"/>
          <w:sz w:val="19"/>
        </w:rPr>
        <w:t>Interconnect IP technology is complex, and our customer support is critical for the successful deployment of our IP in our customers’ designs. We support customers utilizing our interconnect IP solutions on a global basis with architectural reviews, training, implementation support, and tape-out support. We work directly with our customers throughout their design processes to develop long-term sustainable relationships as our technology becomes embedded in their products. Many of our application engineers have advanced degrees, years of SoC design experience and passion for helping our customers drive their SoC designs to production status. We believe our application engineers are critical advisors to our customers’ design teams and offer competitive value to our customer’s silicon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Our Growth Strategy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that as SoCs become more numerous and complex, the value of System IP technology increases since it enables the efficient movement of data within the ever-growing number of SoCs. We also believe that, as SoCs become more complex, interconnect IP technology becomes more time-consuming and riskier to develop internally within semiconductor and system companies, favoring System IP products provided by outside parties such as Arteris. As a dedicated interconnect IP provider, we enable our customers to leverage the knowledge and deep expertise developed by us through many years of focus on solutions for a variety of customers.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Our growth strategy includes the following:</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Leverage our System IP technology leadership and focused research and development to provide solutions for the semiconductor industry that designs and builds complex SoCs.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9"/>
        </w:rPr>
        <w:t xml:space="preserve">Address high-growth markets, including </w:t>
      </w:r>
      <w:r>
        <w:rPr>
          <w:rFonts w:ascii="Arial;sans-serif" w:hAnsi="Arial;sans-serif"/>
          <w:b w:val="false"/>
          <w:color w:val="000000"/>
          <w:sz w:val="19"/>
          <w:shd w:fill="FFFFFF" w:val="clear"/>
        </w:rPr>
        <w:t>aerospace and defense, automotive, communications across wired and wireless, consumer electronics, enterprise computing, industrial and AI/ML markets</w:t>
      </w:r>
      <w:r>
        <w:rPr>
          <w:rFonts w:ascii="Arial;sans-serif" w:hAnsi="Arial;sans-serif"/>
          <w:b w:val="false"/>
          <w:color w:val="000000"/>
          <w:sz w:val="19"/>
        </w:rPr>
        <w:t xml:space="preserve">.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 xml:space="preserve">Expand our customer base through ongoing System IP innovation. </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color w:val="000000"/>
          <w:sz w:val="19"/>
        </w:rPr>
        <w:t>Expand our customer base through increased investment in sales and marketing.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 xml:space="preserve">Continue to pursue selective acquisitions and other strategic transactions, such as joint ventures, to acquire complementary solutions and accelerate growth. </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NoC Interface IP Growth Opportunity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NoC IP carries the majority of the data in an SoC. As a result, there is an opportunity to add additional customer value by developing additional data plane and control plane capabilities that attach directly to our interconnect IPs and are implemented in SoCs by our IP software. Currently, we offer NoC interface IP products such as a memory scheduler, last-level cache, SoC data observability and SoC debug IPs. We see an opportunity to further expand our product portfolio and market with additional control networks and subsystems that can accelerate our customers’ ability to deliver production SoCs to their end markets. Such networks may include clocking, register management and interrupt networks. Control subsystems such as power management, security, performance monitoring and debug may provide additional value to customers looking to lower the cost and risk of SoC development. With the integration of interconnect IP and NoC interface IPs, we believe we would be able to provide end-to-end solutions for quality of service, system level security and SoC resilience. NoC interface IP represents a natural expansion of our technical and business capabilities.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Our Solutions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provide semiconductor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to serve our target end-markets, including automotive, communications across wired and wireless, consumer electronics, enterprise computing, and industrial markets including robotics. We regularly release new products to address the rapid evolution of SoC technology. In 2025 we announced the release of an innovative new non-coherent NoC IP product FlexGen, which is a next-generation product that builds upon the silicon-proven and physically aware FlexNoC expertise to automate the creation of high-performance network-on-chip designs. Our two core product platforms are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9"/>
        </w:rPr>
        <w:t>a.</w:t>
      </w:r>
      <w:r>
        <w:rPr>
          <w:rFonts w:ascii="Arial;sans-serif" w:hAnsi="Arial;sans-serif"/>
          <w:b/>
          <w:color w:val="000000"/>
          <w:sz w:val="19"/>
        </w:rPr>
        <w:t>Network</w:t>
      </w:r>
      <w:r>
        <w:rPr>
          <w:rFonts w:ascii="Arial;sans-serif" w:hAnsi="Arial;sans-serif"/>
          <w:b/>
          <w:color w:val="000000"/>
          <w:sz w:val="19"/>
          <w:shd w:fill="FFFFFF" w:val="clear"/>
        </w:rPr>
        <w:t>-on-Chip IP Products</w:t>
      </w:r>
    </w:p>
    <w:p>
      <w:pPr>
        <w:pStyle w:val="TextBody"/>
        <w:bidi w:val="0"/>
        <w:spacing w:lineRule="auto" w:line="288" w:before="0" w:after="0"/>
        <w:ind w:left="0" w:right="0" w:hanging="36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i.Non-coherent NoC IP, with FlexGen, FlexNoC and FlexWay </w:t>
      </w:r>
    </w:p>
    <w:p>
      <w:pPr>
        <w:pStyle w:val="TextBody"/>
        <w:bidi w:val="0"/>
        <w:spacing w:lineRule="auto" w:line="288" w:before="0" w:after="0"/>
        <w:ind w:left="0" w:right="0" w:hanging="36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ii.Cache-coherent NoC IP, with Ncore </w:t>
      </w:r>
    </w:p>
    <w:p>
      <w:pPr>
        <w:pStyle w:val="TextBody"/>
        <w:bidi w:val="0"/>
        <w:spacing w:lineRule="auto" w:line="288" w:before="0" w:after="0"/>
        <w:ind w:left="0" w:right="0" w:hanging="36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iii.NoC interface IP, with CodaCache </w:t>
      </w:r>
    </w:p>
    <w:p>
      <w:pPr>
        <w:pStyle w:val="TextBody"/>
        <w:bidi w:val="0"/>
        <w:spacing w:lineRule="auto" w:line="288" w:before="120" w:after="283"/>
        <w:ind w:left="0" w:right="0" w:hanging="360"/>
        <w:jc w:val="both"/>
        <w:rPr/>
      </w:pPr>
      <w:r>
        <w:rPr>
          <w:rFonts w:ascii="Arial;sans-serif" w:hAnsi="Arial;sans-serif"/>
          <w:b w:val="false"/>
          <w:color w:val="000000"/>
          <w:sz w:val="19"/>
          <w:shd w:fill="FFFFFF" w:val="clear"/>
        </w:rPr>
        <w:t>b.</w:t>
      </w:r>
      <w:r>
        <w:rPr>
          <w:rFonts w:ascii="Arial;sans-serif" w:hAnsi="Arial;sans-serif"/>
          <w:b/>
          <w:color w:val="000000"/>
          <w:sz w:val="19"/>
        </w:rPr>
        <w:t>SoC Integration Automation Software Solutions Products</w:t>
      </w:r>
    </w:p>
    <w:p>
      <w:pPr>
        <w:pStyle w:val="TextBody"/>
        <w:bidi w:val="0"/>
        <w:spacing w:lineRule="auto" w:line="288" w:before="0" w:after="0"/>
        <w:ind w:left="0" w:right="0" w:hanging="36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i.Hardware and software integration automation software, with Magillem Registers and CSRCompiler</w:t>
      </w:r>
    </w:p>
    <w:p>
      <w:pPr>
        <w:pStyle w:val="TextBody"/>
        <w:bidi w:val="0"/>
        <w:spacing w:lineRule="auto" w:line="288" w:before="0" w:after="0"/>
        <w:ind w:left="0" w:right="0" w:hanging="36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ii.SoC assembly software, with Magillem Connectivity</w:t>
      </w:r>
    </w:p>
    <w:p>
      <w:pPr>
        <w:pStyle w:val="TextBody"/>
        <w:bidi w:val="0"/>
        <w:spacing w:lineRule="auto" w:line="288" w:before="120" w:after="283"/>
        <w:ind w:left="0" w:right="0" w:hanging="360"/>
        <w:jc w:val="both"/>
        <w:rPr/>
      </w:pPr>
      <w:r>
        <w:rPr>
          <w:rFonts w:ascii="Arial;sans-serif" w:hAnsi="Arial;sans-serif"/>
          <w:b w:val="false"/>
          <w:color w:val="000000"/>
          <w:sz w:val="19"/>
          <w:shd w:fill="FFFFFF" w:val="clear"/>
        </w:rPr>
        <w:t>c.</w:t>
      </w:r>
      <w:r>
        <w:rPr>
          <w:rFonts w:ascii="Arial;sans-serif" w:hAnsi="Arial;sans-serif"/>
          <w:b/>
          <w:color w:val="000000"/>
          <w:sz w:val="19"/>
          <w:shd w:fill="FFFFFF" w:val="clear"/>
        </w:rPr>
        <w:t>Hardware Security Verification Software Products</w:t>
      </w:r>
    </w:p>
    <w:p>
      <w:pPr>
        <w:pStyle w:val="TextBody"/>
        <w:bidi w:val="0"/>
        <w:spacing w:lineRule="auto" w:line="288" w:before="0" w:after="0"/>
        <w:ind w:left="0" w:right="0" w:hanging="36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i.Hardware security verification simulation for IP, sub-system, and SoCs, with Cycuity Radix-S</w:t>
      </w:r>
    </w:p>
    <w:p>
      <w:pPr>
        <w:pStyle w:val="TextBody"/>
        <w:bidi w:val="0"/>
        <w:spacing w:lineRule="auto" w:line="288" w:before="0" w:after="0"/>
        <w:ind w:left="0" w:right="0" w:hanging="36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ii.Hardware security verification emulation for system-level SoC and firmware, with Cycuity Radix-M</w:t>
      </w:r>
    </w:p>
    <w:p>
      <w:pPr>
        <w:pStyle w:val="TextBody"/>
        <w:bidi w:val="0"/>
        <w:spacing w:lineRule="auto" w:line="288" w:before="0" w:after="0"/>
        <w:ind w:left="0" w:right="0" w:hanging="36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iii.Static security analyzer, with Cycuity Radix-ST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to historical annual introductions of new System IP products, we regularly develop and deliver updates that provide product enhancements to our customers. We believe the combination of our solutions and the strategic neutrality that we offer to the semiconductor industry positions us well as a reliable, trusted and innovative System IP solution for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68" w:before="180" w:after="283"/>
        <w:jc w:val="left"/>
        <w:rPr/>
      </w:pPr>
      <w:r>
        <w:rPr>
          <w:rFonts w:ascii="Arial;sans-serif" w:hAnsi="Arial;sans-serif"/>
          <w:b/>
          <w:i/>
          <w:color w:val="000000"/>
          <w:sz w:val="19"/>
          <w:shd w:fill="FFFFFF" w:val="clear"/>
        </w:rPr>
        <w:t>Network-on-Chip IP Products</w:t>
      </w:r>
      <w:r>
        <w:rPr>
          <w:color w:val="000000"/>
          <w:shd w:fill="FFFFFF" w:val="clear"/>
        </w:rPr>
        <w:t>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believe we offer the semiconductor industry an industry-leading commercially available interconnect IP portfolio.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commercially available NoC interconnect IP products are shipping in billions of devices worldwide across chiplets, multi-die SoCs, ASICs, MCUs and FPGA silicon designs. Innovative use of proprietary networking techniques for on-chip communications has enabled our industry-proven solutions to deliver higher chiplet and SoC performance with shorter design schedules, lower research and development costs, lower single-die and multi-die SoC unit costs, and reduced project risk when compared to customer-developed internal solutions. Select offerings of our semiconductor IP product portfolio include:</w:t>
      </w:r>
    </w:p>
    <w:p>
      <w:pPr>
        <w:pStyle w:val="TextBody"/>
        <w:bidi w:val="0"/>
        <w:spacing w:lineRule="auto" w:line="288" w:before="60" w:after="283"/>
        <w:ind w:left="0" w:right="0" w:hanging="360"/>
        <w:jc w:val="both"/>
        <w:rPr/>
      </w:pPr>
      <w:r>
        <w:rPr>
          <w:color w:val="000000"/>
          <w:shd w:fill="FFFFFF" w:val="clear"/>
        </w:rPr>
        <w:t>■</w:t>
      </w:r>
      <w:r>
        <w:rPr>
          <w:rFonts w:ascii="Arial;sans-serif" w:hAnsi="Arial;sans-serif"/>
          <w:b w:val="false"/>
          <w:i/>
          <w:color w:val="000000"/>
          <w:sz w:val="19"/>
        </w:rPr>
        <w:t xml:space="preserve">FlexGen, FlexNoC and FlexWay: </w:t>
      </w:r>
      <w:r>
        <w:rPr>
          <w:rFonts w:ascii="Arial;sans-serif" w:hAnsi="Arial;sans-serif"/>
          <w:b w:val="false"/>
          <w:color w:val="000000"/>
          <w:sz w:val="19"/>
        </w:rPr>
        <w:t>Silicon-proven, interconnect IP products that have been integrated into hundreds of chip designs. The underlying NoC technology converts on-chip communication signals between IP blocks, such as reads from and writes to memory, into digital packets. Packetizing on-chip communications allows the interconnect to be configured for enhanced performance and simplifies the connections of on-chip IP blocks, similar to how the internet eases the simultaneous connectivity of large numbers of computing devices. FlexWay is targeted at simpler SoC while FlexNoC targets the mainstream application. We also provide optional add-on packages for FlexNoC and FlexWay, such as the resilience package, which provide on-chip data protection that enables customers to meet the ISO 26262 and IEC functional safety standards for markets like automotive, and a large design performance package that addresses highly scalable peer-to-peer on-chip communications required by large SoCs such as those which include machine learning neural networks. FlexNoC and FlexWay started shipping in 2011 and w</w:t>
      </w:r>
      <w:r>
        <w:rPr>
          <w:rFonts w:ascii="Arial;sans-serif" w:hAnsi="Arial;sans-serif"/>
          <w:b w:val="false"/>
          <w:color w:val="000000"/>
          <w:sz w:val="19"/>
          <w:shd w:fill="FFFFFF" w:val="clear"/>
        </w:rPr>
        <w:t xml:space="preserve">e estimate that our solutions have been incorporated into over four billion production SoCs since inception. Our most recently announced product, </w:t>
      </w:r>
      <w:r>
        <w:rPr>
          <w:rFonts w:ascii="Arial;sans-serif" w:hAnsi="Arial;sans-serif"/>
          <w:b w:val="false"/>
          <w:color w:val="000000"/>
          <w:sz w:val="19"/>
        </w:rPr>
        <w:t>FlexGen smart NoC IP, builds upon the silicon-proven and physically aware FlexNoC IP to automate the creation of high-performance NoC designs. Supported by AI-driven automation, FlexGen reduces manual iteration providing expert-level NoC topologies, while reducing wire-length and power which are critical to advance node designs and becoming increasingly valued. We believe these advancements are critical to meet the increasing computing demands of advanced technologies like AI, autonomous driving and cloud computing.</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19"/>
        </w:rPr>
        <w:t>Ncore:</w:t>
      </w:r>
      <w:r>
        <w:rPr>
          <w:color w:val="000000"/>
        </w:rPr>
        <w:t xml:space="preserve"> </w:t>
      </w:r>
      <w:r>
        <w:rPr>
          <w:rFonts w:ascii="Arial;sans-serif" w:hAnsi="Arial;sans-serif"/>
          <w:b w:val="false"/>
          <w:color w:val="000000"/>
          <w:sz w:val="19"/>
        </w:rPr>
        <w:t xml:space="preserve">Silicon-proven, cache coherent interconnect IP product that provides scalable, configurable, and area-efficient features for use across multiple end markets. In an SoC, cache coherency is a special data traffic class that requires a corresponding coherent interconnect IP to manage it. In a multiprocessor system using shared memory, each processor has a local cache memory for efficiency, however, it is possible to end up with many copies of shared data in the system. One copy of the data may be in the main memory, whilst other copies may exist in one or more of the processor cache memories. When one of the copies of data is changed, the rest must also reflect that change. Ncore assists the timely propagation of data changes across the SoC in order to maintain cache coherency. Ncore is also more scalable and area-efficient than mesh-based interconnects and is optimized for heterogeneous cache coherent systems and offers multiple configurable snoop filters, multiple configurable proxy caches, and a modular, distributed architecture to provide system architects with the most advanced technology and more degrees of freedom to innovate. Since the initial shipment in 2016, we have launched multiple releases of Ncore which have been designed into various production SoCs for </w:t>
      </w:r>
      <w:r>
        <w:rPr>
          <w:rFonts w:ascii="Arial;sans-serif" w:hAnsi="Arial;sans-serif"/>
          <w:b w:val="false"/>
          <w:color w:val="000000"/>
          <w:sz w:val="19"/>
          <w:shd w:fill="FFFFFF" w:val="clear"/>
        </w:rPr>
        <w:t xml:space="preserve">aerospace and defense, </w:t>
      </w:r>
      <w:r>
        <w:rPr>
          <w:rFonts w:ascii="Arial;sans-serif" w:hAnsi="Arial;sans-serif"/>
          <w:b w:val="false"/>
          <w:color w:val="000000"/>
          <w:sz w:val="19"/>
        </w:rPr>
        <w:t>automotive, consumer electronics, enterprise computing and industrial markets. In 2022 we also entered into an Arm automotive agreement, with Arm as the processor IP provider and Arteris as interconnect IP provider for automotive microcontrollers (MCU) and SoCs to service growing customer needs. In 2023 Ncore achieved ISO 26262 certification up to ASIL-D, the most stringent level of functional automotive safety. In 2025 we announced expansion of our multi-die solution, delivering foundational technology for rapid chiplet-based innovation.</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19"/>
        </w:rPr>
        <w:t>CodaCache:</w:t>
      </w:r>
      <w:r>
        <w:rPr>
          <w:color w:val="000000"/>
        </w:rPr>
        <w:t xml:space="preserve"> </w:t>
      </w:r>
      <w:r>
        <w:rPr>
          <w:rFonts w:ascii="Arial;sans-serif" w:hAnsi="Arial;sans-serif"/>
          <w:b w:val="false"/>
          <w:color w:val="000000"/>
          <w:sz w:val="19"/>
        </w:rPr>
        <w:t>CodaCache is a silicon-proven, last-level cache (or local memory) semiconductor IP product, used anywhere in the network-on-chip, for minimization of SoC data latency or improvement of performance. Frequent DRAM accesses waste clock cycles and causes performance to drop. CodaCache keeps data closer to the access point and lowers costs in certain SoC architectures. Design teams and architects can easily configure CodaCache based on area, timing, and other requirements. CodaCache provides the most flexibility of any commercial on-chip last-level cache IP, from setting associativity up to 16 ways, to configuring cache sizes and multiple target 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 xml:space="preserve">SoC Integration Automation Software Solutions </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provide a suite of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that enables the packaging, reuse and integration of most types of IP blocks using the IP-XACT (IEEE 1685) standard. </w:t>
      </w:r>
      <w:r>
        <w:rPr>
          <w:rFonts w:ascii="Arial;sans-serif" w:hAnsi="Arial;sans-serif"/>
          <w:b w:val="false"/>
          <w:color w:val="000000"/>
          <w:sz w:val="19"/>
        </w:rPr>
        <w:t>This SoC Integration Automation software suite of products from Magillem and Semifore acquisition</w:t>
      </w:r>
      <w:r>
        <w:rPr>
          <w:rFonts w:ascii="Arial;sans-serif" w:hAnsi="Arial;sans-serif"/>
          <w:b w:val="false"/>
          <w:color w:val="000000"/>
          <w:sz w:val="19"/>
          <w:shd w:fill="FFFFFF" w:val="clear"/>
        </w:rPr>
        <w:t xml:space="preserve">s provides a design environment to any semiconductor and system company from the architecture of the SoC through the delivery of a fully documented and traceable chip design. This software suite manages the assembly of multiple IP blocks into SoC devices, registers configurations of IP blocks, and links design parameters and metadata to documentation. Our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are designed to shorten our customers’ design schedules and improve SoC engineers’ productivity across architects, logic designers, software/firmware developers, verification teams, and documentation teams. Arteris products</w:t>
      </w:r>
      <w:r>
        <w:rPr>
          <w:color w:val="000000"/>
        </w:rPr>
        <w:t xml:space="preserve"> </w:t>
      </w:r>
      <w:r>
        <w:rPr>
          <w:rFonts w:ascii="Arial;sans-serif" w:hAnsi="Arial;sans-serif"/>
          <w:b w:val="false"/>
          <w:color w:val="000000"/>
          <w:sz w:val="19"/>
        </w:rPr>
        <w:t>provide a broad suite of software front-end design capabilities that can accelerate SoC development by providing highly configurable and scalable solutions. Our solutions address packaging, connectivity, register configuration, embedded software, and design software flows and we believe we provide best-in-class front-end design environments based on worldwide IEEE 1685 IP-XACT extensible markup language (XML) standard and SystemRDL language through our ready-made design solutions.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believe the combination of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and SoC interconnect hardware provides our customers with more comprehensive SoC integration capabilities. Our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technology suite across Magillem and </w:t>
      </w:r>
      <w:r>
        <w:rPr>
          <w:rFonts w:ascii="Arial;sans-serif" w:hAnsi="Arial;sans-serif"/>
          <w:b w:val="false"/>
          <w:color w:val="000000"/>
          <w:sz w:val="19"/>
        </w:rPr>
        <w:t>CSRCompiler</w:t>
      </w:r>
      <w:r>
        <w:rPr>
          <w:color w:val="000000"/>
          <w:shd w:fill="FFFFFF" w:val="clear"/>
        </w:rPr>
        <w:t xml:space="preserve"> </w:t>
      </w:r>
      <w:r>
        <w:rPr>
          <w:rFonts w:ascii="Arial;sans-serif" w:hAnsi="Arial;sans-serif"/>
          <w:b w:val="false"/>
          <w:color w:val="000000"/>
          <w:sz w:val="19"/>
          <w:shd w:fill="FFFFFF" w:val="clear"/>
        </w:rPr>
        <w:t>products cover the following key capabilities for SoC integration automation and overall SoC development acceleration:</w:t>
      </w:r>
    </w:p>
    <w:p>
      <w:pPr>
        <w:pStyle w:val="TextBody"/>
        <w:bidi w:val="0"/>
        <w:spacing w:lineRule="auto" w:line="288" w:before="180" w:after="283"/>
        <w:ind w:left="0" w:right="0" w:hanging="360"/>
        <w:jc w:val="both"/>
        <w:rPr/>
      </w:pPr>
      <w:r>
        <w:rPr>
          <w:color w:val="000000"/>
        </w:rPr>
        <w:t>■</w:t>
      </w:r>
      <w:r>
        <w:rPr>
          <w:rFonts w:ascii="Arial;sans-serif" w:hAnsi="Arial;sans-serif"/>
          <w:b w:val="false"/>
          <w:i/>
          <w:color w:val="000000"/>
          <w:sz w:val="19"/>
        </w:rPr>
        <w:t>Magillem Connectivity:</w:t>
      </w:r>
      <w:r>
        <w:rPr>
          <w:color w:val="000000"/>
        </w:rPr>
        <w:t xml:space="preserve"> </w:t>
      </w:r>
      <w:r>
        <w:rPr>
          <w:rFonts w:ascii="Arial;sans-serif" w:hAnsi="Arial;sans-serif"/>
          <w:b w:val="false"/>
          <w:color w:val="000000"/>
          <w:sz w:val="19"/>
        </w:rPr>
        <w:t>The Magillem connectivity product shortens and streamlines the system-on-chip (SoC) integration process. Magillem Connectivity allows users to build very complex, correct-by-construction SoC designs. IPs are packaged by the tool using the widely supported IP-XACT standard and can be configured and instantiated to create an SoC design in a single environment whilst ensuring design-data consistency. Magillem Connectivity uses built-in checkers to help automate time-consuming tasks, resulting in efficient and safe design updates or even restructuring of large sections of the design.</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19"/>
        </w:rPr>
        <w:t xml:space="preserve">Magillem Registers </w:t>
      </w:r>
      <w:r>
        <w:rPr>
          <w:rFonts w:ascii="Arial;sans-serif" w:hAnsi="Arial;sans-serif"/>
          <w:b w:val="false"/>
          <w:color w:val="000000"/>
          <w:sz w:val="19"/>
        </w:rPr>
        <w:t>and</w:t>
      </w:r>
      <w:r>
        <w:rPr>
          <w:color w:val="000000"/>
        </w:rPr>
        <w:t xml:space="preserve"> </w:t>
      </w:r>
      <w:r>
        <w:rPr>
          <w:rFonts w:ascii="Arial;sans-serif" w:hAnsi="Arial;sans-serif"/>
          <w:b w:val="false"/>
          <w:i/>
          <w:color w:val="000000"/>
          <w:sz w:val="19"/>
        </w:rPr>
        <w:t>CSRCompiler:</w:t>
      </w:r>
      <w:r>
        <w:rPr>
          <w:color w:val="000000"/>
        </w:rPr>
        <w:t xml:space="preserve"> </w:t>
      </w:r>
      <w:r>
        <w:rPr>
          <w:rFonts w:ascii="Arial;sans-serif" w:hAnsi="Arial;sans-serif"/>
          <w:b w:val="false"/>
          <w:color w:val="000000"/>
          <w:sz w:val="19"/>
        </w:rPr>
        <w:t>The combination of Magillem and CSRCompiler products addresses hardware-software integration challenges for SoCs, where complex software algorithms control a growing array of specialized processors and hardware accelerators to deliver a robust semiconductor. The hardware/software interface (HSI) provides the technology for software to control this SoC hardware and it forms the foundation of the entire SoC design project. The Magillem Register product and CSRCompiler products automate the creation of this SoC foundation.</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As mentioned above, critical tools in our SoC Integration Automation software product portfolio have been “Tool Confidence Level” (TCL) - certified by the TUV Sud to confirm that they are safe to use in mission-critical markets like automotive, aerospace and defense, and industrial.</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Hardware Security Verification Software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a suite of hardware security verification software solutions that bring a systematic approach to hardware security verification by helping customers explore and visualize how information flows through IP, sub-systems, and systems to identify security weaknesses, define measurable security requirements, and assess their effectiveness. This can help customers to discover potential security vulnerabilities in semiconductors during the design phase and to make sign-off decisions based on data and reports.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comprehensive products and solutions help customers deliver secure semiconductor products with:</w:t>
      </w:r>
    </w:p>
    <w:p>
      <w:pPr>
        <w:pStyle w:val="TextBody"/>
        <w:bidi w:val="0"/>
        <w:spacing w:lineRule="auto" w:line="288" w:before="180" w:after="283"/>
        <w:ind w:left="0" w:right="0" w:hanging="360"/>
        <w:jc w:val="both"/>
        <w:rPr/>
      </w:pPr>
      <w:r>
        <w:rPr>
          <w:color w:val="000000"/>
        </w:rPr>
        <w:t>■</w:t>
      </w:r>
      <w:r>
        <w:rPr>
          <w:rFonts w:ascii="Arial;sans-serif" w:hAnsi="Arial;sans-serif"/>
          <w:b w:val="false"/>
          <w:i/>
          <w:color w:val="000000"/>
          <w:sz w:val="19"/>
        </w:rPr>
        <w:t xml:space="preserve">Cycuity Radix-S: </w:t>
      </w:r>
      <w:r>
        <w:rPr>
          <w:rFonts w:ascii="Arial;sans-serif" w:hAnsi="Arial;sans-serif"/>
          <w:b w:val="false"/>
          <w:color w:val="000000"/>
          <w:sz w:val="19"/>
        </w:rPr>
        <w:t>Radix-S product is used during design creation and verification to detect and remediate security issues in IP blocks and subsystems of an SoC. The Radix-S information flow analysis features help customers identify the root cause of potentially serious security issues and systematically monitor and verify the effectiveness of their protection mechanisms.</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19"/>
        </w:rPr>
        <w:t>Cycuity Radix-M:</w:t>
      </w:r>
      <w:r>
        <w:rPr>
          <w:color w:val="000000"/>
        </w:rPr>
        <w:t xml:space="preserve"> </w:t>
      </w:r>
      <w:r>
        <w:rPr>
          <w:rFonts w:ascii="Arial;sans-serif" w:hAnsi="Arial;sans-serif"/>
          <w:b w:val="false"/>
          <w:color w:val="000000"/>
          <w:sz w:val="19"/>
        </w:rPr>
        <w:t>Radix-M product extends the security verification performed with Radix-S to SoC system-level. It enables security verification to be performed while executing production firmware and software on the hardware system resulting in comprehensive system level security verification.</w:t>
      </w:r>
    </w:p>
    <w:p>
      <w:pPr>
        <w:pStyle w:val="TextBody"/>
        <w:bidi w:val="0"/>
        <w:spacing w:lineRule="auto" w:line="288" w:before="60" w:after="283"/>
        <w:ind w:left="0" w:right="0" w:hanging="360"/>
        <w:jc w:val="both"/>
        <w:rPr/>
      </w:pPr>
      <w:r>
        <w:rPr>
          <w:color w:val="000000"/>
        </w:rPr>
        <w:t>■</w:t>
      </w:r>
      <w:r>
        <w:rPr>
          <w:rFonts w:ascii="Arial;sans-serif" w:hAnsi="Arial;sans-serif"/>
          <w:b w:val="false"/>
          <w:i/>
          <w:color w:val="000000"/>
          <w:sz w:val="19"/>
        </w:rPr>
        <w:t>Cycuity Radix-ST:</w:t>
      </w:r>
      <w:r>
        <w:rPr>
          <w:color w:val="000000"/>
        </w:rPr>
        <w:t xml:space="preserve"> </w:t>
      </w:r>
      <w:r>
        <w:rPr>
          <w:rFonts w:ascii="Arial;sans-serif" w:hAnsi="Arial;sans-serif"/>
          <w:b w:val="false"/>
          <w:color w:val="000000"/>
          <w:sz w:val="19"/>
        </w:rPr>
        <w:t>Radix-ST is a static security analyzer designed to identify potential design weaknesses early in the development lifecycle without requiring simulation or emulation. Radix-ST performs analysis of Register Transfer Level designs and helps to identify hardware security weaknesses that exist in the design.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Customers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license our products to a global and diverse customer base, including semiconductor manufacturers, OEMs, hyperscale system houses, semiconductor design houses and other producers of electronic systems. We work directly with our customers throughout their design processes and seek to develop long-term, sustainable relationships with them as our technology becomes embedded in their products. As a result, we believe we are well positioned to continue to attract and retain customers, and to continue developing next-generation System IP products for their future products.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In 2025, we had one customer that represented more than 10% of our revenue. </w:t>
      </w:r>
    </w:p>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During the fiscal year 2025, our revenue by geographic area based on customer location was as follows:</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9"/>
        </w:rPr>
        <w:t>41.5% of our revenue was derived from customers based in the Americas;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9"/>
        </w:rPr>
        <w:t>10.9% of our revenue was derived from customers based in Europe and the Middle East;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9"/>
        </w:rPr>
        <w:t>47.6% of our revenue was derived from customers based in the Asia Pacific region.</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Sales and Marketing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work closely with our customers throughout the SoC design lifecycle to help them use our System IP solutions and products to meet their specific needs. It is important to our success that we engage our customers early and collaborate throughout the design cycle. Our support organization is able to communicate the best practices in SoC design practices and receive early insight into customer requirements. This insight often results in new and innovative product features.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System IP sales cycles range from six to twelve months or longer. For repeat customers, our sales cycle length is generally shorter.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2025, we maintained sales offices, sales personnel, or sales representatives in the United States, China, France, South Korea, Japan, and Israel. As of December 31, 2025, our sales management had an average of 27 years of sales experience. As of December 31, 2025, we had 55 corporate and field application engineers. Corporate and field application engineers work closely with our customers in both presales and support roles, providing expert advice to our SoC architect and engineering users on how best to use our IP and software to design and implement their SoCs. As a result of these close relationships and detailed information sharing, our application engineers gather early knowledge of future expected customer needs including potential new sales opportunities within the customer and requirements for new capabilities for our products. Therefore, we believe our close relationships and technical credibility with our customers provide a competitive advantage.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marketing strategy emphasizes thought leadership and educates potential customers about how our products can address their System IP challenges. We use technical papers and in-person and online events, to highlight our capabilities.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Research and Development</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devote most of our operating expense to research and development of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The development of interconnect IPs for complex SoCs is a challenging task that requires multiple competencies and close contact with customers in order to deliver sophisticated solutions. The development and maintenance of these solutions require: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Management of an interdisciplinary engineering team with expertise and skill set across a wide range of sciences and domains such as architecture, design, design verification, EDA-class software development, and SystemC modeling, as well as deep understanding of physical design, design methodologies and networking architectures;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Advanced SoC architectures for handling data coherency and consistency that result in a high-performance implementation with low power;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Complex design flows and methodologies, as well as specialized languages for generating configurable interconnect IP. The designs require configuration using thousands of parameters that must be meticulously managed with millions of combinations;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Capability to understand the physical implementation and floorplan of the target SoC in order to generate a design that meets physical implementation requirements in terms of timing, area and power;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Sophisticated design verification methodologies to ensure the quality of configurable interconnect IP across millions of possible combinations, as well as complex test benches for simulation and emulation;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In-depth knowledge of common interface protocols, graph theory, data models and graphical user interfaces;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In-depth knowledge of safety standards including ISO 26262 ASIL B/D for automotive, IEEE 1685 IP-XACT IP standard for IP and SoC packaging, IEEE 1800 UVM verification standard;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Support a broad ecosystem of processors suppliers including Arm, RISC-V, x86, other IP vendors including Synopsys and Cadence, SoC design tool software providers, semiconductor foundries including TSMC and Intel Foundry, and others.</w:t>
      </w:r>
    </w:p>
    <w:p>
      <w:pPr>
        <w:pStyle w:val="TextBody"/>
        <w:bidi w:val="0"/>
        <w:spacing w:lineRule="auto" w:line="288" w:before="180" w:after="283"/>
        <w:jc w:val="both"/>
        <w:rPr/>
      </w:pPr>
      <w:r>
        <w:rPr>
          <w:rFonts w:ascii="Arial;sans-serif" w:hAnsi="Arial;sans-serif"/>
          <w:b w:val="false"/>
          <w:color w:val="000000"/>
          <w:sz w:val="19"/>
          <w:shd w:fill="FFFFFF" w:val="clear"/>
        </w:rPr>
        <w:t xml:space="preserve">SoC integration automation development is similarly challenging as it requires broad support of the IP packaging standard, IEEE 1685 IP-XACT, and the ability to deliver features and enhancements required as customers deploy ever-changing IP block libraries for their SoC projects, address hardware-software integrations. Our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have to conform not only to industry standards, but also to ever-evolving SoC integration methodologies.</w:t>
      </w:r>
    </w:p>
    <w:p>
      <w:pPr>
        <w:pStyle w:val="TextBody"/>
        <w:bidi w:val="0"/>
        <w:spacing w:lineRule="auto" w:line="288" w:before="180" w:after="283"/>
        <w:jc w:val="both"/>
        <w:rPr/>
      </w:pPr>
      <w:r>
        <w:rPr>
          <w:rFonts w:ascii="Arial;sans-serif" w:hAnsi="Arial;sans-serif"/>
          <w:b w:val="false"/>
          <w:color w:val="000000"/>
          <w:sz w:val="19"/>
          <w:shd w:fill="FFFFFF" w:val="clear"/>
        </w:rPr>
        <w:t xml:space="preserve">Once interconnect IP is designed into customer SoC projects, there are significant switching costs to adopting different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especially in the automotive sector and industrial applications, where switching interconnect IP solutions may involve product functional safety re-certification.</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research and development strategy includes offering customers several product enhancement releases per year, complemented with a planned introduction of at least one new interconnect IP or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product every year.</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believe we have assembled one of the premier engineering teams for interconnect IP development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in the world. As of December 31, 2025, </w:t>
      </w:r>
      <w:r>
        <w:rPr>
          <w:rFonts w:ascii="Arial;sans-serif" w:hAnsi="Arial;sans-serif"/>
          <w:b w:val="false"/>
          <w:color w:val="000000"/>
          <w:sz w:val="19"/>
        </w:rPr>
        <w:t>we had 112 engineers devoted to inte</w:t>
      </w:r>
      <w:r>
        <w:rPr>
          <w:rFonts w:ascii="Arial;sans-serif" w:hAnsi="Arial;sans-serif"/>
          <w:b w:val="false"/>
          <w:color w:val="000000"/>
          <w:sz w:val="19"/>
          <w:shd w:fill="FFFFFF" w:val="clear"/>
        </w:rPr>
        <w:t xml:space="preserve">rconnect IP development and 58 engineers devoted to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totaling 170 employees. In 2025, we spent $49.9 million on research and development, which represented 71% of our revenue.</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Competition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interconnect IP, we primarily compete with interconnect solutions developed internally by our SoC customers and potential customers. Many of the largest semiconductor companies have their own interconnect IP development teams which make customer penetration relatively difficult, time-consuming, and expensive. However, we believe that over time the expense and difficulty of developing a broad suite of interconnect IP and SoC integration automation has the potential to expand the use of commercial SoC integration solutions. In addition, we also compete with third-party providers, including Arm and several smaller companies. While we do compete with Arm in the interconnect IP market, we believe our solutions are complementary to Arm’s processor portfolio and protocol deployment and are actively collaborating on joint automotive solutions and integrate with Arm processor IPs. We often execute the integration of Arm processors in heterogeneous environments, which can accelerate the deployment of Arm processors. While smaller companies are developing interconnect solutions, we believe that our extensive investment in research and development over many years creates a barrier to entry. Developing interconnect IP solutions that are robust, configurable, and capable of handling multiple functionalities require deep technology expertise and large research and development investments. We compete based on die area reduction, lower idle power consumption, improved data movement performance such as frequency, latency, and bandwidth, as well as faster time to market. We believe we compete favorably with respect to these factors.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Based on management’s experience, we believe that in order to develop a new interconnect IP product, it would take a new entrant in the interconnect IP market three to four years to develop a mature product, two to four years of market development and five to seven years to build a royalty-generating customer base.</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similarly compete mainly against internally developed solutions. Commercial competitors consist of smaller companies that generally provide point products rather than complete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Intellectual Property and Proprietary Rights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rely on a combination of intellectual property rights, including patents, trade secrets, copyrights and trademarks, and contractual protections, to protect our core technology and intellectual property. As of December 31, 2025, we had 115 total allowed or issued patents, pending patent applications and non-expired provisional patent applications worldwide. Of these 115 allowed or issued patents, 88 are U.S. allowed or issued patents, 10 are China issued patents, six are South Korea issued patents, four are U.K. issued patents, four are Europe issued patents, and three are Japan issued patents. The 115 allowed or issued patents generally expire between July 2035 and June 2043. As of December 31, 2025, we had 146 pending non-provisional and provisional patent application filings, 62 in the United States, 28 in Europe, 24 in China, 13 in South Korea, 13 in Japan and six in the World Intellectual Property Organization. In addition, we have a trademark program covering, where feasible and in accordance with local laws, our products as well as our corporate names and logos.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progress in developing our technology and products, and our ability to compete worldwide, is a direct result of our commitment to develop and maintain leadership of our proprietary products and to develop and file to protect our intellectual property. We rely on a combination of patent, trademark, trade secret, and copyright laws, as well as contractual and licensing restrictions to protect the proprietary aspects of our technology. We also take steps to protect against misuse of our licensed products, for example with license keys that limit the time allowed for our licensee customers to use configuration tools to generate hardware description source code that is used in their semiconductor hardware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routinely use non-disclosure agreements, limited evaluation agreements, and substantive license agreements with procedures to assist customer usage while limiting wrongful disclosure or misuse of our intellectual property. In addition, we are committed to developing products not only in the U.S. but in France, Poland, and other countries, where the country of origin may favorably impact the ability to license our IP solutions and technology in accordance with applicable export laws and regulations. Technological change and customer needs for emerging feature needs in our solutions inspire and motivate our personnel to update and enhance our offerings periodically.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focus on patent protection beyond the United States in countries and jurisdictions where we determine that such filings will assist the strategic reach and value of our patent portfolio. Patents and other legal IP protections arise when we have conceived or developed novel and valuable new or improved technology relating to our IP solutions, that may affect our customer and our own licensing business outside the U.S. Certain countries in which our IP solutions are or may be developed, manufactured or sold may not have or enforce laws that protect our technology and intellectual property rights to the same extent as under U.S.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Material Agreements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Qualcomm Agreements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connection with an Asset Purchase Agreement by and among Qualcomm Technologies, Inc. and Qualcomm France SARL (collectively, Qualcomm) and us and certain of our subsidiaries dated October 9, 2013, pursuant to which we sold to Qualcomm certain assets and intellectual property related to our FlexNoC product (the Purchase Agreement), we and our affiliates retained a non-exclusive, worldwide, perpetual right under patents acquired under the Purchase Agreement to, among other things, manufacture, license and distribute certain FlexNoC products and certain modifications thereto (the Retained Rights). In addition, we and Qualcomm Technologies, Inc. entered into a License Agreement dated October 11, 2013 (the License Agreement) pursuant to which we and our affiliates obtained a license to, among other things, reproduce, use, license, and distribute certain FlexNoC-related works of authorship and technology that were acquired or owned by Qualcomm in connection with the Purchase Agreement for the purpose of enabling us to continue to offer and support FlexNoC products and certain modifications thereto (the Licensed Rights). There is no charge under the Purchase Agreement for our use of the Retained Rights or the Licensed Rights. Our rights in the Retained Rights continue until the last to expire of the relevant patents, and the License Agreement continues in perpetuity, in each case unless terminated as described below.</w:t>
      </w:r>
    </w:p>
    <w:p>
      <w:pPr>
        <w:pStyle w:val="TextBody"/>
        <w:bidi w:val="0"/>
        <w:spacing w:lineRule="auto" w:line="288" w:before="180" w:after="283"/>
        <w:jc w:val="both"/>
        <w:rPr/>
      </w:pPr>
      <w:r>
        <w:rPr>
          <w:rFonts w:ascii="Arial;sans-serif" w:hAnsi="Arial;sans-serif"/>
          <w:b w:val="false"/>
          <w:color w:val="000000"/>
          <w:sz w:val="19"/>
          <w:shd w:fill="FFFFFF" w:val="clear"/>
        </w:rPr>
        <w:t xml:space="preserve">Qualcomm may terminate the Retained Rights in the event (i) we or our subsidiaries that are party to the Purchase Agreement breach any material terms of the Purchase Agreement applicable to the Retained Rights or any material terms of the License Agreement and fail to cure any such breach within 90 days after notice of such breach from Qualcomm, or (ii) we or any of our affiliates initiate a claim of patent infringement against Qualcomm or its affiliates (excluding such claims that are counterclaims in proceedings initiated by Qualcomm or its affiliates) and does not withdraw such claim within 30 days after Qualcomm’s written request to do so. Qualcomm may terminate the License Agreement in the event we breach any material terms of the License Agreement or any material terms of the Purchase Agreement applicable to the Retained Rights and fail to cure such breach within 90 days after notice of such breach from Qualcomm. Qualcomm may also terminate rights granted under the License Agreement to a certain development environment used in connection with our FlexNoC product (which could effectively preclude us from continuing to enhance our FlexNoC product and adversely affect our FlexNoC business) in the event of a change of control of our company (as defined in the License Agreement) which would effectively include, in a transaction or series of related transactions, a sale of our company, or the sales of securities by us or our stockholders that would result in the stockholders and option holders of our company as of the date of the License Agreement not retaining beneficial ownership of more than 50% of our company. We believe that, as we have and continue to deliver new products since the date of the License Agreement, such as our range of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Ncore cache coherent interconnect, CodaCache last-level cache, and CSRCompiler physical awareness capabilities, the importance to our business and product portfolio of the FlexNoC development environment will decrease over time.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may not assign the License Agreement without Qualcomm’s written consent (and a change of control of our company shall be considered an assignment for the purposes of such prohibition) except that we may assign the License Agreement to an acquirer of our business that consists of licensing certain FlexNoC products, and we may only assign the Retained Rights to an entity to whom we have assigned the License Agreement.</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Governmental Regulation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subject to regulation by various governmental agencies in the United States and other jurisdictions in which we operate. These laws and regulations (and the government entities, regulators, and agencies responsible for their enforcement) in the United States cover among other things: radio frequency emission regulatory activities (Federal Communications Commission); anti-trust regulatory activities (Federal Trade Commission and Department of Justice); insider trading, anti-bribery, and anti-corruption (Department of Justice), consumer protection (Federal Trade Commission); import/export regulatory activities (Department of Commerce and Department of Treasury);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federal and state tax and other regulations by a variety of regulatory authorities in each of the areas in which we conduct business. Our operations are also subject to the U.S. Foreign Corrupt Practices Act of 1977, as amended (the FCPA), the U.S. domestic bribery statute contained in 18 U.S.C. § 201, the U.S. Travel Act, the USA PATRIOT Act, as well as the anti-corruption, anti-bribery, and anti-money laundering laws in the U.S. and other countries where we conduct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(OFAC). Other products are subject to French export controls. These regulations may limit the export of our products and technology, and the provision of our services outside of the United States and/or France,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The export and re-export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With respect to government authorizations, we have no pending export license requests to the U.S. Department of Commerce's Bureau of Industry and Security (BIS) or any other government agency, and no export licenses are currently required to export our products from the United States or other countries to countries where we do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pStyle w:val="TextBody"/>
        <w:bidi w:val="0"/>
        <w:spacing w:lineRule="auto" w:line="288" w:before="180" w:after="283"/>
        <w:jc w:val="both"/>
        <w:rPr/>
      </w:pPr>
      <w:r>
        <w:rPr>
          <w:rFonts w:ascii="Arial;sans-serif" w:hAnsi="Arial;sans-serif"/>
          <w:b w:val="false"/>
          <w:color w:val="000000"/>
          <w:sz w:val="19"/>
          <w:shd w:fill="FFFFFF" w:val="clear"/>
        </w:rPr>
        <w:t>From time to time, we have adopted and will continue to adopt remedial measures in response to government regulation. For example, we have adopted several remedial measures prior to, in connection with and following the initial notification of voluntary self-disclosure we submitted to BIS. These compliance enhancements were developed and implemented in consultation with outside counsel specializing in U.S. trade compliance. These steps have included annual basic export compliance trainin</w:t>
      </w:r>
      <w:r>
        <w:rPr>
          <w:rFonts w:ascii="Arial;sans-serif" w:hAnsi="Arial;sans-serif"/>
          <w:b w:val="false"/>
          <w:color w:val="000000"/>
          <w:sz w:val="19"/>
        </w:rPr>
        <w:t>g within our company, updating our written export control policies and procedures, and adopting a revised export compliance manual in 2021. We have provided export awareness training for relevant personnel including in 2023 and 2022. We previously provided our sales employees worldwide with training in basic export compliance. We engage</w:t>
      </w:r>
      <w:r>
        <w:rPr>
          <w:rFonts w:ascii="Arial;sans-serif" w:hAnsi="Arial;sans-serif"/>
          <w:b w:val="false"/>
          <w:color w:val="000000"/>
          <w:sz w:val="19"/>
          <w:shd w:fill="FFFFFF" w:val="clear"/>
        </w:rPr>
        <w:t>d third-party vendor software to assist us with an ongoing screening of new and existing customers, third-party agents or representatives, suppliers, and other vendors against U.S., France and several other jurisdictions prohibited or restricted party lists. We screen all customers against applicable lists of denied or restricted parties, including the Entity List administered by BIS as well as the list of Specially Designated Nationals and Blocked Persons, administered by the Treasury Department’s Office of Foreign Assets Control.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a discussion of the various risks we face from regulation and compliance matters, see “Risk Factors—Risks Related to Our Business and Industry—We are subject to data protection, AI, and privacy and security laws, regulations, standards and other requirements across different markets where we conduct our business. Our actual or perceived failure to comply with such obligations could harm our business,” “Risk Factors—Risks Related to Legal, Regulatory, Accounting and Tax Matters—Our failure to comply with the large body of laws and regulations to which we are subject could materially harm our business,” “Risk Factors—Risks Related to Legal, Regulatory, Accounting and Tax Matters—Our failure to comply with the Foreign Corrupt Practices Act, other applicable anti-corruption and anti-bribery laws, and applicable anti-money laundering laws could subject us to penalties and other adverse consequences,” “Risk Factors—Risks Related to Legal, Regulatory, Accounting and Tax Matters—We are subject to government regulations, including import, export and economic sanctions laws and artificial intelligence regulations that may restrict our ability to sell to or get paid by customers in certain regions, or expose us to liability and increase our costs,” “Risk Factors—Risks Related to Legal, Regulatory, Accounting and Tax Matters—We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Human Capital Resources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2025, we had 299 employees as follows:</w:t>
      </w:r>
    </w:p>
    <w:tbl>
      <w:tblPr>
        <w:tblW w:w="3597" w:type="dxa"/>
        <w:jc w:val="left"/>
        <w:tblInd w:w="0" w:type="dxa"/>
        <w:tblLayout w:type="fixed"/>
        <w:tblCellMar>
          <w:top w:w="28" w:type="dxa"/>
          <w:left w:w="28" w:type="dxa"/>
          <w:bottom w:w="28" w:type="dxa"/>
          <w:right w:w="28" w:type="dxa"/>
        </w:tblCellMar>
      </w:tblPr>
      <w:tblGrid>
        <w:gridCol w:w="900"/>
        <w:gridCol w:w="792"/>
        <w:gridCol w:w="797"/>
        <w:gridCol w:w="109"/>
        <w:gridCol w:w="109"/>
        <w:gridCol w:w="109"/>
        <w:gridCol w:w="228"/>
        <w:gridCol w:w="228"/>
        <w:gridCol w:w="325"/>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Number</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Function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color w:val="000000"/>
                <w:sz w:val="19"/>
              </w:rPr>
            </w:pPr>
            <w:r>
              <w:rPr>
                <w:rFonts w:ascii="Arial;sans-serif" w:hAnsi="Arial;sans-serif"/>
                <w:b/>
                <w:color w:val="000000"/>
                <w:sz w:val="19"/>
              </w:rPr>
              <w:t>Geographic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France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Poland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South Korea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Japan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53"/>
              <w:jc w:val="left"/>
              <w:rPr>
                <w:rFonts w:ascii="Arial;sans-serif" w:hAnsi="Arial;sans-serif"/>
                <w:b w:val="false"/>
                <w:color w:val="000000"/>
                <w:sz w:val="19"/>
              </w:rPr>
            </w:pPr>
            <w:r>
              <w:rPr>
                <w:rFonts w:ascii="Arial;sans-serif" w:hAnsi="Arial;sans-serif"/>
                <w:b w:val="false"/>
                <w:color w:val="000000"/>
                <w:sz w:val="19"/>
              </w:rPr>
              <w:t>Elsewhere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w:t>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consider relations with our employees to be good and have never experienced a work stoppage. None of our employees are either represented by a labor union, although our employees in France are subject to a collective bargaining agreement.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Corporation Information</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were incorporated in the State of Delaware in April 2004. </w:t>
      </w:r>
      <w:r>
        <w:rPr>
          <w:rFonts w:ascii="Arial;sans-serif" w:hAnsi="Arial;sans-serif"/>
          <w:b w:val="false"/>
          <w:color w:val="000000"/>
          <w:sz w:val="19"/>
        </w:rPr>
        <w:t>Our principal executive offices are located at 900 E. Hamilton Ave. Suite 300, Campbell, CA 95008. Our telephone number</w:t>
      </w:r>
      <w:r>
        <w:rPr>
          <w:color w:val="000000"/>
          <w:shd w:fill="FFFFFF" w:val="clear"/>
        </w:rPr>
        <w:t xml:space="preserve"> </w:t>
      </w:r>
      <w:r>
        <w:rPr>
          <w:rFonts w:ascii="Arial;sans-serif" w:hAnsi="Arial;sans-serif"/>
          <w:b w:val="false"/>
          <w:color w:val="000000"/>
          <w:sz w:val="19"/>
          <w:shd w:fill="FFFFFF" w:val="clear"/>
        </w:rPr>
        <w:t>is (408) 470-7300, and our website address is www.arteris.com. The information contained on, or that can be accessed through, our website is not incorporated by reference in this report and does not form a part of this report. You should not consider the information contained on our website to be part of this report in deciding whether to purchase shares of our common stock. Our common stock is traded on the Nasdaq Stock Market under the symbol “AIP”.</w:t>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Available Information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website address is www.arteris.com. Information found on, or accessible through, our website is not a part of, and is not incorporated into, this Annual Report on Form 10-K. We file electronically with the SEC our annual reports on Form 10-K, quarterly reports on Form 10-Q, current reports on Form 8-K, and amendments to those reports filed or furnished pursuant to Section 13(a) or 15(d) of the Exchange Act. We make available on our website at www.arteris.com, free of charge, copies of these reports and other information as soon as reasonably practicable after we electronically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1A. Risk Factors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an event, the trading price of our common stock could decline, and you could lose all or part of your investment. Additional risks and uncertainties not presently known to us or not believed by us to be material may also negatively impact us.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Our Business and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significant competition from larger companies and third-party providers that may deploy their resources so they can develop their IP solutions internally.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industries characterized by rapidly changing technologies as well as rapid innovation and technological obsolescence. The appearance of new competitors, including start-up enterprises,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Arm and Cadence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compete in our market is subject to a variety of factors, many of which are beyond our control. The occurrence of any of the below could adversely affect our ability to compete and harm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anticipate and lead critical product development cycles and technological shifts as driven by our target markets, to innovate rapidly and efficiently and to improve our existing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competitor substantially increases its engineering and marketing resources to compete with us in the semiconductor IP interconnect and SoC Integration Automation software technology arena.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 new entrant with substantially greater resources and/or supported by governmental resources decides to enter the markets in which we compete.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existing or new competitor bundles its technologies into one package at a discounted price that would make it uneconomical for our customers to license our products separately.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challenges of developing, or acquiring externally developed, technology solutions that are adequate and competitive in meeting the rapidly evolving requirements of next-generation design challenges.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compete on the basis of payment, pricing, features and/or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Decisions by semiconductor companies, fabless chip design or system companies, device or other end product producers, and/or OEMs to develop IP development internally, rather than license IP from outside vendors due to budget constraints or excess engineering capacity.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 or to impose tariffs.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modify or augment tax treatment of our product and service offerings.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of geopolitical conflicts, such as the military conflict between Russia and Ukraine and the conflict in Iran and Israel, including retaliatory, military and regulatory actions, or other actions that escalate tensions, including with respect to the conflict in Israel, actions involving Iran and other groups in the Middle East, on our customers’ engineering resources, design schedules, purchasing, development, sales and innovation responses and trends in response to such conflicts. Specifically, the conflict in Israel and Gaza continues to result in an uncertain business and investment environment in the region. Many companies in the affected regions, particularly small to medium enterprises, are experiencing extended challenges raising money leading to cutbacks and project delays.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Competition, embargoes, sanctions, boycotts and/or social unrest.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Local or international economic headwind trends that may lead to recessions, economic slowdowns or sudden changes in the economic needs of regions and consumers.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Silicon chip supply chain and shipment volume restrictions on our customers and their end customers that will impact the amount of royalties payable to us.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be unable to reduce the cost of our products sufficiently to compete effectively against our competitors. Our cost reduction efforts may not allow us to keep pace with competitive pricing pressures and/or other economic factors including inflation, impact from and response to U.S. trade policy,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a history of net losses, and we may not achieve or maintain profitability in the future.</w:t>
      </w:r>
    </w:p>
    <w:p>
      <w:pPr>
        <w:pStyle w:val="TextBody"/>
        <w:bidi w:val="0"/>
        <w:spacing w:lineRule="auto" w:line="288" w:before="180" w:after="283"/>
        <w:jc w:val="both"/>
        <w:rPr/>
      </w:pPr>
      <w:r>
        <w:rPr>
          <w:rFonts w:ascii="Arial;sans-serif" w:hAnsi="Arial;sans-serif"/>
          <w:b w:val="false"/>
          <w:color w:val="000000"/>
          <w:sz w:val="19"/>
        </w:rPr>
        <w:t>We have incurred net losses in certain periods historically. We incurred a net loss of $34.7 million and $33.6 million for the years ended December 31, 2025 and 2024, respectively. As of December 31, 2025, we had an accumulated deficit of $171.6 million. We have spent significant funds on organizational and start-up activities, to recruit engineers and other employees and to support our re</w:t>
      </w:r>
      <w:r>
        <w:rPr>
          <w:rFonts w:ascii="Arial;sans-serif" w:hAnsi="Arial;sans-serif"/>
          <w:b w:val="false"/>
          <w:color w:val="000000"/>
          <w:sz w:val="19"/>
          <w:shd w:fill="FFFFFF" w:val="clear"/>
        </w:rPr>
        <w:t>search and development. The net losses we incur may fluctuate significantly from quarter to quarter and may increase as a result of geopolitical and market fluctuations, inflation, economic slowdown and/or recessionary pressures and other global economic factors.</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long-term success is dependent upon our ability to successfully market our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 xml:space="preserve">solutions, develop new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19"/>
          <w:shd w:fill="FFFFFF" w:val="clear"/>
        </w:rPr>
        <w:t>Because our IP solutions are components of end products, if semiconductor, system producers and/or end product producer companies in the aerospace and defense market</w:t>
      </w:r>
      <w:r>
        <w:rPr>
          <w:rFonts w:ascii="Arial;sans-serif" w:hAnsi="Arial;sans-serif"/>
          <w:b w:val="false"/>
          <w:color w:val="000000"/>
          <w:sz w:val="19"/>
          <w:shd w:fill="FFFFFF" w:val="clear"/>
        </w:rPr>
        <w:t xml:space="preserve">, </w:t>
      </w:r>
      <w:r>
        <w:rPr>
          <w:rFonts w:ascii="Arial;sans-serif" w:hAnsi="Arial;sans-serif"/>
          <w:b/>
          <w:i/>
          <w:color w:val="000000"/>
          <w:sz w:val="19"/>
          <w:shd w:fill="FFFFFF" w:val="clear"/>
        </w:rPr>
        <w:t>automotive market, communications market, consumer electronics market, enterprise computing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IP solutions include technology that manages on-chip communications in SoC semiconductor devices. We do not license our IP solutions and deployment tools directly to end-users; we license our technology primarily to companies in the aerospace and defense market, automotive market, communications market, consumer electronics market, enterprise computing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growth and economic stability in the end markets that use our products. Any slowdown in the growth and economic stability of these end markets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continued success will depend in large part on general economic growth and stability, and growth and stability within our target markets in the aerospace and defense market, automotive market, communications market, consumer electronics market, enterprise computing market, and industrial market. Factors affecting these markets could seriously harm our customers and/or end customers and, as a result, harm us, examples of which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Reduced sales of our customers’ and/or end customers’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effects of catastrophic and other disruptive events at our customers’ and/or end customers’ offices or facilities including, but not limited to, natural disasters, telecommunications failures, cyber-attacks, terrorist attacks, regional wars or conflicts, pandemics, epidemics or other outbreaks of infectious disease, breaches of security or loss of critical data.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Increased costs associated with potential disruptions to our customers’ and/or end markets’ supply chain and other manufacturing and production operations.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deterioration of our customers’ and/or end customers’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Delays and project cancellations as a result of design flaws in the products developed by our customers and/or end customers.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expand or dedicate the resources necessary to promote and commercialize their 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adapt to changing technological demands resulting in their products becoming obsolete.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failure of our customers’ and/or end customers’ products to achieve market success and gain broad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Disruption and uncertainty caused by new developments in U.S. trade and tariff policy, reciprocal tariffs imposed by other countries, export, foreign direct investment, and related regulations.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Regional and global effects of inflation or other adverse economic conditions, such as rising interest rates, recessions or economic slowdowns, resulting in delays or cancellations of new product design starts.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Adverse impact of multiple interest rate increases implemented and forecasted by the U.S. Federal Reserve.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or changes to incentives, delays in the deployment of electronic vehicles and automated driving, or the emergence of economic instability in end markets arising from factors such as inflationary trends, interest rate fluctuations and general economic uncertainty, deteriorating purchasing power, trade or supply chain disruptions and regional and/or worldwide chip shortages or excess supply, demand fluctuations, unemployment spikes, labor shortages or end market reactions to regional or global geopolitical uncertainties, wars or conflicts, or other factors beyond our control, it would adversely affect demand for our products from customers and royalty revenue and impact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market acceptance of third-party semiconductor IP.</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w:t>
      </w:r>
      <w:r>
        <w:rPr>
          <w:rFonts w:ascii="Arial;sans-serif" w:hAnsi="Arial;sans-serif"/>
          <w:b w:val="false"/>
          <w:color w:val="000000"/>
          <w:sz w:val="19"/>
        </w:rPr>
        <w:t>SoC Integration Automation software</w:t>
      </w:r>
      <w:r>
        <w:rPr>
          <w:rFonts w:ascii="Arial;sans-serif" w:hAnsi="Arial;sans-serif"/>
          <w:b w:val="false"/>
          <w:color w:val="000000"/>
          <w:sz w:val="19"/>
          <w:shd w:fill="FFFFFF" w:val="clear"/>
        </w:rPr>
        <w:t>. Furthermore, the third-party licensable IP model is highly dependent on the market adoption of new services and products, including in the aerospace and defense market, automotive market, communications market, consumer electronics market, enterprise computing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trends that would enable our growth are largely beyond our control. Semiconductor customers also may choose to adopt a multi-chip, off-the-shelf chip solution versus licensing or using highly integrated chipsets that embed our technologies or use our deployment software. If these market shifts do not materialize or third-party semiconductor IP does not achieve market acceptance,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our customer acquisition cycle for new licenses and license renewals for existing licensees can be lengthy, typically between six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pStyle w:val="TextBody"/>
        <w:bidi w:val="0"/>
        <w:spacing w:lineRule="auto" w:line="288" w:before="180" w:after="283"/>
        <w:jc w:val="both"/>
        <w:rPr/>
      </w:pPr>
      <w:r>
        <w:rPr>
          <w:rFonts w:ascii="Arial;sans-serif" w:hAnsi="Arial;sans-serif"/>
          <w:b/>
          <w:i/>
          <w:color w:val="000000"/>
          <w:sz w:val="19"/>
          <w:shd w:fill="FFFFFF" w:val="clear"/>
        </w:rPr>
        <w:t xml:space="preserve">Even if we succeed in securing design wins for our IP interconnect and other solutions and our </w:t>
      </w:r>
      <w:r>
        <w:rPr>
          <w:rFonts w:ascii="Arial;sans-serif" w:hAnsi="Arial;sans-serif"/>
          <w:b/>
          <w:i/>
          <w:color w:val="000000"/>
          <w:sz w:val="19"/>
        </w:rPr>
        <w:t xml:space="preserve">SoC Integration Automation software </w:t>
      </w:r>
      <w:r>
        <w:rPr>
          <w:rFonts w:ascii="Arial;sans-serif" w:hAnsi="Arial;sans-serif"/>
          <w:b/>
          <w:i/>
          <w:color w:val="000000"/>
          <w:sz w:val="19"/>
          <w:shd w:fill="FFFFFF" w:val="clear"/>
        </w:rPr>
        <w:t>solutions, we may not generate timely or sufficient margins or margins from those wins and our financial results could suffer.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Changing customer requirements, resulting in an extended development cycle for the product.</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 in the ramp-up of volume production of the customers’ products into which our solutions are designed.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Delay or cancellation of the customers’ product development plans.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or competitive pressures to reduce the selling price of the customers’ end-products.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Lower than expected acceptance of the customers’ end-products.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jc w:val="both"/>
        <w:rPr/>
      </w:pPr>
      <w:r>
        <w:rPr>
          <w:rFonts w:ascii="Arial;sans-serif" w:hAnsi="Arial;sans-serif"/>
          <w:b w:val="false"/>
          <w:color w:val="000000"/>
          <w:sz w:val="19"/>
          <w:shd w:fill="FFFFFF" w:val="clear"/>
        </w:rPr>
        <w:t xml:space="preserve">As part of the evolution of our business, we have made substantial investments to develop IP interconnect, SoC integration automation solutions, other technology initiatives, such as chip level hardware security solutions in connection with the Cycuity acquisition,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aerospace and defense market, automotive market, communications market, consumer electronics market, enterprise computing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in a timely and cost-effective manner, or if we fail to introduce new technologies that meet market demand, we may lose our competitive position, our products may become obsolete, and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new technologies and products may not be profitable, and even if they are profitable, operating margins for new products and businesses may not be as high as the margins we have experienced historically or originally anticipated.</w:t>
      </w:r>
    </w:p>
    <w:p>
      <w:pPr>
        <w:pStyle w:val="TextBody"/>
        <w:bidi w:val="0"/>
        <w:spacing w:lineRule="auto" w:line="288" w:before="180" w:after="283"/>
        <w:jc w:val="both"/>
        <w:rPr/>
      </w:pPr>
      <w:r>
        <w:rPr>
          <w:rFonts w:ascii="Arial;sans-serif" w:hAnsi="Arial;sans-serif"/>
          <w:b w:val="false"/>
          <w:color w:val="000000"/>
          <w:sz w:val="19"/>
          <w:shd w:fill="FFFFFF" w:val="clear"/>
        </w:rPr>
        <w:t xml:space="preserve">Additionally, from time to time, we invest in expansion into adjacent markets, including the acquisitions of Magillem, Semifore and Cycuity, and our growth into the IP interconnect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market. Although we believe these solutions are complementary to our IP interconnect solutions, we have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depends on a variety of factors, including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continue to attract new customers in industries in which we have less experience.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successful development of sales and marketing strategies that meet customer requirements.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accurately predict, prepare for, and promptly respond to technological developments in existing and new fields.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SoC Integration Automation software solutions.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continually balance our investment in adjacent markets with investment in our existing products and services.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attract and retain employees with expertise in new or emerging fields affecting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pressures, export and trade controls, and pandemics,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fundamental shift in technologies, regulatory, trade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currently devote substantial resources to the research and development of new and enhanced 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may also decide to increase our research and development investment to seize customer or market opportunities, which could negatively impact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expect that we will continue to experience hiring challenges, including for engineering resources.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Product errors or defects could expose us to liability and harm our reputation, and we could lose market share.</w:t>
      </w:r>
    </w:p>
    <w:p>
      <w:pPr>
        <w:pStyle w:val="TextBody"/>
        <w:bidi w:val="0"/>
        <w:spacing w:lineRule="auto" w:line="288" w:before="180" w:after="283"/>
        <w:jc w:val="both"/>
        <w:rPr/>
      </w:pPr>
      <w:r>
        <w:rPr>
          <w:rFonts w:ascii="Arial;sans-serif" w:hAnsi="Arial;sans-serif"/>
          <w:b w:val="false"/>
          <w:color w:val="000000"/>
          <w:sz w:val="19"/>
          <w:shd w:fill="FFFFFF" w:val="clear"/>
        </w:rPr>
        <w:t xml:space="preserve">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could delay the development or release of new solutions or new versions and could adversely affect market acceptance or perception of our technology. In addition, any allegations of quality issues resulting from use of our IP interconnect and other solutions or semiconductor design efficiency issues resulting from our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offer high-quality products and support, our reputation could suffer.</w:t>
      </w:r>
    </w:p>
    <w:p>
      <w:pPr>
        <w:pStyle w:val="TextBody"/>
        <w:bidi w:val="0"/>
        <w:spacing w:lineRule="auto" w:line="288" w:before="180" w:after="283"/>
        <w:jc w:val="both"/>
        <w:rPr/>
      </w:pPr>
      <w:r>
        <w:rPr>
          <w:rFonts w:ascii="Arial;sans-serif" w:hAnsi="Arial;sans-serif"/>
          <w:b w:val="false"/>
          <w:color w:val="000000"/>
          <w:sz w:val="19"/>
          <w:shd w:fill="FFFFFF" w:val="clear"/>
        </w:rPr>
        <w:t xml:space="preserve">Interconnect IP and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technology is complex and rapidly changing, and the quality of the products and our ability to provide timely and effective support is critical for the successful deployment of our IP in our customers’ designs. We maintain a team of corporate and field application engineers in our global support organization and continue to pursue initiatives to enhance our customer support. High-quality, well-trained support is important for customer retention. The importance of our support function has increased as we expand our business in chiplets and multi-die applications to meet the needs of the market and appeal to new customers. If we do not or cannot help our customers quickly resolve issues and provide effective ongoing support, our ability to maintain and expand our offerings to existing and new customers could suffer, and our reputation with existing or potential customers could suffer.</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dependence on international customers and operations also subjects us to a range of other additional regulatory, trade policy, operational, financial, and political risks that could adversely affect our financial results.</w:t>
      </w:r>
    </w:p>
    <w:p>
      <w:pPr>
        <w:pStyle w:val="TextBody"/>
        <w:bidi w:val="0"/>
        <w:spacing w:lineRule="auto" w:line="288" w:before="180" w:after="283"/>
        <w:jc w:val="both"/>
        <w:rPr/>
      </w:pPr>
      <w:r>
        <w:rPr>
          <w:rFonts w:ascii="Arial;sans-serif" w:hAnsi="Arial;sans-serif"/>
          <w:b w:val="false"/>
          <w:color w:val="000000"/>
          <w:sz w:val="19"/>
        </w:rPr>
        <w:t>We derived 60.3% and 62.3% of our revenue for the years ended December 31, 2025, and 2024, from sales to customers outside of the United States. In particular, we derived 24.5% and 29.2% of our revenue for the years ended December 31, 2025 and 2024 from customers located in China. We expect our revenue from China to decrease due to the applicable U</w:t>
      </w:r>
      <w:r>
        <w:rPr>
          <w:rFonts w:ascii="Arial;sans-serif" w:hAnsi="Arial;sans-serif"/>
          <w:b w:val="false"/>
          <w:color w:val="000000"/>
          <w:sz w:val="19"/>
          <w:shd w:fill="FFFFFF" w:val="clear"/>
        </w:rPr>
        <w:t>.S.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Poland, China, South Korea, and Japan. Moreover, conducting business outside the United States subjects us to a number of additional risks and challenges,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Changes in a specific country’s or region’s political, regulatory or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Imposition of or changes to export control regulations, tariff policy and other barriers, restrictions and regional stability measures, such as the tariffs announced in 2025 by the United States, in particular with respect to China but also announced tariffs such as the tariffs on countries in the European Union, and any retaliatory tariffs or measures, including countermeasures by China, countries in the European Union, or other countries, that could negatively impact trade between, or increase the cost of operating in, or increase the cost of or negatively impact the demand for our products or our customers' products in, the countries in which we do business.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pandemic, epidemic or other outbreak of an infectious disease, which may cause us or our distributors, vendors and/or customers to temporarily suspend our or their respective operations in the affected city or country or completely.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Difficulties and costs of staffing and managing international operations across different geographic areas, time zones and cultures.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diplomatic and trade relationships and uncertainties around the current U.S. administration’s policies, including tariffs and reciprocal tariffs, create a highly unpredictable and volatile business environment, a potential increased likelihood of recession, potential slowdown in capital markets, and potential impacts to the valuation of the U.S. dollar and other currencies.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political, legal and economic instability, armed conflict, and civil unrest in the countries in which we and our customers are located.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Difficulty and costs of maintaining effective data security particularly as state-sponsored threats and cyber espionage incidents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Inadequate protection of our intellectual property.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Nationalization and the uncertain impact on the perception or reputation of our products or services in foreign markets.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the transfer of funds to and from foreign countries, including withholding taxes and other potentially negative tax consequences.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Unfavorable and/or changing foreign tax treaties and policies.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exposure to general market and economic conditions inside and outside of the United States.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regulatory uncertainties with respect to our wholly foreign-owned enterprise operating in China and any joint ventures we may form or contribute IP or other resources to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Trends such as global and regional inflation, supply shortages and supply chain disruptions, geopolitical tensions, wars or conflicts and retaliatory actions and regulations affecting or relating to regions such as but not limited to Ukraine, Russia, Eastern Europe, Israel and Iran and the Middle East, or in the Greater China region, may lead to the deterioration of our immediate customers’ and/or end market customers’ ability and/or willingness to purchase, use, develop, market or sell products or solutions that incorporate or are made while using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 xml:space="preserve">These factors, individually or in combination, could impair our ability to effectively operate one or more of our foreign facilities or deliver our semiconductor IP or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Downturns or volatility in general economic conditions, including because of geopolitical and macroeconomic conditions in the countries in which we conduct business,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gross margin, and ability to achieve and maintain profitability depend significantly on general economic conditions and the demand for products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 including in the aerospace and defense market, automotive market, communications market, consumer electronics market, enterprise computing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disruption in the credit markets could also impede our access to capital. If we have limited access to additional financing sources, we may be required to defer capital expenditure or seek other sources of liquidity, which may not be available to us on acceptable terms or at all. All of these factors related to global economic conditions, which are beyond our control, could harm our business.</w:t>
      </w:r>
    </w:p>
    <w:p>
      <w:pPr>
        <w:pStyle w:val="TextBody"/>
        <w:bidi w:val="0"/>
        <w:spacing w:lineRule="auto" w:line="276"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shd w:fill="FFFFFF" w:val="clear"/>
        </w:rPr>
      </w:pPr>
      <w:r>
        <w:rPr>
          <w:rFonts w:ascii="Arial;sans-serif" w:hAnsi="Arial;sans-serif"/>
          <w:b/>
          <w:i/>
          <w:color w:val="000000"/>
          <w:sz w:val="19"/>
          <w:shd w:fill="FFFFFF" w:val="clear"/>
        </w:rPr>
        <w:t>Changes in legislation and regulation in the United States and other countries, including new and revised trade policies and the imposition of tariffs, may adversely impact our business and our customers’ businesses, and may impact our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a highly regulated industry and our business is dependent on a number of external factors, including U.S. and global financial economic conditions, inflation, changes in the U.S. political landscape, each of which have and could significantly impact our business. The U.S. government administration has made, and continues to make, substantial modifications to laws and regulations, including, but not limited to, those related to trade policies, imposition of tariffs, export controls and technology transfers as well as certain rules and regulations related to diversity, equity and inclusion practices. Executive orders and legislative actions have and could continue to alter the business environment in which we operate and result in adverse impacts to our business,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example, U.S. and Chinese governments may continue to enact changes in government trade policies, including the imposition of additional tariffs on countries where we do significant business that have and could adversely impact our ability to sell products globally, particularly in China. We cannot predict what actions may ultimately be taken with respect to tariffs or trade relations between the United States and U.S. trading partners including China and the European Union, or what actions may be taken by the trading partners in response. It is difficult to anticipate the timing or duration and macro-economic impacts of such tariffs, export restrictions, or other regulatory actions. These government trade policies are likely to materially adversely affect our customers and our business, impeding our ability to develop relationships with new customers in trade partner countries including with China and countries in the European Union.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changing regulatory policies, in particular in the United States, can affect regulatory and compliance costs and future revenues, all of which could materially and adversely affect our business operations and financial results. Changes in federal policy by the executive branch and regulatory agencies and personnel may occur over time, which could lead to changes in the level of oversight and focus on our industry including new laws, regulations and policies. At this time, it is unclear what laws, regulations and policies may change and whether future changes or uncertainty surrounding future changes will adversely affect our operating environment and therefore our business operations and financial results. Changes in federal and state laws and regulations, as well as the interpretation and implementation of any laws, executive orders, and regulations, could affect us in substantial and unpredictable ways.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legislation and regulation have and could continue to create a highly unpredictable and volatile business environment, which could result in a recession, potential slowdown in capital markets, and potential impacts to the valuation of the U.S. dollar and other currencies.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cyclical nature of the semiconductor industry, including significant supply chain disruption, may limit our ability to maintain or improve our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geopolitical tensions and wide fluctuations in product supply and demand, all of which can result in significant declines in semiconductor demand. We have experienced downturns in the past and may experience such downturns in the future, including the potential likelihood of a recession. For example, the industry experienced a significant downturn in connection with the global recession in 2008, and further downturns in 2020 and 2022, which were prolonged as a result of the economic impact of the COVID-19 pandemic. These downturns have been characterized by diminished product demand, production overcapacity, high inventory levels and accelerated erosion of average selling prices. In the past several years, downturns in the semiconductor industry have been attributed to a variety of factors, including the COVID-19 pandemic, ongoing trade disputes among the United States and other countries including China, resulting in weakness in demand and pricing for semiconductors across applications and excess inventory.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Economic downturns have directly impacted our business, as has been the case with many other companies, suppliers, distributors and customers in the semiconductor industry and other industries around the world, and any prolonged or significant future or continuing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has also faced significant global supply chain issues as a result of the impact both on demand for devices as well as the increasing demand for semiconductors in consumer devices, automobiles and artificial intelligence, which together have resulted in the inability of fabrication plants to produce sufficient quantities of chips to meet demand, supply chain shortages and other disruptions. Numerous factors, including any further trade tensions and escalating countermeasures between the United States and China, as well as any revisions to U.S. regulations governing the export of certain semiconductor related hardware and software to China and any geopolitical changes in China-Taiwan relations may prolong or deepen these challenges faced by the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revenue has been concentrated among a small number of licensees and customers, and if we lose any of these customers and fail to replace them, our revenue may decrease substantially.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significant amount of our revenue is derived from a limited number of customers. We expect that a relatively small number of customers will continue to account for a substantial portion of our revenue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Failure to effectively expand our sales and marketing capabilities could harm our ability to increase our customer base and achieve broader market acceptance of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development and use of artificial intelligence, and the failure to adopt and manage the use of artificial intelligence, present risks and challenges that may negatively impact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engaged in a competitive segment of the global semiconductor industry, and our success may require the adoption of new and emerging technologies, such as artificial intelligence (AI). Failure to adapt to a rapidly-changing technological environment could result in negative impacts to our business. While these technologies present significant benefits, there can be no assurance that the use or implementation of these AI technologies will enhance our products or services; they may accelerate or exacerbate potential risks to us. These risks include the possibility of malfunctioning, producing biased or inaccurate results, ethical concerns, privacy violations, or failing to meet performance expectations. The development of AI technologies is complex, and there are technical challenges associated with achieving the desired level of accuracy, efficiency, and reliability. Furthermore, there is a risk of system failures, disruptions, or vulnerabilities that could compromise the integrity, security, or privacy of data inputs or the generated content. These limitations or failures could result in reputational harm, legal liabilities, or loss of consumer, customer, employee or business partner confidence.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typically experience a strong seasonality in sales in the fourth calendar quarter of the year. As a result, our results of operations are subject to substantial quarterly fluctuations, which may seriously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have experienced, and expect to continue to experience, seasonal fluctuations in sales due to the spending patterns of semiconductor customers who license our products. Historically, the number of total new license agreements we enter into has generally been lower in the first and second calendar quarters.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Substantial portions of our sales are made, and we anticipate will be made, to aerospace and defense, automotive, communications, consumer electronics, enterprise computing, and industrial suppliers. Any downturn in any of these markets could significantly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Each of these sectors is subject to specific market risks. The consumer sector, for example, is subject to changes in end consumer spending patterns, technology developments and general economic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exposed to the risks associated with the automotive market. For example, our anticipated future growth is highly dependent on the adoption of autonomous driving technologies, which are expected to have increased sensor and power product content. The reported downturn in the automotive market could delay automakers’ plans to introduce new vehicles with these features, which would negatively impact the demand for our products and our ability to grow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the automotive industry is affected by general economic, trade policy, and geopolitical conditions and associated responses by governments of various countries, the automotive industry, including manufacturers, dealers, distributors, and third-party suppliers may be adversely impacted. In addition, government-imposed restrictions on businesses, operations and travel and the related economic uncertainty have impacted demand in many global markets. While demand in the automotive industry is dependent on a number of factors, any adverse effects on the automotive industry could harm our business, as well as our ability to execute our growth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 significant portion of our revenue comes from licensing fees, which may vary from period to period.</w:t>
      </w:r>
    </w:p>
    <w:p>
      <w:pPr>
        <w:pStyle w:val="TextBody"/>
        <w:bidi w:val="0"/>
        <w:spacing w:lineRule="auto" w:line="288" w:before="180" w:after="283"/>
        <w:jc w:val="both"/>
        <w:rPr/>
      </w:pPr>
      <w:r>
        <w:rPr>
          <w:rFonts w:ascii="Arial;sans-serif" w:hAnsi="Arial;sans-serif"/>
          <w:b w:val="false"/>
          <w:color w:val="000000"/>
          <w:sz w:val="19"/>
          <w:shd w:fill="FFFFFF" w:val="clear"/>
        </w:rPr>
        <w:t xml:space="preserve">License agreements for our interconnect IP are generally treated as ratable revenue, with revenue being recognized evenly over the license term. In recent periods we have made and will continue to make certain changes to </w:t>
      </w:r>
      <w:r>
        <w:rPr>
          <w:rFonts w:ascii="Arial;sans-serif" w:hAnsi="Arial;sans-serif"/>
          <w:b w:val="false"/>
          <w:color w:val="000000"/>
          <w:sz w:val="19"/>
        </w:rPr>
        <w:t>SoC Integration Automation software</w:t>
      </w:r>
      <w:r>
        <w:rPr>
          <w:color w:val="000000"/>
          <w:shd w:fill="FFFFFF" w:val="clear"/>
        </w:rPr>
        <w:t xml:space="preserve"> </w:t>
      </w:r>
      <w:r>
        <w:rPr>
          <w:rFonts w:ascii="Arial;sans-serif" w:hAnsi="Arial;sans-serif"/>
          <w:b w:val="false"/>
          <w:color w:val="000000"/>
          <w:sz w:val="19"/>
          <w:shd w:fill="FFFFFF" w:val="clear"/>
        </w:rPr>
        <w:t>agreements that result in ratable recognition of the related license revenue over the contract term. Still, significant portions of our anticipated future revenue depend upon our success in attracting new customers, or continuing or expanding our relationships with existing customers, and revenue recognized from licensing arrangements varies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failure to obtain future licensing customers would impede our future revenue growth and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Royalty rates could decrease for existing and future license agreements, which could materially adversely affect our operating results.</w:t>
      </w:r>
    </w:p>
    <w:p>
      <w:pPr>
        <w:pStyle w:val="TextBody"/>
        <w:bidi w:val="0"/>
        <w:spacing w:lineRule="auto" w:line="288" w:before="180" w:after="283"/>
        <w:jc w:val="both"/>
        <w:rPr/>
      </w:pPr>
      <w:r>
        <w:rPr>
          <w:rFonts w:ascii="Arial;sans-serif" w:hAnsi="Arial;sans-serif"/>
          <w:b w:val="false"/>
          <w:color w:val="000000"/>
          <w:sz w:val="19"/>
          <w:shd w:fill="FFFFFF" w:val="clear"/>
        </w:rPr>
        <w:t>Royalty payments under existing and future license agreements could be lower than currently anticipated.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the use of our technology could decrease with new or renewed customers, thereby decreasing future anticipated revenue and cash fl</w:t>
      </w:r>
      <w:r>
        <w:rPr>
          <w:rFonts w:ascii="Arial;sans-serif" w:hAnsi="Arial;sans-serif"/>
          <w:b w:val="false"/>
          <w:color w:val="000000"/>
          <w:sz w:val="19"/>
        </w:rPr>
        <w:t>ow. Variable royalty revenue was 9% of our revenue for year ended December 31, 2025. Therefore, a significant decrease in our royalty revenue could materially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royalty rates may be negatively affected by macroeconomic and geopolitical trends, including global semiconductor supply chain issues (such as shortages in the availability of the supply of chips in several semiconductor sectors and applications), and its world effects and changes in products mix. Furthermore, consolidation among our customers may increase the leverage of our existing customers to extract concessions from us in royalty rates.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Changing currency exchange rates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operations and assets in the United States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w:t>
      </w:r>
    </w:p>
    <w:p>
      <w:pPr>
        <w:pStyle w:val="TextBody"/>
        <w:bidi w:val="0"/>
        <w:spacing w:lineRule="auto" w:line="288" w:before="180" w:after="283"/>
        <w:jc w:val="both"/>
        <w:rPr/>
      </w:pPr>
      <w:r>
        <w:rPr>
          <w:rFonts w:ascii="Arial;sans-serif" w:hAnsi="Arial;sans-serif"/>
          <w:b w:val="false"/>
          <w:color w:val="000000"/>
          <w:sz w:val="19"/>
          <w:shd w:fill="FFFFFF" w:val="clear"/>
        </w:rPr>
        <w:t xml:space="preserve">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changes, the impact to our consolidated statements of operations could be significant and may affect the comparability of operating results. The impact from foreign currency exchange for the year ended </w:t>
      </w:r>
      <w:r>
        <w:rPr>
          <w:rFonts w:ascii="Arial;sans-serif" w:hAnsi="Arial;sans-serif"/>
          <w:b w:val="false"/>
          <w:color w:val="000000"/>
          <w:sz w:val="19"/>
        </w:rPr>
        <w:t>December 31, 2025</w:t>
      </w:r>
      <w:r>
        <w:rPr>
          <w:color w:val="000000"/>
          <w:shd w:fill="FFFFFF" w:val="clear"/>
        </w:rPr>
        <w:t xml:space="preserve"> </w:t>
      </w:r>
      <w:r>
        <w:rPr>
          <w:rFonts w:ascii="Arial;sans-serif" w:hAnsi="Arial;sans-serif"/>
          <w:b w:val="false"/>
          <w:color w:val="000000"/>
          <w:sz w:val="19"/>
          <w:shd w:fill="FFFFFF" w:val="clear"/>
        </w:rPr>
        <w:t>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particular, in light of the ongoing changes in government trade policies, including the imposition of additional tariffs, military conflict between Russia and Ukraine, the conflict in Israel and Iran, and the tensions between the United States, the European Union, other European countries, with Russia, any resulting material change to the valuation of the U.S. dollar, the Euro or other currency relative to the U.S. dollar could adversely impact our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made acquisitions and, in the future, expect to pursue acquisitions of and investments in new businesses, products or technologies, joint ventures and other strategic transactions that involve numerous risks and could disrupt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strategy, we make acquisitions of and investments in new businesses, such as our acquisitions of Magillem, Semifore and Cycuity,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in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In addition, we may face additional risks as a result of difficulty or inability to obtain government, regulatory approvals and consents, or face additional legal proceedings initiated as a result of an acquisition or due to potential failure of our due diligence processes to identify significant issues with the assets of the acquired company. Regulators could also impose conditions that reduce the ultimate value of our acquisition or investment. Changes in accounting or regulatory requirements or instability in the credit markets could also adversely impact our ability to consummate acquisitions and investments on acceptable terms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Semifore and Cycuity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expect to incur integration and startup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Pre-closing and post-closing earnings charges could adversely impact operating results in any given period, and the impact may be substantially different from period to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create demands on our management, operational resources and financial and internal control systems that we are unable to effectively address.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could experience difficulty in integrating personnel, operations and financial and other controls and systems and retaining key employees and customers.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be unable to achieve cost savings or other synergies anticipated in connection with an acquisition, joint venture or other strategic relationship.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We may assume unknown liabilities, known contingent liabilities that become realized, known liabilities that prove greater than anticipated, internal control deficiencies or exposure to regulatory sanctions resulting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from the acquired company’s or investee’s activities and the realization of any of these liabilities or deficiencies may increase our expenses, adversely affect our financial position and/or cause us to fail to meet our public financial reporting obligations.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 connection with acquisitions and joint ventures, we often enter into post-closing financial arrangements such as purchase price adjustments, earn-out obligations and indemnification obligations, which may have unpredictable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interests that diverge from or are adverse to those of our joint venture partners or other strategic partners, expose our IP and intellectual property rights to misappropriation or other licensing risks, and we may not be able to direct the management and operations of the joint venture or other strategic relationship in the manner we believe is most appropriate, exposing us to additional legal, financial, or technical risk.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potential acquisitions, investments, divestitures, joint ventures, expansions or divestitures, and other strategic transactions, whether or not consummated, may divert our management’s attention and require considerable cash outlays at the expense of our existing operations. This, and any of the risks set forth above,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raise capital in the future may be limited and could prevent us from executing our growth strategy.</w:t>
      </w:r>
    </w:p>
    <w:p>
      <w:pPr>
        <w:pStyle w:val="TextBody"/>
        <w:bidi w:val="0"/>
        <w:spacing w:lineRule="auto" w:line="288" w:before="180" w:after="283"/>
        <w:jc w:val="both"/>
        <w:rPr/>
      </w:pPr>
      <w:r>
        <w:rPr>
          <w:rFonts w:ascii="Arial;sans-serif" w:hAnsi="Arial;sans-serif"/>
          <w:b w:val="false"/>
          <w:color w:val="000000"/>
          <w:sz w:val="19"/>
          <w:shd w:fill="FFFFFF" w:val="clear"/>
        </w:rPr>
        <w:t xml:space="preserve">Our ability to operate and expand our business depends on the availability of adequate capital, which in turn depends on the cash flow generated by our business and equity or other applicable financing arrangements. We believe that our existing </w:t>
      </w:r>
      <w:r>
        <w:rPr>
          <w:rFonts w:ascii="Arial;sans-serif" w:hAnsi="Arial;sans-serif"/>
          <w:b w:val="false"/>
          <w:color w:val="000000"/>
          <w:sz w:val="19"/>
        </w:rPr>
        <w:t xml:space="preserve">cash and cash equivalents, short-term investments and </w:t>
      </w:r>
      <w:r>
        <w:rPr>
          <w:rFonts w:ascii="Arial;sans-serif" w:hAnsi="Arial;sans-serif"/>
          <w:b w:val="false"/>
          <w:color w:val="000000"/>
          <w:sz w:val="19"/>
          <w:shd w:fill="FFFFFF" w:val="clear"/>
        </w:rPr>
        <w:t>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acceptance of our semiconductor IP and other solutions, and our SoC Integration Automation software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need to adapt to changing technologies and technical requirements;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existence of opportunities for expansion;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effectively manage our growth, and we may need to incur significant expenditures to address the additional operational and control requirements of our growth, either of which could harm our business and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order to succeed in executing our business plan, we will need to manage our growth effectively as we make significant investments in research and development and sales and marketing to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We may experience disruptions in our research and development efforts resulting from the inability to hire qualified engineers globally including from the Middle East due to the Israel conflict and escalating conflicts and tensions in the Middle East, particularly with Iran.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United States are impacted by laws and regulations, as well as by procedures and enforcement practices of various government agencies. Changes in immigration laws, executive orders and regulations or procedures may adversely affect our ability to hire or retain such workers, increase our operating expenses and negatively impact our ability to deliver our products and services, any of which would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management team has limited experience managing a public company.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Catastrophic events may disrupt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our counterparties are unable to fulfill their financial and other obligations to us, our business and results of operations may be affected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downturn in economic conditions, geopolitical events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Intellectual Property, Information Technology and Data Security and Privacy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patents and other intellectual property rights, our ability to compete successfully and our financial results could be adversely impacted.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seek to protect our proprietary technology and innovations, particularly those relating to the design of our products, through patents, trade secrets and other intellectual property rights. As of December 31, 2025, we had 261 total allowed or issued patents, pending patent applications and non-expired provisional patent applications worldwide. Of these 115 allowed or issued patents, 88 are U.S. allowed or issued patents, 10 are China issued patents, six are South Korea issued patents, four are U.K. issued patents, four are Europe issued patents, and three are Japan issued patents. The 115 allowed or issued patents generally expire between July 2035 and June 2043. As of December 31, 2025, we had 146 pending non-provisional and provisional patent application filings, 62 in the United States, 28 in Europe, 24 in China, 13 in South Korea, 13 in Japan and six in the World Intellectual Property Organization.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pStyle w:val="TextBody"/>
        <w:bidi w:val="0"/>
        <w:spacing w:lineRule="auto" w:line="288" w:before="180" w:after="283"/>
        <w:jc w:val="both"/>
        <w:rPr/>
      </w:pPr>
      <w:r>
        <w:rPr>
          <w:rFonts w:ascii="Arial;sans-serif" w:hAnsi="Arial;sans-serif"/>
          <w:b w:val="false"/>
          <w:color w:val="000000"/>
          <w:sz w:val="19"/>
          <w:shd w:fill="FFFFFF" w:val="clear"/>
        </w:rPr>
        <w:t>Additionally, it is difficult and costly to monitor the use of our intellectual property. For example, w</w:t>
      </w:r>
      <w:r>
        <w:rPr>
          <w:rFonts w:ascii="Arial;sans-serif" w:hAnsi="Arial;sans-serif"/>
          <w:b w:val="false"/>
          <w:color w:val="000000"/>
          <w:sz w:val="19"/>
        </w:rPr>
        <w:t>e continue to invest in methods, tools and infrastructure for infusing AI capabilities into our operations and into our offerings. While these technologies present significant benefits, use of AI tools could expose us to risks of unauthorized use and wide dissemination of our intellectual property by unknown or unauthorized recipients.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trade secrets, our competitive position and financial results could be adversely affected.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noted above, we seek to protect our proprietary technology and innovations, particularly those relating to our products, as patents, trade secrets and other forms of intellectual property.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a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compete successfully depends in part on our ability to commercialize our IP solutions without infringing the patent, trade secret or other intellectual property rights of others.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 In addition, we may have little or no insight into and no control over the content and materials used by vendors to train AI tools. Our use of such tools may inadvertently violate a third party’s rights, be non-compliant with the applicable terms of use or our other legal obligations, or result in a security or privacy risk or data leakage.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Claims by other companies that we infringe their intellectual property rights or that patents on which we rely are invalid could adversely affect our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rife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event that any third-party succeeds in asserting a valid claim against us or any of our customers, we could be forced to do one or more of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discontinue selling access to certain technologies that contain the allegedly infringing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which would result in a decline in our revenue and could result in breach of contract claim by our affected customers and damage to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stop receiving payment from a customer that can no longer sell the end-product if it contains allegedly infringing </w:t>
      </w:r>
      <w:r>
        <w:rPr>
          <w:rFonts w:ascii="Arial;sans-serif" w:hAnsi="Arial;sans-serif"/>
          <w:b w:val="false"/>
          <w:color w:val="000000"/>
          <w:sz w:val="19"/>
          <w:shd w:fill="FFFFFF" w:val="clear"/>
        </w:rPr>
        <w:t>intellectual property</w:t>
      </w:r>
      <w:r>
        <w:rPr>
          <w:rFonts w:ascii="Arial;sans-serif" w:hAnsi="Arial;sans-serif"/>
          <w:b w:val="false"/>
          <w:color w:val="000000"/>
          <w:sz w:val="19"/>
        </w:rPr>
        <w: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seek to develop non-infringing technologies, which may not be feasible;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incur significant legal expenses;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pay substantial monetary damages to the party whose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we may be found to be infringing; and/or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or our customers could be required to seek licenses to the infringed technology that may not be available on commercially reasonable terms, if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a third-party, AI or open source content causes us to discontinue the use of any of our technologies, we could be required to design around those technologies. This could be costly and time-consuming and could have an adverse impact on our financial results. Any significant impairments of our intellectual property rights from any litigation we face could harm our business and our ability to compete in our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this Annual Report on Form 10-K,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Any dispute regarding our intellectual property may require us to indemnify certain customers, the cost of which could severely harm our business.</w:t>
      </w:r>
    </w:p>
    <w:p>
      <w:pPr>
        <w:pStyle w:val="TextBody"/>
        <w:bidi w:val="0"/>
        <w:spacing w:lineRule="auto" w:line="288" w:before="180" w:after="283"/>
        <w:jc w:val="both"/>
        <w:rPr/>
      </w:pPr>
      <w:r>
        <w:rPr>
          <w:rFonts w:ascii="Arial;sans-serif" w:hAnsi="Arial;sans-serif"/>
          <w:b w:val="false"/>
          <w:color w:val="000000"/>
          <w:sz w:val="19"/>
          <w:shd w:fill="FFFFFF" w:val="clear"/>
        </w:rPr>
        <w:t>In any potential dispute involving our patents copyrights, trademarks, open source or AI content, or other intellectual property, our customers could also become the target of litigation.</w:t>
      </w:r>
      <w:r>
        <w:rPr>
          <w:color w:val="000000"/>
        </w:rPr>
        <w:t xml:space="preserve"> </w:t>
      </w:r>
      <w:r>
        <w:rPr>
          <w:rFonts w:ascii="Arial;sans-serif" w:hAnsi="Arial;sans-serif"/>
          <w:b w:val="false"/>
          <w:color w:val="000000"/>
          <w:sz w:val="19"/>
        </w:rPr>
        <w:t xml:space="preserve">Some of our agreements, including those with key customers like Texas Instruments Incorporated and Samsung Electronics Co., Ltd., have historically </w:t>
      </w:r>
      <w:r>
        <w:rPr>
          <w:rFonts w:ascii="Arial;sans-serif" w:hAnsi="Arial;sans-serif"/>
          <w:b w:val="false"/>
          <w:color w:val="000000"/>
          <w:sz w:val="19"/>
          <w:shd w:fill="FFFFFF" w:val="clear"/>
        </w:rPr>
        <w:t>provided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Working with the U.S. government, including through the Small Business Innovation Research (SBIR) program, in connection with licenses and other contracts involves risks related to data rights, intellectual property protection and eligibility status.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have, including through entities we have acquired, and may enter into additional licenses and additional contracts with the U.S. government which contain customary provisions that give the government substantial and sometimes unilateral rights and remedies not typically found in commercial contracts, including the right to unilaterally modify the contract and terminate the contract for convenience. The future levels of expenditures and authorizations for defense-related programs by the U.S. government may decrease, remain constant or shift to programs in areas where we do not currently provide products, thereby reducing the chances that we will be awarded new contracts. In addition, these contracts subject a portion of our business to the statutes and regulations applicable to doing business with the government, including the Federal Acquisition Regulation (FAR) and also subject us to greater scrutiny by the government, which can initiate reviews, audits and investigations regarding our compliance with government contract requirements. New regulations or procurement requirements (including, for example regulations regarding counterfeit and corrupt parts, supply chain diligence and cybersecurity) or changes to current requirements could increase our costs and risk of non-compliance. In addition, if we fail to comply with government contracting laws, regulations and contract requirements, our contracts may be subject to termination, and we may be subject to financial and/or other liability under our contracts, the Federal Civil False Claims Act (including treble damages and other penalties), or criminal law. In particular, the False Claims Act’s “whistleblower” provisions also allow private individuals, including present and former employees, to sue on behalf of the U.S. government. Any penalties, damages, fines, suspension, or damages could adversely affect our ability to operate our business and our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rFonts w:ascii="Arial;sans-serif" w:hAnsi="Arial;sans-serif"/>
          <w:b/>
          <w:i/>
          <w:color w:val="000000"/>
          <w:sz w:val="19"/>
          <w:shd w:fill="FFFFFF" w:val="clear"/>
        </w:rPr>
      </w:pPr>
      <w:r>
        <w:rPr>
          <w:rFonts w:ascii="Arial;sans-serif" w:hAnsi="Arial;sans-serif"/>
          <w:b/>
          <w:i/>
          <w:color w:val="000000"/>
          <w:sz w:val="19"/>
          <w:shd w:fill="FFFFFF" w:val="clear"/>
        </w:rPr>
        <w:t>Cybersecurity threats continue to increase in frequency and sophistication; a successful cybersecurity attack or prolonged outage regardless of cause could interrupt or disrupt our information technology systems, or those of our third-party service providers, or cause the loss of availability of confidential or protected data which could disrupt our business, force us to incur excessive costs or cause reputational harm.</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Security breaches, computer malware, prolonged outages,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external service providers, vendors, or from attacks by malicious third parties and state-sponsored actors. Such attacks are increasing in their frequency, levels of persistence, levels of sophistication and intensity, and are being conducted by sophisticated and organized groups and individuals with a wide range of motives and expertise. As a result of our reliance on internet technology and the number of our employees who are working remotely, this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measures for the protection of data and information technology, there can be no assurance that our efforts will prevent or quickly identify service interruptions or security breaches. The techniques used by cybercriminals to obtain unauthorized access to systems or sabotage systems, or to disable or degrade services, change frequently, and may not be recognized when launched against a target and can originate from a wide variety of sources, including outside groups such as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includes a private right of action for security breaches that could lead to some form of remedy, as well as,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this could result in fines of up to €20.0 million or 4% of annual global turnover under the GDPR or £17.5 million and 4% of total annual revenue in the case of the U.K. GDPR. Under these laws,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could expose us to liability to customer claims. Any of the foregoing could irreparably damage our reputation and business, could have a material adverse effect on our results of operations, and cause us to incur significant costs, including legal expenses and remediation costs.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cyber liability and business interruption insurance renewed annually; however, this insurance may not be sufficient to cover the financial, legal, business or reputational losses that may result from an interruption or breach of our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data protection, AI, and privacy and security laws, regulations, standards and other requirements across different markets where we conduct our business. Our actual or perceived failure to comply with such obligations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global data protection landscape continues to evolve,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violated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The evolution of new standards and enforcement practices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we collect personal data, and other potentially sensitive and/or regulated data from our customers. In the United States, numerous federal and state laws and regulations, including data breach notification laws, data privacy and security laws, and consumer protection laws and regulations govern the collection, use, disclosure, protection and other processing of personal information. Compliance with state and federal privacy laws, such as the California Consumer Privacy Protection Act of 2018 (CPPA), subsequently amended by the California Privacy Rights Act of 2020 (CPRA) increase our compliance costs and potential liability, and could harm our business, including how we use personal information. A number of other proposals exist for new federal and state privacy legislation that, if passed could increase our potential liability, increase our compliance costs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subject to European Union rules with respect to cross-border transfers of personal data out of the EEA and the U.K. In addition to Standard Contractual Clauses (SCCs) which went into effect in June of 2021, in July of 2023, the US and EU announced the EU-U.S. Data Protection Framework (DPF) which replaced Privacy Shield and also serves as a lawful basis for transatlantic data transfer for companies to receive personal data from the EU, UK and Switzerland without additional safeguards. We currently rely on the SCCs to transfer personal data outside the EEA and the U.K., including to the United States. As supervisory authorities issue further guidance on personal data export mechanisms, we could suffer additional costs, complaints and/or regulatory investigations or fines.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the exit of the U.K. from the EU, often referred to as Brexit, created uncertainty with regard to data protection regulation in the U.K. The European Commission has adopted and renewed until December 27, 2031 subject to a mid-point review in four years, an “essentially equivalent” decision in favor of the U.K., enabling uninterrupted free data transfers from EU member states to the U.K. without additional safeguards. Any changes to this decision will lead to additional costs and increase our overall risk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we are subject to evolving data privacy and security laws, rules and regulations in the PRC, particularly the Personal Information Protection Law (PIPL), Cybersecurity Law (CSL) and Data Security Law (DSL), along with their implementing regulations and standards. Consent from the data subject is required for any collection or processing of personal data, unless one of a limited number of exemptions applies. Notably, the PIPL, similar to the EU GDPR, applies extraterritorially in certain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PIPL, CSL and DSL also specify rules for transferring personal information and the sui-generis category of ‘important data’ out of the PRC. Compliance with security assessments, obtaining certifications of group privacy standards by designated agencies, or entering into standard contracts (in approved form) with overseas recipients (to be filed with a PRC government agency) are among the requirements for transfer of personal data. All businesses in China additionally require government approval to transfer any amount of ‘important data’ generated within the PRC overseas. Chinese law also imposes restrictions on the disclosure of data to foreign judicial and law enforcement bodies, and the extent and modalities of the application of this rule remain uncertain.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to the CSL, the DSL and the PIPL, the relevant government authorities of the PRC have promulgated various regulations, draft regulations, guidelines and standards at both the national and provincial levels that are designed to provide further implemental guidance in accordance with the laws mentioned above. These laws and regulations continue to evolve with an unpredictable impact on our operations in the PRC and related compliance costs. In addition, these laws and regulations are drafted broadly and thus leave significant discretion to the relevant PRC authorities, increasing the uncertainty about how they will be interpreted and enforced in practice.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Although we make reasonable efforts to comply with all applicable data protection laws and regulations, our interpretations and such measures have been or may prove to be insufficient or incorrect. The effects of any applicable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and cause reputational harm. In addition to government regulation, privacy advocates and industry groups may propose new and different self-regulatory standards. Because the interpretation and application of privacy and data protection laws continue to evolve, it is possible that these laws may be interpreted and applied in a manner that are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business. Any of the foregoing could result in additional cost and liability to us, damage our reputation, inhibit sales, and harm our business.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Legal, Regulatory, Accounting and Tax Matters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large body of laws and regulations to which we are subject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Foreign Corrupt Practices Act, other applicable anti-corruption and anti-bribery laws, and applicable anti-money laundering laws could subject us to penalties and other adverse consequences.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government regulations, including import, export and economic sanctions laws and artificial intelligence regulations that may restrict our ability to sell to or get paid by customers in certain regions, or expose us to liability and increase our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restrict our ability to sell to or get paid by customers, prevent the export or import of our products and technology to certain countries, regions, governments, persons, or entities altogether, which could harm our business.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Assertions by third parties of infringement or other violation by us of their intellectual property rights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Third parties may assert that we have infringed, misappropriated, or otherwise violated their copyrights, patents, and other intellectual property rights, particularly as new technologies such as AI impact the industries in which we operate. We may experience brand or reputational harm, competitive harm or legal liability if we do not have sufficient rights to use the output of AI or open source content, or the data or other material or content on which these rely. In addition, we may incur liability through the breach of third-party intellectual property licenses or contracts to which we are a party, and violations of applicable laws and regulations. For example, there is uncertainty in the U.S. courts as to how AI technologies affect IP ownership, including copyright protections, which may expose us or our customers to claims of copyright infringement or misappropriation.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9"/>
          <w:shd w:fill="FFFFFF" w:val="clear"/>
        </w:rPr>
      </w:pPr>
      <w:r>
        <w:rPr>
          <w:rFonts w:ascii="Arial;sans-serif" w:hAnsi="Arial;sans-serif"/>
          <w:b/>
          <w:i/>
          <w:color w:val="000000"/>
          <w:sz w:val="19"/>
          <w:shd w:fill="FFFFFF" w:val="clear"/>
        </w:rPr>
        <w:t>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in October 2022, October 2023 and April 2024, BIS modified certain of its regulations affecting the export of semiconductor products and equipment, with particular focus on export to China. In December 2024, BIS further expanded export controls on certain advanced semiconductors that can be used in advanced weapon systems and in AI and advanced computing products. We must continue to comply with such regulations and take additional review and precautions as required when such export regulations are updated or changed by the U.S. federal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derive revenue from products that are not subject to the EAR from parties that are subject to the Entity List of the EAR (a list of entities to which the transfer of EAR-controlled technology or software requires a U.S. export license). Current and future business with these entities may be limited in scope or suspended entirely if regulations pertaining to such non-EAR products change, and our revenue could be adversely impacted. Regulatory changes concerning the export classification of our products, changes to the applicability of the EAR to certain product offerings, or the addition of new entities to the Entity List or other restricted party lists can further increase the scope of export restrictions applicable to our business. Failure to obtain export licenses for our products or having one or more of our customers be restricted from receiving exports from us could restrict our ability to sell to and get paid by customers in certain countries, which could significantly reduce our revenue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U.S. federal government has increased its Entity List materially and expanded its regulatory scope with respect to semiconductors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risks associated with doing business in China.</w:t>
      </w:r>
    </w:p>
    <w:p>
      <w:pPr>
        <w:pStyle w:val="TextBody"/>
        <w:bidi w:val="0"/>
        <w:spacing w:lineRule="auto" w:line="288" w:before="180" w:after="283"/>
        <w:jc w:val="both"/>
        <w:rPr/>
      </w:pPr>
      <w:r>
        <w:rPr>
          <w:rFonts w:ascii="Arial;sans-serif" w:hAnsi="Arial;sans-serif"/>
          <w:b w:val="false"/>
          <w:color w:val="000000"/>
          <w:sz w:val="19"/>
        </w:rPr>
        <w:t xml:space="preserve">For the year ended December 31, 2025, we derived 24.5% of our revenue from customers located in China. As a result, the economic, political, legal and social conditions in China could harm our business. </w:t>
      </w:r>
      <w:r>
        <w:rPr>
          <w:rFonts w:ascii="Arial;sans-serif" w:hAnsi="Arial;sans-serif"/>
          <w:b w:val="false"/>
          <w:color w:val="000000"/>
          <w:sz w:val="19"/>
          <w:shd w:fill="FFFFFF" w:val="clear"/>
        </w:rPr>
        <w:t xml:space="preserve">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We have observed sustained reports of intellectual property theft and misappropriation in China.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the other risks related to doing business in China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Chinese government exerts substantial influence over the manner in which we must conduct our business activities.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currency exchange may limit our ability to receive, transfer and use our cash effectively.</w:t>
      </w:r>
    </w:p>
    <w:p>
      <w:pPr>
        <w:pStyle w:val="TextBody"/>
        <w:bidi w:val="0"/>
        <w:spacing w:lineRule="auto" w:line="268" w:before="180" w:after="283"/>
        <w:ind w:left="0" w:right="0" w:hanging="360"/>
        <w:jc w:val="both"/>
        <w:rPr/>
      </w:pPr>
      <w:r>
        <w:rPr>
          <w:color w:val="000000"/>
          <w:shd w:fill="FFFFFF" w:val="clear"/>
        </w:rPr>
        <w:t>■</w:t>
      </w:r>
      <w:r>
        <w:rPr>
          <w:rFonts w:ascii="Arial;sans-serif" w:hAnsi="Arial;sans-serif"/>
          <w:b w:val="false"/>
          <w:color w:val="000000"/>
          <w:sz w:val="19"/>
        </w:rPr>
        <w:t xml:space="preserve">Increased uncertainties related to the protection and enforcement of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 xml:space="preserve">rights, including risk of theft or misappropriation of our products and intellectual property in China, as well as any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that we may license to a Chinese (or other emerging jurisdiction) entity, including any joint ventures we may form.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relating to Chinese regulation of exports of products and technology to and from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and rapidly changing export and related trade regulations including tariffs and restrictions imposed by U.S. and Chinese legislation, executive actions and regulations.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Chinese government may favor its local businesses and make it more difficult for foreign businesses to operate in China on an equal footing or create generally difficult conditions for foreign headquartered businesses to operate.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related to the enforcement of contracts with certain parties.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More restrictive rules on foreign investment could adversely affect our ability to expand our operations in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Geopolitical tensions may lead to increased export sanctions against China and/or Chinese entities or U.S. companies operating in China or selling products or services into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Geopolitical changes in China-Taiwan relations could disrupt our operations in China and Taiwan and the operations of companies in China and Taiwan that are our customers, each of </w:t>
      </w:r>
      <w:r>
        <w:rPr>
          <w:rFonts w:ascii="Arial;sans-serif" w:hAnsi="Arial;sans-serif"/>
          <w:b w:val="false"/>
          <w:color w:val="000000"/>
          <w:sz w:val="19"/>
          <w:shd w:fill="FFFFFF" w:val="clear"/>
        </w:rPr>
        <w:t>which could materially and adversely affect our business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rPr>
        <w:t xml:space="preserve">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changing regulatory requirements or other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w:t>
      </w:r>
      <w:r>
        <w:rPr>
          <w:rFonts w:ascii="Arial;sans-serif" w:hAnsi="Arial;sans-serif"/>
          <w:b w:val="false"/>
          <w:color w:val="000000"/>
          <w:sz w:val="19"/>
          <w:shd w:fill="FFFFFF" w:val="clear"/>
        </w:rPr>
        <w:t>As a result of our growing operations in China, these risks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Further, on September 3, 2021, former President Biden issued Executive Order 14032 (Addressing the Threat from Securities Investments that Finance Certain Companies of the People’s Republic of China) targeting entities that are deemed part of the Chinese military-industrial complex.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October 7, 2022, BIS issued export controls related to the Chinese semiconductor manufacturing, advanced computing, and supercomputer industries imposing broad end-use and other restrictions on facilities in China that develop or produce semiconductor chips or manufacturing equipment, impacting our ability to license or support our products to entities in or doing business with certain advanced AI or “supercomputer” design companies, foundries and manufacturers of assemblies and components in China. On October 17, 2023, BIS issued regulations amending the October 7, 2022 rule. Then on December 2, 2024, BIS further expanded export controls on certain advanced semiconductors that can be used in advanced weapon systems and in AI and advanced computing products. These restrictions,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It is difficult to predict what further trade-related actions governments may take, whether the current U.S. presidential administration may impact such tensions, the extent to which we may be able to mitigate the effects of any trade-related actions, and the longer-term implications of trade-related actions on the market opportunities for us. The prospect of future export controls that are implemented in a similar manner may continue to have an ongoing impact on our business, results of operation, or financial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have been additional regulatory mandates from the U.S. government that affect our current and future sales and operations in China. Beginning on January 2, 2025, the U.S. Department of the Treasury’s Outbound Investment Security Program went into effect. Codified at 31 C.F.R. § 850.101 et seq, the Outbound Investment Security Program prohibits or requires notification of certain types of outbound investments by U.S. persons into certain entities located in or subject to the jurisdiction of China, Hong Kong, and Macau (as well as certain entities subject to Chinese ownership or control) that are engaged in the development of certain national security technologies and products (presently, certain semiconductors and microelectronics, quantum information technologies, and artificial intelligence technologies), as well as any other countries that are or may be designated under the program’s regulations. This 2026 U.S. National Defense Authorization Act (NDAA) included the Comprehensive Outbound Investment National Security (COINS) Act of 2025 was signed on December 18, 2025 and expanded the U.S. outbound investment controls and introduced stricter notification and prohibitions for investments in sensitive technologies. Implementing regulations are expected by the U.S. Department of Treasury within 450 days of enactment, and until such time, the 2025 rules remain in effect. As a result of the foregoing, we and our applicable subsidiaries may need to take appropriate steps to comply with these regulations and the cost of doing so, as well as any failure to comply, could have an adverse impact on our business, results of operation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Joint ventures or similar investments are subject to a number of risks, the occurrence of which could adversely impact any of our current or future joint ventures or similar investments, which in turn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Joint ventures or similar investments such as the investment in Transchip as discussed elsewhere in this report, and other joint ventures or similar investments we may form in the future are subject to a number of risks, including but not limited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not commit sufficient resources to market and distribute our products or to otherwise support the joint venture and its intended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have economic or business interests or goals that are different from ours.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infringe the IP we assign or license to such joint venture, or the IP of other parties, which may be adverse to us, expose us to litigation and other potential liabilities.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Disputes may arise among us and our joint venture or investment partners that result in adverse business conditions, delays or termination of activities contemplated by such joint venture or investment or that could result in costly litigation or arbitration that diverts management attention and resources.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have, and may in the future, not provide us with timely and accurate information regarding the status, compliance or activities of the joint venture or investment which could, among other things, impact our ability to accurately forecast financial results, provide timely information to our shareholders and could create a potential risk of us having to restate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Risks associated with the ability to generate sufficient revenue and our investment to continue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of the risks related to doing business in China or having a Chinese joint venture or investment that are discussed elsewhere in these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occurrence of one or more of the above risks, or any other negative events, could adversely impact our joint ventures or similar investments including our investment in Transchip and we may be required to incur significant impairment charges.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Social and environmental responsibility regulations, policies and provisions, as well as customer and investor demands, may make our supply chain more complex and may adversely affect our relationships with customers, investors and government regulators.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is an increased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For example, the current U.S. presidential administration has a different view and approach to many social and environmental policies as compared to prior administrations and may result in us having to adopt positions that may be at odds with those of our customers and investors.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could be subject to changes in tax rates or the adoption of new tax legislation, whether in or out of the United States, or could otherwise have exposure to additional tax liabilities, which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use net operating losses to offset future taxable income may be subject to certain limitations.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requirements of being a public company require significant resources and management attention and affect our ability to attract and retain executive management and qualified board members.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we may experience difficulty meeting applicable financial statements timing, auditing and reporting requirements under the Exchange Act. Any failure by us to file our periodic reports with the SEC in a timely manner could harm our reputation and reduce the trading price of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the courts,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an “emerging growth company,” and we cannot be certain if the reduced disclosure requirements applicable to emerging growth companies will make our common stock less attractive to investors.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not being required to engage an auditor to report on our internal controls over financial reporting pursuant to Section 404(b) of the Sarbanes-Oxley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submit certain executive compensation matters to stockholder advisory votes, such as “say-on-pay,” “say-on-frequency,” and “say-on-golden-parachutes”;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disclose certain executive compensation related items such as the correlation between executive compensation and performance and comparisons of the chief executive officer’s compensation to median employee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 (ii) 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Ownership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 active and liquid trading market for our common stock may not be sustained.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stock price may be volatile, and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price of our common stock could be volatile and subject to wide fluctuations in response to various factors, many of which are beyond our control,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variations in our actual or anticipated annual or quarterly operating results or those of others in our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arising if U.S. inflationary, tariffs and other trade and/or currency devaluation trends continue or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results of operations that otherwise fail to meet the expectations of securities analysts and investors;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earnings estimates or recommendations by securities analysts, or other changes in investor perceptions of the investment opportunity associated with our common stock relative to other investment alternatives;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conditions in the semiconductor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volatility caused by the rapidly evolving AI-related developments;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failure to meet our publicly announced guidance or other expectations about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publications, reports or other media exposure of our products or those of others in our industry, or of our industry generally;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additions or departures of key management personnel;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regulatory actions involving us or others in our industry, or actual or anticipated changes in applicable government regulations or enforcement thereof;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development and sustainability of an active trading market for our common stock;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general economic and securities market conditions, including rising interest rates;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other factors discussed in this “Risk Factors” section and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the stock market in general has experienced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Since our stock price may be volatile,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fail to meet our publicly announced guidance or other expectations about our business, which could cause our stock price to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equity research analysts or industry analysts do not publish research or reports about our business, or if they change their recommendations regarding our common stock adversely, our stock price and trading volume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Sales of a substantial number of shares of our common stock in the public market could cause our stock price to fall.</w:t>
      </w:r>
    </w:p>
    <w:p>
      <w:pPr>
        <w:pStyle w:val="TextBody"/>
        <w:bidi w:val="0"/>
        <w:spacing w:lineRule="auto" w:line="288" w:before="180" w:after="283"/>
        <w:jc w:val="both"/>
        <w:rPr/>
      </w:pPr>
      <w:r>
        <w:rPr>
          <w:rFonts w:ascii="Arial;sans-serif" w:hAnsi="Arial;sans-serif"/>
          <w:b w:val="false"/>
          <w:color w:val="000000"/>
          <w:sz w:val="19"/>
          <w:shd w:fill="FFFFFF" w:val="clear"/>
        </w:rPr>
        <w:t xml:space="preserve">If our existing stockholders, including current or former employees sell, or indicate an intention to sell, substantial amounts of our common stock in the public market, the market price of our common stock could decline. As of December 31, 2025, we had approximately </w:t>
      </w:r>
      <w:r>
        <w:rPr>
          <w:rFonts w:ascii="Arial;sans-serif" w:hAnsi="Arial;sans-serif"/>
          <w:b w:val="false"/>
          <w:color w:val="000000"/>
          <w:sz w:val="19"/>
        </w:rPr>
        <w:t xml:space="preserve">44.3 million </w:t>
      </w:r>
      <w:r>
        <w:rPr>
          <w:rFonts w:ascii="Arial;sans-serif" w:hAnsi="Arial;sans-serif"/>
          <w:b w:val="false"/>
          <w:color w:val="000000"/>
          <w:sz w:val="19"/>
          <w:shd w:fill="FFFFFF" w:val="clear"/>
        </w:rPr>
        <w:t>shares of common stock outstanding.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executive officers, directors and stockholders affiliated with our directors may also buy or sell additional shares outside of a Rule 10b5-1 plan when they are not in possession of material, nonpublic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K. Charles Janac, our President, Chief Executive Officer and Chairman, beneficially owns a significant percentage of our common stock and will be able to exert significant control over matters subject to stockholder approval.</w:t>
      </w:r>
    </w:p>
    <w:p>
      <w:pPr>
        <w:pStyle w:val="TextBody"/>
        <w:bidi w:val="0"/>
        <w:spacing w:lineRule="auto" w:line="288" w:before="180" w:after="283"/>
        <w:jc w:val="both"/>
        <w:rPr/>
      </w:pPr>
      <w:r>
        <w:rPr>
          <w:rFonts w:ascii="Arial;sans-serif" w:hAnsi="Arial;sans-serif"/>
          <w:b w:val="false"/>
          <w:color w:val="000000"/>
          <w:sz w:val="19"/>
          <w:shd w:fill="FFFFFF" w:val="clear"/>
        </w:rPr>
        <w:t>As of December 31, 2025, K. Charles Janac, our President, Chief Executive Officer and Chairman, held voting power over approximate</w:t>
      </w:r>
      <w:r>
        <w:rPr>
          <w:rFonts w:ascii="Arial;sans-serif" w:hAnsi="Arial;sans-serif"/>
          <w:b w:val="false"/>
          <w:color w:val="000000"/>
          <w:sz w:val="19"/>
        </w:rPr>
        <w:t>ly 21.6% of our outstanding voting stock. T</w:t>
      </w:r>
      <w:r>
        <w:rPr>
          <w:rFonts w:ascii="Arial;sans-serif" w:hAnsi="Arial;sans-serif"/>
          <w:b w:val="false"/>
          <w:color w:val="000000"/>
          <w:sz w:val="19"/>
          <w:shd w:fill="FFFFFF" w:val="clear"/>
        </w:rPr>
        <w: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issuance of additional capital stock in connection with financings, acquisitions, investments, our stock incentive plans or otherwise could dilute the ownership and voting power of our other stockholders.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300,000,000 shares of common stock authorized as of December 31, 2025.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do not expect to declare or pay any dividends on our common stock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for additional information.</w:t>
      </w:r>
    </w:p>
    <w:p>
      <w:pPr>
        <w:pStyle w:val="TextBody"/>
        <w:bidi w:val="0"/>
        <w:spacing w:lineRule="auto" w:line="288" w:before="180" w:after="283"/>
        <w:jc w:val="both"/>
        <w:rPr/>
      </w:pPr>
      <w:r>
        <w:rPr>
          <w:rFonts w:ascii="Arial;sans-serif" w:hAnsi="Arial;sans-serif"/>
          <w:b/>
          <w:i/>
          <w:color w:val="000000"/>
          <w:sz w:val="19"/>
          <w:shd w:fill="FFFFFF" w:val="clear"/>
        </w:rPr>
        <w:t>Provisions</w:t>
      </w:r>
      <w:r>
        <w:rPr>
          <w:color w:val="000000"/>
        </w:rPr>
        <w:t xml:space="preserve"> </w:t>
      </w:r>
      <w:r>
        <w:rPr>
          <w:rFonts w:ascii="Arial;sans-serif" w:hAnsi="Arial;sans-serif"/>
          <w:b/>
          <w:i/>
          <w:color w:val="000000"/>
          <w:sz w:val="19"/>
        </w:rPr>
        <w:t>in our Certificate of Incorporation and Bylaws and under the DGCL contain antitakeover provisions that could prevent or discourage a takeover</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classified board of directors with three-year staggered terms, which may have the effect of deferring, delaying or discouraging hostile takeovers, or changes in control of us or our management;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 cumulative voting in the election of directors, which limits the ability of minority stockholders to elect director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alter our bylaws without obtaining stockholder approval;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prohibition on stockholder action by written consent, which forces stockholder action to be taken at an annual or special meeting of our stockholders;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180" w:after="283"/>
        <w:jc w:val="both"/>
        <w:rPr/>
      </w:pPr>
      <w:r>
        <w:rPr>
          <w:rFonts w:ascii="Arial;sans-serif" w:hAnsi="Arial;sans-serif"/>
          <w:b w:val="false"/>
          <w:color w:val="000000"/>
          <w:sz w:val="19"/>
          <w:shd w:fill="FFFFFF" w:val="clear"/>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w:t>
      </w:r>
      <w:r>
        <w:rPr>
          <w:color w:val="000000"/>
        </w:rPr>
        <w:t xml:space="preserve"> </w:t>
      </w:r>
      <w:r>
        <w:rPr>
          <w:rFonts w:ascii="Arial;sans-serif" w:hAnsi="Arial;sans-serif"/>
          <w:b w:val="false"/>
          <w:color w:val="000000"/>
          <w:sz w:val="19"/>
        </w:rPr>
        <w:t>purchasing or otherwise acquiring any interest in shares of our capital stock shall be deemed to have notice of and to have consented to the provisions of our Certificate of Incorporation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We</w:t>
      </w:r>
      <w:r>
        <w:rPr>
          <w:color w:val="000000"/>
        </w:rPr>
        <w:t xml:space="preserve"> </w:t>
      </w:r>
      <w:r>
        <w:rPr>
          <w:rFonts w:ascii="Arial;sans-serif" w:hAnsi="Arial;sans-serif"/>
          <w:b w:val="false"/>
          <w:color w:val="000000"/>
          <w:sz w:val="19"/>
        </w:rPr>
        <w:t>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General Risk Factors</w:t>
      </w:r>
    </w:p>
    <w:p>
      <w:pPr>
        <w:pStyle w:val="TextBody"/>
        <w:bidi w:val="0"/>
        <w:spacing w:lineRule="auto" w:line="288" w:before="180" w:after="283"/>
        <w:jc w:val="both"/>
        <w:rPr/>
      </w:pPr>
      <w:r>
        <w:rPr>
          <w:rFonts w:ascii="Arial;sans-serif" w:hAnsi="Arial;sans-serif"/>
          <w:b/>
          <w:i/>
          <w:color w:val="000000"/>
          <w:sz w:val="19"/>
          <w:shd w:fill="FFFFFF" w:val="clear"/>
        </w:rPr>
        <w:t>Actions</w:t>
      </w:r>
      <w:r>
        <w:rPr>
          <w:color w:val="000000"/>
        </w:rPr>
        <w:t xml:space="preserve"> </w:t>
      </w:r>
      <w:r>
        <w:rPr>
          <w:rFonts w:ascii="Arial;sans-serif" w:hAnsi="Arial;sans-serif"/>
          <w:b/>
          <w:i/>
          <w:color w:val="000000"/>
          <w:sz w:val="19"/>
        </w:rPr>
        <w:t>of stockholders could cause us to incur substantial costs, divert management’s attention and resources and have an adverse effect on our business</w:t>
      </w:r>
      <w:r>
        <w:rPr>
          <w:rFonts w:ascii="Arial;sans-serif" w:hAnsi="Arial;sans-serif"/>
          <w:b w:val="false"/>
          <w:color w:val="000000"/>
          <w:sz w:val="19"/>
        </w:rPr>
        <w:t>.</w:t>
      </w:r>
    </w:p>
    <w:p>
      <w:pPr>
        <w:pStyle w:val="TextBody"/>
        <w:bidi w:val="0"/>
        <w:spacing w:lineRule="auto" w:line="288" w:before="180" w:after="283"/>
        <w:jc w:val="both"/>
        <w:rPr/>
      </w:pPr>
      <w:r>
        <w:rPr>
          <w:rFonts w:ascii="Arial;sans-serif" w:hAnsi="Arial;sans-serif"/>
          <w:b w:val="false"/>
          <w:color w:val="000000"/>
          <w:sz w:val="19"/>
          <w:shd w:fill="FFFFFF" w:val="clear"/>
        </w:rPr>
        <w:t>As</w:t>
      </w:r>
      <w:r>
        <w:rPr>
          <w:color w:val="000000"/>
        </w:rPr>
        <w:t xml:space="preserve"> </w:t>
      </w:r>
      <w:r>
        <w:rPr>
          <w:rFonts w:ascii="Arial;sans-serif" w:hAnsi="Arial;sans-serif"/>
          <w:b w:val="false"/>
          <w:color w:val="000000"/>
          <w:sz w:val="19"/>
        </w:rPr>
        <w:t>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pStyle w:val="TextBody"/>
        <w:bidi w:val="0"/>
        <w:spacing w:lineRule="auto" w:line="288" w:before="180" w:after="283"/>
        <w:jc w:val="both"/>
        <w:rPr/>
      </w:pPr>
      <w:r>
        <w:rPr>
          <w:rFonts w:ascii="Arial;sans-serif" w:hAnsi="Arial;sans-serif"/>
          <w:b/>
          <w:i/>
          <w:color w:val="000000"/>
          <w:sz w:val="19"/>
          <w:shd w:fill="FFFFFF" w:val="clear"/>
        </w:rPr>
        <w:t>Litigation</w:t>
      </w:r>
      <w:r>
        <w:rPr>
          <w:rFonts w:ascii="Arial;sans-serif" w:hAnsi="Arial;sans-serif"/>
          <w:b/>
          <w:i/>
          <w:color w:val="000000"/>
          <w:sz w:val="19"/>
        </w:rPr>
        <w:t>, including securities class action litigation, may impair our reputation and lead us to incur significant costs. For example, we are currently involved in ongoing litigation related to patent infringement claims.</w:t>
      </w:r>
    </w:p>
    <w:p>
      <w:pPr>
        <w:pStyle w:val="TextBody"/>
        <w:bidi w:val="0"/>
        <w:spacing w:lineRule="auto" w:line="288" w:before="180" w:after="283"/>
        <w:jc w:val="both"/>
        <w:rPr/>
      </w:pPr>
      <w:r>
        <w:rPr>
          <w:rFonts w:ascii="Arial;sans-serif" w:hAnsi="Arial;sans-serif"/>
          <w:b w:val="false"/>
          <w:color w:val="000000"/>
          <w:sz w:val="19"/>
          <w:shd w:fill="FFFFFF" w:val="clear"/>
        </w:rPr>
        <w:t>From</w:t>
      </w:r>
      <w:r>
        <w:rPr>
          <w:color w:val="000000"/>
        </w:rPr>
        <w:t xml:space="preserve"> </w:t>
      </w:r>
      <w:r>
        <w:rPr>
          <w:rFonts w:ascii="Arial;sans-serif" w:hAnsi="Arial;sans-serif"/>
          <w:b w:val="false"/>
          <w:color w:val="000000"/>
          <w:sz w:val="19"/>
        </w:rPr>
        <w:t>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pStyle w:val="TextBody"/>
        <w:bidi w:val="0"/>
        <w:spacing w:lineRule="auto" w:line="288" w:before="180" w:after="283"/>
        <w:jc w:val="both"/>
        <w:rPr/>
      </w:pPr>
      <w:r>
        <w:rPr>
          <w:rFonts w:ascii="Arial;sans-serif" w:hAnsi="Arial;sans-serif"/>
          <w:b w:val="false"/>
          <w:color w:val="000000"/>
          <w:sz w:val="19"/>
          <w:shd w:fill="FFFFFF" w:val="clear"/>
        </w:rPr>
        <w:t>Although</w:t>
      </w:r>
      <w:r>
        <w:rPr>
          <w:color w:val="000000"/>
        </w:rPr>
        <w:t xml:space="preserve"> </w:t>
      </w:r>
      <w:r>
        <w:rPr>
          <w:rFonts w:ascii="Arial;sans-serif" w:hAnsi="Arial;sans-serif"/>
          <w:b w:val="false"/>
          <w:color w:val="000000"/>
          <w:sz w:val="19"/>
        </w:rPr>
        <w:t>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Item 1C. Cybersecurity Risk Management and Strategy</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have developed and implemented a cybersecurity risk management program intended to protect the confidentiality, integrity, and availability of our critical systems and information and is designed to identify, assess, prioritize and manage cybersecurity threats.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As part of our comprehensive risk management program, our cybersecurity risk management program includes methodologies, reporting channels and governance processes that apply across the enterprise to other legal, compliance, strategic, operational, and financial risk areas.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cybersecurity risk management program includes: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Risk assessments designed to help identify cybersecurity risks to our critical systems, information, products, services, and our broader enterprise IT environment;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management team, including the Chief Financial Officer (CFO), head of information technology (Head of IT), General Counsel/Chief Compliance Officer, and Deputy General Counsel (together, the Cybersecurity Management Team) responsible for managing and communicating priorities related to (1) our cybersecurity risk assessment processes, (2) our security controls, and (3) our response to cybersecurity incidents;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use of external service providers, where appropriate, to assess, test or otherwise assist with aspects of our cybersecurity risk management program;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Cybersecurity awareness training of our employees, incident response personnel, and senior management;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cybersecurity incident response plan that includes procedures for responding to cybersecurity incidents;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third-party risk management process to oversee and identify cybersecurity risks for our use of service providers, suppliers, and vendors.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Cybersecurity Management Team is responsible for assessing and managing our material risks from cybersecurity threats. The Head of IT has primary responsibility for our overall cybersecurity risk management program and supervises both our internal IT personnel and our retained external cybersecurity consultants. Our Head of IT has served in various roles in information technology and information security for over 18 years. Our Deputy General Counsel has over 25 years of experience as an attorney and holds various certifications related to privacy and data protection.</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Cybersecurity Management Team is informed about and monitors the prevention, detection, mitigation, and remediation of cybersecurity risks and incidents through various means, which may include among other things, briefings with internal security personnel, threat intelligence and other information obtained from governmental, public or private sources, including external consultants engaged by us, and alerts and reports produced by security tools deployed in our IT environment.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have not at this time identified risks from known cybersecurity threats, including as a result of any prior cybersecurity events,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Factors—Risks Related to Intellectual Property, Information Technology and Data Security and Privacy—Cybersecurity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Cybersecurity Board Governance</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Our board of directors considers cybersecurity risk as part of its risk oversight function. The Cybersecurity Management Team updates the board of directors, as necessary, regarding any significant cybersecurity incidents.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board of directors receives briefings from management and the Cybersecurity Management Team periodically on our cyber risk management program and presentations on cybersecurity topics as part of the board of directors’ continuing education on topics that impact public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180" w:after="283"/>
        <w:jc w:val="both"/>
        <w:rPr/>
      </w:pPr>
      <w:r>
        <w:rPr>
          <w:rFonts w:ascii="Arial;sans-serif" w:hAnsi="Arial;sans-serif"/>
          <w:b w:val="false"/>
          <w:color w:val="000000"/>
          <w:sz w:val="19"/>
          <w:shd w:fill="FFFFFF" w:val="clear"/>
        </w:rPr>
        <w:t>Our principal executive office is located in Campbell, California. We currently lease offices in the United States in Campbell, California and Austin, Texas which consists of approximate</w:t>
      </w:r>
      <w:r>
        <w:rPr>
          <w:rFonts w:ascii="Arial;sans-serif" w:hAnsi="Arial;sans-serif"/>
          <w:b w:val="false"/>
          <w:color w:val="000000"/>
          <w:sz w:val="19"/>
        </w:rPr>
        <w:t>ly 15,500 square fe</w:t>
      </w:r>
      <w:r>
        <w:rPr>
          <w:rFonts w:ascii="Arial;sans-serif" w:hAnsi="Arial;sans-serif"/>
          <w:b w:val="false"/>
          <w:color w:val="000000"/>
          <w:sz w:val="19"/>
          <w:shd w:fill="FFFFFF" w:val="clear"/>
        </w:rPr>
        <w:t>et of space. We also lease space in France, Poland, China, Japan, Taiwan and South Korea.</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lease all our facilities and do not own any real property. We believe our existing facilities are adequate and suitable for our current needs and that, should it be needed, suitable additional or alternative space will be available on commercially reasonable terms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3. Legal Proceedings</w:t>
      </w:r>
    </w:p>
    <w:p>
      <w:pPr>
        <w:pStyle w:val="TextBody"/>
        <w:bidi w:val="0"/>
        <w:spacing w:lineRule="auto" w:line="288" w:before="180" w:after="283"/>
        <w:jc w:val="both"/>
        <w:rPr/>
      </w:pPr>
      <w:r>
        <w:rPr>
          <w:rFonts w:ascii="Arial;sans-serif" w:hAnsi="Arial;sans-serif"/>
          <w:b w:val="false"/>
          <w:color w:val="000000"/>
          <w:sz w:val="19"/>
        </w:rPr>
        <w:t xml:space="preserve">Refer to Note 11 </w:t>
      </w:r>
      <w:r>
        <w:rPr>
          <w:rFonts w:ascii="Arial;sans-serif" w:hAnsi="Arial;sans-serif"/>
          <w:b w:val="false"/>
          <w:color w:val="000000"/>
          <w:sz w:val="19"/>
          <w:shd w:fill="FFFFFF" w:val="clear"/>
        </w:rPr>
        <w:t>to our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180" w:after="283"/>
        <w:jc w:val="left"/>
        <w:rPr>
          <w:rFonts w:ascii="Arial;sans-serif" w:hAnsi="Arial;sans-serif"/>
          <w:b/>
          <w:color w:val="000000"/>
          <w:sz w:val="19"/>
        </w:rPr>
      </w:pPr>
      <w:r>
        <w:rPr>
          <w:rFonts w:ascii="Arial;sans-serif" w:hAnsi="Arial;sans-serif"/>
          <w:b/>
          <w:color w:val="000000"/>
          <w:sz w:val="19"/>
        </w:rPr>
        <w:t>Market Price of Our Common Stock</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common stock, par value $0.001 per share, is listed on the Nasdaq Stock Market, under the symbol “AIP” and began trading on October 27, 2021. Prior to that date, there was no public trading market for our common stock.</w:t>
      </w:r>
    </w:p>
    <w:p>
      <w:pPr>
        <w:pStyle w:val="TextBody"/>
        <w:bidi w:val="0"/>
        <w:spacing w:lineRule="auto" w:line="288" w:before="180" w:after="283"/>
        <w:jc w:val="left"/>
        <w:rPr>
          <w:rFonts w:ascii="Arial;sans-serif" w:hAnsi="Arial;sans-serif"/>
          <w:b/>
          <w:color w:val="000000"/>
          <w:sz w:val="19"/>
        </w:rPr>
      </w:pPr>
      <w:r>
        <w:rPr>
          <w:rFonts w:ascii="Arial;sans-serif" w:hAnsi="Arial;sans-serif"/>
          <w:b/>
          <w:color w:val="000000"/>
          <w:sz w:val="19"/>
        </w:rPr>
        <w:t>Holders of Record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As of February 5, 2026, there were 513 stockholders of record of our common stock. The actual number of holders of our common stock 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pStyle w:val="TextBody"/>
        <w:bidi w:val="0"/>
        <w:spacing w:lineRule="auto" w:line="288" w:before="180" w:after="283"/>
        <w:jc w:val="left"/>
        <w:rPr>
          <w:rFonts w:ascii="Arial;sans-serif" w:hAnsi="Arial;sans-serif"/>
          <w:b/>
          <w:color w:val="000000"/>
          <w:sz w:val="19"/>
        </w:rPr>
      </w:pPr>
      <w:r>
        <w:rPr>
          <w:rFonts w:ascii="Arial;sans-serif" w:hAnsi="Arial;sans-serif"/>
          <w:b/>
          <w:color w:val="000000"/>
          <w:sz w:val="19"/>
        </w:rPr>
        <w:t>Dividend Policy</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Securities Authorized for Issuance under Equity Compensation Plans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information required by this item is incorporated by reference to the definitive Proxy Statement for our 2025 Annual Meeting of Stockholders, which will be filed with the SEC no later than 120 days after December 31, 2025.</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 xml:space="preserve">Recent Sales of Unregistered Equity Securities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None.</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Use of Proceeds</w:t>
      </w:r>
    </w:p>
    <w:p>
      <w:pPr>
        <w:pStyle w:val="TextBody"/>
        <w:bidi w:val="0"/>
        <w:spacing w:lineRule="auto" w:line="288" w:before="180" w:after="283"/>
        <w:jc w:val="both"/>
        <w:rPr/>
      </w:pPr>
      <w:r>
        <w:rPr>
          <w:rFonts w:ascii="Arial;sans-serif" w:hAnsi="Arial;sans-serif"/>
          <w:b w:val="false"/>
          <w:color w:val="000000"/>
          <w:sz w:val="19"/>
        </w:rPr>
        <w:t xml:space="preserve">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w:t>
      </w:r>
      <w:r>
        <w:rPr>
          <w:rFonts w:ascii="Arial;sans-serif" w:hAnsi="Arial;sans-serif"/>
          <w:b w:val="false"/>
          <w:color w:val="000000"/>
          <w:sz w:val="19"/>
          <w:shd w:fill="FFFFFF" w:val="clear"/>
        </w:rPr>
        <w:t>$3.8 million</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Jefferies LLC and Cowen served as lead book-running managers and BMO Capital Markets served as joint book-running manager for the offering. Northland Capital Markets and Rosenblatt Securities acted as co-managers.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No payments were made to our directors or officers or their associates, holders of 10% or more of any class of our equity securities or any affiliates in connection with the issuance and sale of the securities registered.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There has been no material change in the planned use of proceeds from our IPO as described in our Final Prospectus for the IPO dated as of October 26, 2021, and filed with the SEC pursuant to Rule 424(b)(4) on October 28, 2021.</w:t>
      </w: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Issuer Purchases of Equity Securities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Item 6.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The following discussion and analysis of our financial condition and results of operations should be read in conjunction with our consolidated financial statements and related notes included under Part II, Item 8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and elsewhere in this Annual Report on Form 10-K. You should carefully read the “Risk Factors” section of this Annual Report on Form 10-K to gain an understanding of the important factors that could cause actual results to differ materially from forward-looking statements. Please also see the section under the heading “Cautionary Note Regarding Forward-Looking Statements.”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Unless the context otherwise requires, all references in this report to “we,” “us,” “our,” the “Company,” and “Arteris” refer to Arteris,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Overview</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 leading provider of semiconductor system IP, including interconnect and other intellectual property (collectively, System IP) technology. Our System IP technology manages on-chip communications and IP block deployments by helping to enable the underlying data movement across chiplets, single-die and multi-die System-on-Chip (SoC) semiconductors. Our leading proprietary System IP solutions achieve this by connecting various semiconductor IP blocks such as processors, memory and logic via multiple Network-on-Chips (NoCs) in order for our customers to meet functional design goals as well as performance and power requirements, while addressing design complexity with efficient and lower cost solutions.</w:t>
      </w:r>
    </w:p>
    <w:p>
      <w:pPr>
        <w:pStyle w:val="TextBody"/>
        <w:bidi w:val="0"/>
        <w:spacing w:lineRule="auto" w:line="288" w:before="180" w:after="283"/>
        <w:jc w:val="both"/>
        <w:rPr/>
      </w:pPr>
      <w:r>
        <w:rPr>
          <w:rFonts w:ascii="Arial;sans-serif" w:hAnsi="Arial;sans-serif"/>
          <w:b w:val="false"/>
          <w:color w:val="000000"/>
          <w:sz w:val="19"/>
        </w:rPr>
        <w:t xml:space="preserve">Our SoC Integration Automation software solutions, which were significantly enhanced by our acquisitions of Magillem Design Services S.A. (Magillem) in 2020, Semifore, Inc., (Semifore) in 2022 and Cycuity, Inc. (Cyuity) in 2026,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w:t>
      </w:r>
      <w:r>
        <w:rPr>
          <w:rFonts w:ascii="Arial;sans-serif" w:hAnsi="Arial;sans-serif"/>
          <w:b w:val="false"/>
          <w:color w:val="000000"/>
          <w:sz w:val="19"/>
          <w:shd w:fill="FFFFFF" w:val="clear"/>
        </w:rPr>
        <w:t xml:space="preserve">aerospace and defense, </w:t>
      </w:r>
      <w:r>
        <w:rPr>
          <w:rFonts w:ascii="Arial;sans-serif" w:hAnsi="Arial;sans-serif"/>
          <w:b w:val="false"/>
          <w:color w:val="000000"/>
          <w:sz w:val="19"/>
        </w:rPr>
        <w:t>automotive, communications, consumer electronics, enterprise computing, and industrial markets.</w:t>
      </w:r>
    </w:p>
    <w:p>
      <w:pPr>
        <w:pStyle w:val="TextBody"/>
        <w:bidi w:val="0"/>
        <w:spacing w:lineRule="auto" w:line="288" w:before="180" w:after="283"/>
        <w:jc w:val="both"/>
        <w:rPr/>
      </w:pPr>
      <w:r>
        <w:rPr>
          <w:rFonts w:ascii="Arial;sans-serif" w:hAnsi="Arial;sans-serif"/>
          <w:b w:val="false"/>
          <w:color w:val="000000"/>
          <w:sz w:val="19"/>
          <w:shd w:fill="FFFFFF" w:val="clear"/>
        </w:rPr>
        <w:t>As of December 31, 2025, we had</w:t>
      </w:r>
      <w:r>
        <w:rPr>
          <w:color w:val="000000"/>
        </w:rPr>
        <w:t xml:space="preserve"> </w:t>
      </w:r>
      <w:r>
        <w:rPr>
          <w:rFonts w:ascii="Arial;sans-serif" w:hAnsi="Arial;sans-serif"/>
          <w:b w:val="false"/>
          <w:color w:val="000000"/>
          <w:sz w:val="19"/>
        </w:rPr>
        <w:t>299 emp</w:t>
      </w:r>
      <w:r>
        <w:rPr>
          <w:rFonts w:ascii="Arial;sans-serif" w:hAnsi="Arial;sans-serif"/>
          <w:b w:val="false"/>
          <w:color w:val="000000"/>
          <w:sz w:val="19"/>
          <w:shd w:fill="FFFFFF" w:val="clear"/>
        </w:rPr>
        <w:t xml:space="preserve">loyees and offices </w:t>
      </w:r>
      <w:r>
        <w:rPr>
          <w:rFonts w:ascii="Arial;sans-serif" w:hAnsi="Arial;sans-serif"/>
          <w:b w:val="false"/>
          <w:color w:val="000000"/>
          <w:sz w:val="19"/>
        </w:rPr>
        <w:t>in eleven locations in the United States, France, China, South Korea, Japan, Taiwan and Poland. For the year ende</w:t>
      </w:r>
      <w:r>
        <w:rPr>
          <w:rFonts w:ascii="Arial;sans-serif" w:hAnsi="Arial;sans-serif"/>
          <w:b w:val="false"/>
          <w:color w:val="000000"/>
          <w:sz w:val="19"/>
          <w:shd w:fill="FFFFFF" w:val="clear"/>
        </w:rPr>
        <w:t xml:space="preserve">d December 31, 2025, we generated revenue of $70.6 million, net loss of $34.7 million and net loss per share, basic and diluted of $0.82. As of December 31, 2025, we had Annual Contract Value (as defined below) and Annual Contract Value plus royalties of $77.0 million and </w:t>
      </w:r>
      <w:r>
        <w:rPr>
          <w:rFonts w:ascii="Arial;sans-serif" w:hAnsi="Arial;sans-serif"/>
          <w:b w:val="false"/>
          <w:color w:val="000000"/>
          <w:sz w:val="19"/>
        </w:rPr>
        <w:t>$83.6 million, respectively</w:t>
      </w:r>
      <w:r>
        <w:rPr>
          <w:rFonts w:ascii="Arial;sans-serif" w:hAnsi="Arial;sans-serif"/>
          <w:b w:val="false"/>
          <w:color w:val="000000"/>
          <w:sz w:val="19"/>
          <w:shd w:fill="FFFFFF" w:val="clear"/>
        </w:rPr>
        <w:t>. During the year ended December 31, 2025, our customers had 83 Confirmed Design Starts (as defined below).</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Acquisitions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January 14, 2026, we completed the acquisition of Cycuity. Under the terms of the purchase agreement, we are obligated to pay an aggregate consideration up to $45.0 million, which includes $13.5 million in cash upon closing, $19.5 million in shares of our common stock upon closing and $12.0 million that is payable in shares of our common stock contingent upon Cycuity achieving certain specified booking milestones for the 2026 calendar year. On January 14, 2026, we completed the acquisition for which we paid $14.1 million in cash and issued 1.1 million shares of our common stock. The addition of Cycuity’s technology and expertise strengthens our product portfolio, enabling chip designers to understand and improve data movement security in chiplets and SoCs, and addresses a growing industry concern about the increasing volume of sophisticated cyberattacks targeting the vast amounts of unsecured data moving through semiconductors.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Factors Affecting Our Business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License Agreements with New and Existing Customers</w:t>
      </w:r>
    </w:p>
    <w:p>
      <w:pPr>
        <w:pStyle w:val="TextBody"/>
        <w:bidi w:val="0"/>
        <w:spacing w:lineRule="auto" w:line="288" w:before="180" w:after="283"/>
        <w:jc w:val="both"/>
        <w:rPr/>
      </w:pPr>
      <w:r>
        <w:rPr>
          <w:rFonts w:ascii="Arial;sans-serif" w:hAnsi="Arial;sans-serif"/>
          <w:b w:val="false"/>
          <w:color w:val="000000"/>
          <w:sz w:val="19"/>
          <w:shd w:fill="FFFFFF" w:val="clear"/>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w:t>
      </w:r>
      <w:r>
        <w:rPr>
          <w:rFonts w:ascii="Arial;sans-serif" w:hAnsi="Arial;sans-serif"/>
          <w:b w:val="false"/>
          <w:color w:val="000000"/>
          <w:sz w:val="19"/>
        </w:rPr>
        <w:t>d, multi-year p</w:t>
      </w:r>
      <w:r>
        <w:rPr>
          <w:rFonts w:ascii="Arial;sans-serif" w:hAnsi="Arial;sans-serif"/>
          <w:b w:val="false"/>
          <w:color w:val="000000"/>
          <w:sz w:val="19"/>
          <w:shd w:fill="FFFFFF" w:val="clear"/>
        </w:rPr>
        <w:t>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typically lasts for up to seven years depending on the particular market. Any significant delay in the ramp-up of volume production of the customer’s products into which our product is designed could adversely affect our business due to delayed or significantly reduced revenues. Further, because the average selling prices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pStyle w:val="TextBody"/>
        <w:bidi w:val="0"/>
        <w:spacing w:lineRule="auto" w:line="288" w:before="180" w:after="283"/>
        <w:jc w:val="left"/>
        <w:rPr>
          <w:rFonts w:ascii="Arial;sans-serif" w:hAnsi="Arial;sans-serif"/>
          <w:b/>
          <w:i/>
          <w:color w:val="000000"/>
          <w:sz w:val="19"/>
        </w:rPr>
      </w:pPr>
      <w:r>
        <w:rPr>
          <w:rFonts w:ascii="Arial;sans-serif" w:hAnsi="Arial;sans-serif"/>
          <w:b/>
          <w:i/>
          <w:color w:val="000000"/>
          <w:sz w:val="19"/>
        </w:rPr>
        <w:t>End Customer Product Demand and Market Conditions</w:t>
      </w:r>
    </w:p>
    <w:p>
      <w:pPr>
        <w:pStyle w:val="TextBody"/>
        <w:bidi w:val="0"/>
        <w:spacing w:lineRule="auto" w:line="288" w:before="180" w:after="283"/>
        <w:jc w:val="both"/>
        <w:rPr/>
      </w:pPr>
      <w:r>
        <w:rPr>
          <w:rFonts w:ascii="Arial;sans-serif" w:hAnsi="Arial;sans-serif"/>
          <w:b w:val="false"/>
          <w:color w:val="000000"/>
          <w:sz w:val="19"/>
          <w:shd w:fill="FFFFFF" w:val="clear"/>
        </w:rPr>
        <w:t>Demand for our interconnect IP solutions and associated royalty revenue is highly dependent on market conditions in the end markets in which our customers operate. These end markets, which include the automotive, enterprise computing, communications, artificial intelligence and machine learning,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and global trade restrictions resulting in fewer semiconductors utilizing our IP solutions being available for sale, our revenue would be adversely affected</w:t>
      </w:r>
      <w:r>
        <w:rPr>
          <w:rFonts w:ascii="Arial;sans-serif" w:hAnsi="Arial;sans-serif"/>
          <w:b w:val="false"/>
          <w:color w:val="000000"/>
          <w:sz w:val="19"/>
        </w:rPr>
        <w:t>. Further, royalty revenue can be significantly impacted period to period due to changing trends in consumer spending, especially as it relates to the automotive, computing and consumer electronics markets.</w:t>
      </w:r>
    </w:p>
    <w:p>
      <w:pPr>
        <w:pStyle w:val="TextBody"/>
        <w:bidi w:val="0"/>
        <w:spacing w:lineRule="auto" w:line="288" w:before="180" w:after="283"/>
        <w:jc w:val="left"/>
        <w:rPr>
          <w:rFonts w:ascii="Arial;sans-serif" w:hAnsi="Arial;sans-serif"/>
          <w:b/>
          <w:i/>
          <w:color w:val="000000"/>
          <w:sz w:val="19"/>
        </w:rPr>
      </w:pPr>
      <w:r>
        <w:rPr>
          <w:rFonts w:ascii="Arial;sans-serif" w:hAnsi="Arial;sans-serif"/>
          <w:b/>
          <w:i/>
          <w:color w:val="000000"/>
          <w:sz w:val="19"/>
        </w:rPr>
        <w:t>Terms of our Agreements with Customers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revenue from period to period can be impacted by the terms of the agreements we enter into with our customers. As a result of how these contracts are structured and the revenue is recognized, our revenue in the year ended December 31, 2025,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Technological Development and Market Growth</w:t>
      </w:r>
    </w:p>
    <w:p>
      <w:pPr>
        <w:pStyle w:val="TextBody"/>
        <w:bidi w:val="0"/>
        <w:spacing w:lineRule="auto" w:line="288" w:before="180" w:after="283"/>
        <w:jc w:val="both"/>
        <w:rPr/>
      </w:pPr>
      <w:r>
        <w:rPr>
          <w:rFonts w:ascii="Arial;sans-serif" w:hAnsi="Arial;sans-serif"/>
          <w:b w:val="false"/>
          <w:color w:val="000000"/>
          <w:sz w:val="19"/>
          <w:shd w:fill="FFFFFF" w:val="clear"/>
        </w:rPr>
        <w:t>We believe our growth has been and will continue to be driven by technology trends in our end markets. For example, the requirements of smaller die s</w:t>
      </w:r>
      <w:r>
        <w:rPr>
          <w:rFonts w:ascii="Arial;sans-serif" w:hAnsi="Arial;sans-serif"/>
          <w:b w:val="false"/>
          <w:color w:val="000000"/>
          <w:sz w:val="19"/>
        </w:rPr>
        <w:t>ize, chiplet and multi-chip package design, low</w:t>
      </w:r>
      <w:r>
        <w:rPr>
          <w:rFonts w:ascii="Arial;sans-serif" w:hAnsi="Arial;sans-serif"/>
          <w:b w:val="false"/>
          <w:color w:val="000000"/>
          <w:sz w:val="19"/>
          <w:shd w:fill="FFFFFF" w:val="clear"/>
        </w:rPr>
        <w:t>er power consumption, and a higher frequency of operation and management of critical net latency in a timely and cost-effective manner for on-chip processing in the automotive, enterprise computing, communications, consumer electronics, and industrial markets have resulted in increased SoC design complexity for chips used in these markets. This trend in turn has created increased demand for in-licensing commercial semiconductor design IP, which in turn has positively impacted our revenue and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rPr>
        <w:t>In order to address rapid t</w:t>
      </w:r>
      <w:r>
        <w:rPr>
          <w:rFonts w:ascii="Arial;sans-serif" w:hAnsi="Arial;sans-serif"/>
          <w:b w:val="false"/>
          <w:color w:val="000000"/>
          <w:sz w:val="19"/>
          <w:shd w:fill="FFFFFF" w:val="clear"/>
        </w:rPr>
        <w:t>echnological developments and expand our offerings, we have invested significantly in our research and development efforts. These investments, which continue to include growth in engineering headcount, have resulted in substantially increased research and development expenses. As we continue to invest in our technology and new product design efforts, we anticipate research and development expense will continue to increase on an absolute basis and as a percentage of revenue in the near term. In the medium to longer term, however, while we expect to increase our research and development expense on an absolute basis, we expect this expense to reduce as a percentage of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will continue to evaluate growth opportunities through acquisitions of other businesses.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Impact of Operating Globally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believe our products’ global footprint provides us with the opportunity to enter new markets and accelerate our growth. For 2025, 60.3% of our revenue was derived from sales to customers outside of the United States and 24.5% of our revenue was derived from customers located in China, respectively. For 2024, 62.3% of our revenue was derived from sales to customers outside of the United States and 29.2%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on October 7, 2022 (as further amended),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 Additionally, changes in legislation and regulation as well as the implementation of executive orders and other actions in the United States and other countries, including new trade policies and the imposition of tariffs, may increase costs or make it more difficult to export our products to certain countries.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our global footprint and operations expose us to currency exchange rate movements given we have significant operating expenses denominated in foreign currencies. If the volume of our international operations remains the same or increases and foreign currency exchange rates change, especially the Euro, the impact to our consolidated statements of operations could be significant and may affect the comparability of operating results from period to period.</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Cyclical Nature of the Semiconductor Industry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in which our customers operate is highly cyclical and is characterized by increasingly rapid technological change, regulatory uncertainty, product obsolescence, competitive pricing pressures, evolving industry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During periods of slower growth or industry contractions, our sales generally suffer due to a decrease in customers’ Confirmed Design Starts or in sales of our customers’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Key Performance Indicators</w:t>
      </w:r>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Annual Contract Value</w:t>
      </w:r>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$77.0 million and $60.7 million as of December 31, 2025, and 2024, respectively. In addition, total ACV plus royalties was $83.6 million and $65.1 million as of December 31, 2025, and 2024, respectively. ACV plus royalties is calculated based on ACV and the trailing-twelve-months variable royalties and other revenue. We monitor ACV to measure our success and believe the increase in the number shows our progress in expanding our customers’ adoption of our platform. We believe ACV provides investors with useful information to assess the strength and trajectory of our business as growth demonstrates the expansion of customer adoption of our platform. ACV fluctuates due to a number of factors, including the timing, duration and dollar amount of customer contracts.</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Confirmed Design Starts</w:t>
      </w:r>
    </w:p>
    <w:p>
      <w:pPr>
        <w:pStyle w:val="TextBody"/>
        <w:bidi w:val="0"/>
        <w:spacing w:lineRule="auto" w:line="288" w:before="240" w:after="283"/>
        <w:jc w:val="both"/>
        <w:rPr/>
      </w:pPr>
      <w:r>
        <w:rPr>
          <w:rFonts w:ascii="Arial;sans-serif" w:hAnsi="Arial;sans-serif"/>
          <w:b w:val="false"/>
          <w:color w:val="000000"/>
          <w:sz w:val="19"/>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contributed to a total of</w:t>
      </w:r>
      <w:r>
        <w:rPr>
          <w:color w:val="000000"/>
          <w:shd w:fill="FFFFFF" w:val="clear"/>
        </w:rPr>
        <w:t xml:space="preserve"> </w:t>
      </w:r>
      <w:r>
        <w:rPr>
          <w:rFonts w:ascii="Arial;sans-serif" w:hAnsi="Arial;sans-serif"/>
          <w:b w:val="false"/>
          <w:color w:val="000000"/>
          <w:sz w:val="19"/>
          <w:shd w:fill="FFFFFF" w:val="clear"/>
        </w:rPr>
        <w:t>83 and 76 design starts during the years ended December 31, 2025, and 2024, respectively. We believe that the number of Confirmed Design Starts is an important indicator of the growth of our business and future royalty revenue trends.</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Remaining Performance Obligations</w:t>
      </w:r>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 xml:space="preserve">We define Remaining Performance Obligations (RPO) as the amount of contracted future revenue that has not yet been recognized, including deferred revenue, billed and unbilled cancelable and non-cancelable contracted amounts. </w:t>
      </w:r>
    </w:p>
    <w:p>
      <w:pPr>
        <w:pStyle w:val="TextBody"/>
        <w:bidi w:val="0"/>
        <w:spacing w:lineRule="auto" w:line="288" w:before="180" w:after="283"/>
        <w:jc w:val="both"/>
        <w:rPr/>
      </w:pPr>
      <w:r>
        <w:rPr>
          <w:rFonts w:ascii="Arial;sans-serif" w:hAnsi="Arial;sans-serif"/>
          <w:b w:val="false"/>
          <w:color w:val="000000"/>
          <w:sz w:val="19"/>
        </w:rPr>
        <w:t>The RPO amount is intended to provide visibility into future revenue streams. We expect RPO to fluctuate up or down from period to period for several reasons, including variations in amounts, timing, and duration of customer contracts, as well as the timing of billing cycles for each contract.</w:t>
      </w:r>
      <w:r>
        <w:rPr>
          <w:color w:val="000000"/>
          <w:shd w:fill="FFFFFF" w:val="clear"/>
        </w:rPr>
        <w:t xml:space="preserve"> </w:t>
      </w:r>
      <w:r>
        <w:rPr>
          <w:rFonts w:ascii="Arial;sans-serif" w:hAnsi="Arial;sans-serif"/>
          <w:b w:val="false"/>
          <w:color w:val="000000"/>
          <w:sz w:val="19"/>
          <w:shd w:fill="FFFFFF" w:val="clear"/>
        </w:rPr>
        <w:t xml:space="preserve">Our RPO was $116.8 million and $88.4 million as of December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Components of Our Results of Operations</w:t>
      </w:r>
    </w:p>
    <w:p>
      <w:pPr>
        <w:pStyle w:val="TextBody"/>
        <w:bidi w:val="0"/>
        <w:spacing w:lineRule="auto" w:line="288" w:before="180" w:after="283"/>
        <w:jc w:val="both"/>
        <w:rPr/>
      </w:pPr>
      <w:r>
        <w:rPr>
          <w:rFonts w:ascii="Arial;sans-serif" w:hAnsi="Arial;sans-serif"/>
          <w:b/>
          <w:i/>
          <w:color w:val="000000"/>
          <w:sz w:val="19"/>
          <w:shd w:fill="FFFFFF" w:val="clear"/>
        </w:rPr>
        <w:t xml:space="preserve">Revenue: </w:t>
      </w:r>
      <w:r>
        <w:rPr>
          <w:rFonts w:ascii="Arial;sans-serif" w:hAnsi="Arial;sans-serif"/>
          <w:b w:val="false"/>
          <w:color w:val="000000"/>
          <w:sz w:val="19"/>
          <w:shd w:fill="FFFFFF" w:val="clear"/>
        </w:rPr>
        <w:t>Our revenue is primarily derived from licensing intellectual property, licensing software, support and maintenance services, professional services, training services, and royalties. Our agreements often include other service elements including training and professional services which were immaterial for both the years ended December 31, 2025 and 2024.</w:t>
      </w:r>
    </w:p>
    <w:p>
      <w:pPr>
        <w:pStyle w:val="TextBody"/>
        <w:bidi w:val="0"/>
        <w:spacing w:lineRule="auto" w:line="288" w:before="180" w:after="283"/>
        <w:jc w:val="both"/>
        <w:rPr/>
      </w:pPr>
      <w:r>
        <w:rPr>
          <w:rFonts w:ascii="Arial;sans-serif" w:hAnsi="Arial;sans-serif"/>
          <w:b w:val="false"/>
          <w:color w:val="000000"/>
          <w:sz w:val="19"/>
          <w:shd w:fill="FFFFFF" w:val="clear"/>
        </w:rPr>
        <w:t>Our interconnect solutions product arrangements provide customers the right to software licenses, services, a</w:t>
      </w:r>
      <w:r>
        <w:rPr>
          <w:rFonts w:ascii="Arial;sans-serif" w:hAnsi="Arial;sans-serif"/>
          <w:b w:val="false"/>
          <w:color w:val="000000"/>
          <w:sz w:val="19"/>
        </w:rPr>
        <w:t>nd support and maintenance. We enter into licensing arrangements with customers that typically range from two to three years and generally consist of delivery of a design license that grants the customer the right to us</w:t>
      </w:r>
      <w:r>
        <w:rPr>
          <w:rFonts w:ascii="Arial;sans-serif" w:hAnsi="Arial;sans-serif"/>
          <w:b w:val="false"/>
          <w:color w:val="000000"/>
          <w:sz w:val="19"/>
          <w:shd w:fill="FFFFFF" w:val="clear"/>
        </w:rPr>
        <w:t>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Engineering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Application Engineering Support Services are integral and fundamental to the customer’s ability to derive its intended benefit from the IP.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Besides Application Engineering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we typically continue to provide technical support and software updates throughout the license term even if the customer does not renew these services in subsequent years, making the license term and support and maintenance term co-terminus.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the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pStyle w:val="TextBody"/>
        <w:bidi w:val="0"/>
        <w:spacing w:lineRule="auto" w:line="288" w:before="180" w:after="283"/>
        <w:jc w:val="both"/>
        <w:rPr/>
      </w:pPr>
      <w:r>
        <w:rPr>
          <w:rFonts w:ascii="Arial;sans-serif" w:hAnsi="Arial;sans-serif"/>
          <w:b w:val="false"/>
          <w:color w:val="000000"/>
          <w:sz w:val="19"/>
          <w:shd w:fill="FFFFFF" w:val="clear"/>
        </w:rPr>
        <w:t>Our SoC Integration Automation software products and CSRCompiler product arrangements provide customers with the right to software licenses</w:t>
      </w:r>
      <w:r>
        <w:rPr>
          <w:rFonts w:ascii="Arial;sans-serif" w:hAnsi="Arial;sans-serif"/>
          <w:b w:val="false"/>
          <w:color w:val="000000"/>
          <w:sz w:val="19"/>
        </w:rPr>
        <w:t>, software updates and technical support. The software licenses are time-based with terms generally ranging from one to three years. These arrangements generally have two distinct performance obligations for us that consist of transferring the licensed software and the support and maintenance service. Support and maintenance services consist of a stand-ready obligati</w:t>
      </w:r>
      <w:r>
        <w:rPr>
          <w:rFonts w:ascii="Arial;sans-serif" w:hAnsi="Arial;sans-serif"/>
          <w:b w:val="false"/>
          <w:color w:val="000000"/>
          <w:sz w:val="19"/>
          <w:shd w:fill="FFFFFF" w:val="clear"/>
        </w:rPr>
        <w:t>on to provide technical support and software updates over the support term. The majority of our</w:t>
      </w:r>
      <w:r>
        <w:rPr>
          <w:color w:val="000000"/>
        </w:rPr>
        <w:t xml:space="preserve"> </w:t>
      </w:r>
      <w:r>
        <w:rPr>
          <w:rFonts w:ascii="Arial;sans-serif" w:hAnsi="Arial;sans-serif"/>
          <w:b w:val="false"/>
          <w:color w:val="000000"/>
          <w:sz w:val="19"/>
          <w:shd w:fill="FFFFFF" w:val="clear"/>
        </w:rPr>
        <w:t>SoC Integration Automation software s</w:t>
      </w:r>
      <w:r>
        <w:rPr>
          <w:rFonts w:ascii="Arial;sans-serif" w:hAnsi="Arial;sans-serif"/>
          <w:b w:val="false"/>
          <w:color w:val="000000"/>
          <w:sz w:val="19"/>
        </w:rPr>
        <w:t>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 We record obligations for refunds in accrued expenses and other current liabilities on the consolidated balance sheets.</w:t>
      </w:r>
    </w:p>
    <w:p>
      <w:pPr>
        <w:pStyle w:val="TextBody"/>
        <w:bidi w:val="0"/>
        <w:spacing w:lineRule="auto" w:line="288" w:before="180" w:after="283"/>
        <w:jc w:val="both"/>
        <w:rPr/>
      </w:pPr>
      <w:r>
        <w:rPr>
          <w:rFonts w:ascii="Arial;sans-serif" w:hAnsi="Arial;sans-serif"/>
          <w:b/>
          <w:i/>
          <w:color w:val="000000"/>
          <w:sz w:val="19"/>
          <w:shd w:fill="FFFFFF" w:val="clear"/>
        </w:rPr>
        <w:t>Cost of revenue:</w:t>
      </w:r>
      <w:r>
        <w:rPr>
          <w:color w:val="000000"/>
          <w:shd w:fill="FFFFFF" w:val="clear"/>
        </w:rPr>
        <w:t> </w:t>
      </w:r>
      <w:r>
        <w:rPr>
          <w:rFonts w:ascii="Arial;sans-serif" w:hAnsi="Arial;sans-serif"/>
          <w:b w:val="false"/>
          <w:color w:val="000000"/>
          <w:sz w:val="19"/>
          <w:shd w:fill="FFFFFF" w:val="clear"/>
        </w:rPr>
        <w:t>Cost of revenue relates to costs associated with our licensing agreements and support and maintenance, including applicable application engineers’ personnel-related costs such as stock-based compensation, travel, amortization of developed technology acquired intangibles and allocated overhead. We expect cost of revenue as a percentage of revenue to modestly decline over time due to productivity improvements of our application engineering processes.</w:t>
      </w:r>
    </w:p>
    <w:p>
      <w:pPr>
        <w:pStyle w:val="TextBody"/>
        <w:bidi w:val="0"/>
        <w:spacing w:lineRule="auto" w:line="288" w:before="180" w:after="283"/>
        <w:jc w:val="both"/>
        <w:rPr/>
      </w:pPr>
      <w:r>
        <w:rPr>
          <w:rFonts w:ascii="Arial;sans-serif" w:hAnsi="Arial;sans-serif"/>
          <w:b/>
          <w:i/>
          <w:color w:val="000000"/>
          <w:sz w:val="19"/>
          <w:shd w:fill="FFFFFF" w:val="clear"/>
        </w:rPr>
        <w:t>Allocation of Overhead Costs:</w:t>
      </w:r>
      <w:r>
        <w:rPr>
          <w:color w:val="000000"/>
          <w:shd w:fill="FFFFFF" w:val="clear"/>
        </w:rPr>
        <w:t xml:space="preserve"> </w:t>
      </w:r>
      <w:r>
        <w:rPr>
          <w:rFonts w:ascii="Arial;sans-serif" w:hAnsi="Arial;sans-serif"/>
          <w:b w:val="false"/>
          <w:color w:val="000000"/>
          <w:sz w:val="19"/>
          <w:shd w:fill="FFFFFF" w:val="clear"/>
        </w:rPr>
        <w:t>Overhead costs that are not substantially dedicated for use by a specific functional group are allocated based on headcount. Such costs include costs associated with office facilities, depreciation of property and equipment, certain support function personnel costs and other expenses.</w:t>
      </w:r>
    </w:p>
    <w:p>
      <w:pPr>
        <w:pStyle w:val="TextBody"/>
        <w:bidi w:val="0"/>
        <w:spacing w:lineRule="auto" w:line="288" w:before="180" w:after="283"/>
        <w:jc w:val="both"/>
        <w:rPr/>
      </w:pPr>
      <w:r>
        <w:rPr>
          <w:rFonts w:ascii="Arial;sans-serif" w:hAnsi="Arial;sans-serif"/>
          <w:b/>
          <w:i/>
          <w:color w:val="000000"/>
          <w:sz w:val="19"/>
          <w:shd w:fill="FFFFFF" w:val="clear"/>
        </w:rPr>
        <w:t xml:space="preserve">Research and development (R&amp;D) expenses: </w:t>
      </w:r>
      <w:r>
        <w:rPr>
          <w:rFonts w:ascii="Arial;sans-serif" w:hAnsi="Arial;sans-serif"/>
          <w:b w:val="false"/>
          <w:color w:val="000000"/>
          <w:sz w:val="19"/>
          <w:shd w:fill="FFFFFF" w:val="clear"/>
        </w:rPr>
        <w:t>R&amp;D expenses consist primarily of salaries and associated personnel-related costs, facilities expenses associated with research and development activities, third-party project-related expenses connected with the development of our intellectual property which are expensed as incurred, stock-based compensation expense and other allocated costs. We expect R&amp;D expenses to increase in absolute terms over the long term, and as a percentage of revenue in the short term. We expect R&amp;D expenses to decrease as a percentage of revenue as certain new products are launched in the medium to long term.</w:t>
      </w:r>
    </w:p>
    <w:p>
      <w:pPr>
        <w:pStyle w:val="TextBody"/>
        <w:bidi w:val="0"/>
        <w:spacing w:lineRule="auto" w:line="288" w:before="180" w:after="283"/>
        <w:jc w:val="both"/>
        <w:rPr/>
      </w:pPr>
      <w:r>
        <w:rPr>
          <w:rFonts w:ascii="Arial;sans-serif" w:hAnsi="Arial;sans-serif"/>
          <w:b/>
          <w:i/>
          <w:color w:val="000000"/>
          <w:sz w:val="19"/>
          <w:shd w:fill="FFFFFF" w:val="clear"/>
        </w:rPr>
        <w:t>Sales and marketing (S&amp;M) expenses:</w:t>
      </w:r>
      <w:r>
        <w:rPr>
          <w:color w:val="000000"/>
        </w:rPr>
        <w:t xml:space="preserve"> </w:t>
      </w:r>
      <w:r>
        <w:rPr>
          <w:rFonts w:ascii="Arial;sans-serif" w:hAnsi="Arial;sans-serif"/>
          <w:b w:val="false"/>
          <w:color w:val="000000"/>
          <w:sz w:val="19"/>
          <w:shd w:fill="FFFFFF" w:val="clear"/>
        </w:rPr>
        <w:t>S&amp;M expenses consist primarily of salaries, commissions, travel and other costs associated with S&amp;M activities, as well as advertising, trade show participation, public relations and other marketing activities, stock-based compensation expense and other allocated costs. We expect S&amp;M expenses to increase in absolute terms but decrease as a percentage of revenue due to productivity improvements of our sales processes.</w:t>
      </w:r>
    </w:p>
    <w:p>
      <w:pPr>
        <w:pStyle w:val="TextBody"/>
        <w:bidi w:val="0"/>
        <w:spacing w:lineRule="auto" w:line="288" w:before="180" w:after="283"/>
        <w:jc w:val="both"/>
        <w:rPr/>
      </w:pPr>
      <w:r>
        <w:rPr>
          <w:rFonts w:ascii="Arial;sans-serif" w:hAnsi="Arial;sans-serif"/>
          <w:b/>
          <w:i/>
          <w:color w:val="000000"/>
          <w:sz w:val="19"/>
          <w:shd w:fill="FFFFFF" w:val="clear"/>
        </w:rPr>
        <w:t>General and administrative (G&amp;A) expenses:</w:t>
      </w:r>
      <w:r>
        <w:rPr>
          <w:color w:val="000000"/>
        </w:rPr>
        <w:t xml:space="preserve"> </w:t>
      </w:r>
      <w:r>
        <w:rPr>
          <w:rFonts w:ascii="Arial;sans-serif" w:hAnsi="Arial;sans-serif"/>
          <w:b w:val="false"/>
          <w:color w:val="000000"/>
          <w:sz w:val="19"/>
          <w:shd w:fill="FFFFFF" w:val="clear"/>
        </w:rPr>
        <w:t>G&amp;A expenses consist primarily of salaries for management and administrative employees, depreciation, insurance costs, accounting, legal and consulting fees, other professional service fees, expenses related to the development of corporate initiatives and facilities expenses associated with G&amp;A activities, stock-based compensation expense, fees for directors and other allocated costs. We expect G&amp;A expenses to increase as our business grows. In addition, we expect G&amp;A expenses as a percentage of revenue to vary from period to period but generally decrease over the long term.</w:t>
      </w:r>
    </w:p>
    <w:p>
      <w:pPr>
        <w:pStyle w:val="TextBody"/>
        <w:bidi w:val="0"/>
        <w:spacing w:lineRule="auto" w:line="288" w:before="180" w:after="283"/>
        <w:jc w:val="both"/>
        <w:rPr/>
      </w:pPr>
      <w:r>
        <w:rPr>
          <w:rFonts w:ascii="Arial;sans-serif" w:hAnsi="Arial;sans-serif"/>
          <w:b/>
          <w:i/>
          <w:color w:val="000000"/>
          <w:sz w:val="19"/>
          <w:shd w:fill="FFFFFF" w:val="clear"/>
        </w:rPr>
        <w:t xml:space="preserve">Interest expense: </w:t>
      </w:r>
      <w:r>
        <w:rPr>
          <w:rFonts w:ascii="Arial;sans-serif" w:hAnsi="Arial;sans-serif"/>
          <w:b w:val="false"/>
          <w:color w:val="000000"/>
          <w:sz w:val="19"/>
          <w:shd w:fill="FFFFFF" w:val="clear"/>
        </w:rPr>
        <w:t>Interest expense consists primarily of interest expense on our vendor financing arrangements.</w:t>
      </w:r>
    </w:p>
    <w:p>
      <w:pPr>
        <w:pStyle w:val="TextBody"/>
        <w:bidi w:val="0"/>
        <w:spacing w:lineRule="auto" w:line="288" w:before="180" w:after="283"/>
        <w:jc w:val="both"/>
        <w:rPr/>
      </w:pPr>
      <w:r>
        <w:rPr>
          <w:rFonts w:ascii="Arial;sans-serif" w:hAnsi="Arial;sans-serif"/>
          <w:b/>
          <w:i/>
          <w:color w:val="000000"/>
          <w:sz w:val="19"/>
          <w:shd w:fill="FFFFFF" w:val="clear"/>
        </w:rPr>
        <w:t>Other income (expense), net:</w:t>
      </w:r>
      <w:r>
        <w:rPr>
          <w:color w:val="000000"/>
          <w:shd w:fill="FFFFFF" w:val="clear"/>
        </w:rPr>
        <w:t xml:space="preserve"> </w:t>
      </w:r>
      <w:r>
        <w:rPr>
          <w:rFonts w:ascii="Arial;sans-serif" w:hAnsi="Arial;sans-serif"/>
          <w:b w:val="false"/>
          <w:color w:val="000000"/>
          <w:sz w:val="19"/>
          <w:shd w:fill="FFFFFF" w:val="clear"/>
        </w:rPr>
        <w:t>Other income (expense), net consists primarily of interest income earned on our cash and cash equivalents and available-for-sale investments, gains and losses from foreign currency exchange, gain on deconsolidation of subsidiary, realized gains and losses from available-for-sale investments as well as deferred income.</w:t>
      </w:r>
    </w:p>
    <w:p>
      <w:pPr>
        <w:pStyle w:val="TextBody"/>
        <w:bidi w:val="0"/>
        <w:spacing w:lineRule="auto" w:line="288" w:before="180" w:after="283"/>
        <w:jc w:val="both"/>
        <w:rPr/>
      </w:pPr>
      <w:r>
        <w:rPr>
          <w:rFonts w:ascii="Arial;sans-serif" w:hAnsi="Arial;sans-serif"/>
          <w:b/>
          <w:i/>
          <w:color w:val="000000"/>
          <w:sz w:val="19"/>
          <w:shd w:fill="FFFFFF" w:val="clear"/>
        </w:rPr>
        <w:t xml:space="preserve">Loss from equity method investment: </w:t>
      </w:r>
      <w:r>
        <w:rPr>
          <w:rFonts w:ascii="Arial;sans-serif" w:hAnsi="Arial;sans-serif"/>
          <w:b w:val="false"/>
          <w:color w:val="000000"/>
          <w:sz w:val="19"/>
          <w:shd w:fill="FFFFFF" w:val="clear"/>
        </w:rPr>
        <w:t xml:space="preserve">Loss from equity method investment consists of our proportionate share of net losses from our equity method investee.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19"/>
          <w:shd w:fill="FFFFFF" w:val="clear"/>
        </w:rPr>
        <w:t>Provision for income taxes:</w:t>
      </w:r>
      <w:r>
        <w:rPr>
          <w:color w:val="000000"/>
          <w:shd w:fill="FFFFFF" w:val="clear"/>
        </w:rPr>
        <w:t xml:space="preserve"> </w:t>
      </w:r>
      <w:r>
        <w:rPr>
          <w:rFonts w:ascii="Arial;sans-serif" w:hAnsi="Arial;sans-serif"/>
          <w:b w:val="false"/>
          <w:color w:val="000000"/>
          <w:sz w:val="19"/>
          <w:shd w:fill="FFFFFF" w:val="clear"/>
        </w:rPr>
        <w:t>Our income tax provision consists primarily of income taxes in certain foreign jurisdictions in which we conduct business and includes foreign non-recoverabl</w:t>
      </w:r>
      <w:r>
        <w:rPr>
          <w:rFonts w:ascii="Arial;sans-serif" w:hAnsi="Arial;sans-serif"/>
          <w:b w:val="false"/>
          <w:color w:val="000000"/>
          <w:sz w:val="19"/>
        </w:rPr>
        <w:t>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our GAAP results of operations for the periods presented. The results below are not necessarily indicative of results to be expected for future periods.</w:t>
      </w:r>
    </w:p>
    <w:tbl>
      <w:tblPr>
        <w:tblW w:w="8776" w:type="dxa"/>
        <w:jc w:val="left"/>
        <w:tblInd w:w="0" w:type="dxa"/>
        <w:tblLayout w:type="fixed"/>
        <w:tblCellMar>
          <w:top w:w="28" w:type="dxa"/>
          <w:left w:w="28" w:type="dxa"/>
          <w:bottom w:w="28" w:type="dxa"/>
          <w:right w:w="28" w:type="dxa"/>
        </w:tblCellMar>
      </w:tblPr>
      <w:tblGrid>
        <w:gridCol w:w="2148"/>
        <w:gridCol w:w="1885"/>
        <w:gridCol w:w="1891"/>
        <w:gridCol w:w="211"/>
        <w:gridCol w:w="811"/>
        <w:gridCol w:w="109"/>
        <w:gridCol w:w="109"/>
        <w:gridCol w:w="109"/>
        <w:gridCol w:w="109"/>
        <w:gridCol w:w="211"/>
        <w:gridCol w:w="811"/>
        <w:gridCol w:w="109"/>
        <w:gridCol w:w="109"/>
        <w:gridCol w:w="154"/>
      </w:tblGrid>
      <w:tr>
        <w:trPr/>
        <w:tc>
          <w:tcPr>
            <w:tcW w:w="2148"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Cost of revenue </w:t>
            </w:r>
            <w:r>
              <w:rPr>
                <w:rFonts w:ascii="Arial;sans-serif" w:hAnsi="Arial;sans-serif"/>
                <w:b w:val="false"/>
                <w:color w:val="000000"/>
                <w:sz w:val="12"/>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Gross profit</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Operating expenses: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Research and development </w:t>
            </w:r>
            <w:r>
              <w:rPr>
                <w:rFonts w:ascii="Arial;sans-serif" w:hAnsi="Arial;sans-serif"/>
                <w:b w:val="false"/>
                <w:color w:val="000000"/>
                <w:sz w:val="12"/>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Sales and marketing </w:t>
            </w:r>
            <w:r>
              <w:rPr>
                <w:rFonts w:ascii="Arial;sans-serif" w:hAnsi="Arial;sans-serif"/>
                <w:b w:val="false"/>
                <w:color w:val="000000"/>
                <w:sz w:val="12"/>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General and administrative </w:t>
            </w:r>
            <w:r>
              <w:rPr>
                <w:rFonts w:ascii="Arial;sans-serif" w:hAnsi="Arial;sans-serif"/>
                <w:b w:val="false"/>
                <w:color w:val="000000"/>
                <w:sz w:val="12"/>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Loss from operations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income (expense),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Loss before income taxes and loss from equity method investment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Loss from equity method investment, net of tax</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Loss before income taxes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(33,271)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Provision for income taxes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(1)Includes stock-based compensation expense as follows:</w:t>
      </w:r>
    </w:p>
    <w:tbl>
      <w:tblPr>
        <w:tblW w:w="5686" w:type="dxa"/>
        <w:jc w:val="left"/>
        <w:tblInd w:w="0" w:type="dxa"/>
        <w:tblLayout w:type="fixed"/>
        <w:tblCellMar>
          <w:top w:w="28" w:type="dxa"/>
          <w:left w:w="28" w:type="dxa"/>
          <w:bottom w:w="28" w:type="dxa"/>
          <w:right w:w="28" w:type="dxa"/>
        </w:tblCellMar>
      </w:tblPr>
      <w:tblGrid>
        <w:gridCol w:w="1071"/>
        <w:gridCol w:w="940"/>
        <w:gridCol w:w="943"/>
        <w:gridCol w:w="211"/>
        <w:gridCol w:w="751"/>
        <w:gridCol w:w="109"/>
        <w:gridCol w:w="109"/>
        <w:gridCol w:w="109"/>
        <w:gridCol w:w="109"/>
        <w:gridCol w:w="211"/>
        <w:gridCol w:w="751"/>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Sales and marketing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our results of operations as a percentage of total revenue for each of the periods indicated:</w:t>
      </w:r>
    </w:p>
    <w:tbl>
      <w:tblPr>
        <w:tblW w:w="8887" w:type="dxa"/>
        <w:jc w:val="left"/>
        <w:tblInd w:w="0" w:type="dxa"/>
        <w:tblLayout w:type="fixed"/>
        <w:tblCellMar>
          <w:top w:w="28" w:type="dxa"/>
          <w:left w:w="28" w:type="dxa"/>
          <w:bottom w:w="28" w:type="dxa"/>
          <w:right w:w="28" w:type="dxa"/>
        </w:tblCellMar>
      </w:tblPr>
      <w:tblGrid>
        <w:gridCol w:w="2148"/>
        <w:gridCol w:w="1883"/>
        <w:gridCol w:w="1893"/>
        <w:gridCol w:w="240"/>
        <w:gridCol w:w="241"/>
        <w:gridCol w:w="554"/>
        <w:gridCol w:w="210"/>
        <w:gridCol w:w="210"/>
        <w:gridCol w:w="210"/>
        <w:gridCol w:w="240"/>
        <w:gridCol w:w="241"/>
        <w:gridCol w:w="554"/>
        <w:gridCol w:w="109"/>
        <w:gridCol w:w="154"/>
      </w:tblGrid>
      <w:tr>
        <w:trPr/>
        <w:tc>
          <w:tcPr>
            <w:tcW w:w="2148"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c>
          <w:tcPr>
            <w:tcW w:w="263" w:type="dxa"/>
            <w:gridSpan w:val="2"/>
            <w:tcBorders/>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revenue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Cost of revenue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Gross profit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Operating expenses:</w:t>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Sales and marketing</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144 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Loss from operations</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income (expense), net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Loss before income taxes and loss from equity method investment</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Loss from equity method investment, net of tax</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Loss before income taxes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Provision for income taxes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loss</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0"/>
          <w:shd w:fill="FFFFFF" w:val="clear"/>
        </w:rPr>
      </w:pPr>
      <w:r>
        <w:rPr>
          <w:rFonts w:ascii="Arial;sans-serif" w:hAnsi="Arial;sans-serif"/>
          <w:b/>
          <w:color w:val="000000"/>
          <w:sz w:val="20"/>
          <w:shd w:fill="FFFFFF" w:val="clear"/>
        </w:rPr>
        <w:t>Comparison of the Years Ended December 31, 2025, and 2024</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Revenue</w:t>
      </w:r>
    </w:p>
    <w:tbl>
      <w:tblPr>
        <w:tblW w:w="8542" w:type="dxa"/>
        <w:jc w:val="left"/>
        <w:tblInd w:w="0" w:type="dxa"/>
        <w:tblLayout w:type="fixed"/>
        <w:tblCellMar>
          <w:top w:w="28" w:type="dxa"/>
          <w:left w:w="28" w:type="dxa"/>
          <w:bottom w:w="28" w:type="dxa"/>
          <w:right w:w="28" w:type="dxa"/>
        </w:tblCellMar>
      </w:tblPr>
      <w:tblGrid>
        <w:gridCol w:w="1179"/>
        <w:gridCol w:w="1036"/>
        <w:gridCol w:w="103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8"/>
        <w:gridCol w:w="218"/>
        <w:gridCol w:w="331"/>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Licensing, support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Variable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Revenue from licensing, support and maintenance increased by $11.0 million for the year ended December 31, 2025, compared to the year ended December 31, 2024. The increase in revenue from licensing, support and maintenance was primarily due to new license arrangements with existing customers and the addition of new customers. Growth in our variable royalty revenue was primarily due to an increase in product sales from certain existing customers and an increase of $0.3 million from a royalty audit. Other revenue decreased primarily due to revenue from professional services that was recognized during the year ended December 31, 2024, which did not repeat during the year ended December 31, 2025.</w:t>
      </w:r>
    </w:p>
    <w:p>
      <w:pPr>
        <w:pStyle w:val="TextBody"/>
        <w:bidi w:val="0"/>
        <w:spacing w:lineRule="auto" w:line="288" w:before="180" w:after="283"/>
        <w:jc w:val="left"/>
        <w:rPr/>
      </w:pPr>
      <w:r>
        <w:rPr>
          <w:rFonts w:ascii="Arial;sans-serif" w:hAnsi="Arial;sans-serif"/>
          <w:b/>
          <w:i/>
          <w:color w:val="000000"/>
          <w:sz w:val="19"/>
        </w:rPr>
        <w:t>Cost of reven</w:t>
      </w:r>
      <w:r>
        <w:rPr>
          <w:rFonts w:ascii="Arial;sans-serif" w:hAnsi="Arial;sans-serif"/>
          <w:b/>
          <w:i/>
          <w:color w:val="000000"/>
          <w:sz w:val="19"/>
          <w:shd w:fill="FFFFFF" w:val="clear"/>
        </w:rPr>
        <w:t>ue</w:t>
      </w:r>
    </w:p>
    <w:tbl>
      <w:tblPr>
        <w:tblW w:w="5921" w:type="dxa"/>
        <w:jc w:val="left"/>
        <w:tblInd w:w="0" w:type="dxa"/>
        <w:tblLayout w:type="fixed"/>
        <w:tblCellMar>
          <w:top w:w="28" w:type="dxa"/>
          <w:left w:w="28" w:type="dxa"/>
          <w:bottom w:w="28" w:type="dxa"/>
          <w:right w:w="28" w:type="dxa"/>
        </w:tblCellMar>
      </w:tblPr>
      <w:tblGrid>
        <w:gridCol w:w="544"/>
        <w:gridCol w:w="477"/>
        <w:gridCol w:w="479"/>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188"/>
        <w:gridCol w:w="188"/>
        <w:gridCol w:w="331"/>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Cost of revenue increased by $0.9 million, or 16%, for the year ended December 31, 2025, from $6.0 million for the year ended December 31, 2024. The increase in cost of revenue was primarily due to higher employee-related expenses, mainly driven by increased headcount of our application engineers.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Operating expenses</w:t>
      </w:r>
    </w:p>
    <w:tbl>
      <w:tblPr>
        <w:tblW w:w="7391" w:type="dxa"/>
        <w:jc w:val="left"/>
        <w:tblInd w:w="0" w:type="dxa"/>
        <w:tblLayout w:type="fixed"/>
        <w:tblCellMar>
          <w:top w:w="28" w:type="dxa"/>
          <w:left w:w="28" w:type="dxa"/>
          <w:bottom w:w="28" w:type="dxa"/>
          <w:right w:w="28" w:type="dxa"/>
        </w:tblCellMar>
      </w:tblPr>
      <w:tblGrid>
        <w:gridCol w:w="902"/>
        <w:gridCol w:w="793"/>
        <w:gridCol w:w="795"/>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188"/>
        <w:gridCol w:w="188"/>
        <w:gridCol w:w="331"/>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Sales and marketing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Research and development expenses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R&amp;D expenses increased by $4.9 million, or 11%, to $49.9 million for the year ended December 31, 2025, from $45.0 million for the year ended December 31, 2024. The increase in R&amp;D expenses was primarily due to our investments in next generation products. We incurred higher employee-related costs of $4.1 million, mainly driven by increased headcount to support the growth of our business, higher stock-based compensation expense, one-time separation related charges and foreign exchange impact from weakening of the U.S. dollar against the Euro. We also incurred higher professional fees of $1.1 million. These increases were largely offset by higher R&amp;D tax credits of $0.9 million granted to our subsidiary in France.</w:t>
      </w:r>
    </w:p>
    <w:p>
      <w:pPr>
        <w:pStyle w:val="TextBody"/>
        <w:bidi w:val="0"/>
        <w:spacing w:lineRule="auto" w:line="288" w:before="180" w:after="283"/>
        <w:jc w:val="left"/>
        <w:rPr>
          <w:rFonts w:ascii="Arial;sans-serif" w:hAnsi="Arial;sans-serif"/>
          <w:b w:val="false"/>
          <w:i/>
          <w:color w:val="000000"/>
          <w:sz w:val="19"/>
        </w:rPr>
      </w:pPr>
      <w:r>
        <w:rPr>
          <w:rFonts w:ascii="Arial;sans-serif" w:hAnsi="Arial;sans-serif"/>
          <w:b w:val="false"/>
          <w:i/>
          <w:color w:val="000000"/>
          <w:sz w:val="19"/>
        </w:rPr>
        <w:t>Sales and marketing expenses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S&amp;M expenses increased by $6.0 million, or 29%, to $26.8 million for the year ended December 31, 2025, from $20.8 million for the year ended December 31, 2024. The increase in S&amp;M expenses was primarily due to higher employee-related costs of $5.1 million mainly driven by increased headcount to support the growth of our business, higher stock-based compensation expense and one-time separation related charges.</w:t>
      </w:r>
    </w:p>
    <w:p>
      <w:pPr>
        <w:pStyle w:val="TextBody"/>
        <w:bidi w:val="0"/>
        <w:spacing w:lineRule="auto" w:line="288" w:before="180" w:after="283"/>
        <w:jc w:val="left"/>
        <w:rPr>
          <w:rFonts w:ascii="Arial;sans-serif" w:hAnsi="Arial;sans-serif"/>
          <w:b w:val="false"/>
          <w:i/>
          <w:color w:val="000000"/>
          <w:sz w:val="19"/>
        </w:rPr>
      </w:pPr>
      <w:r>
        <w:rPr>
          <w:rFonts w:ascii="Arial;sans-serif" w:hAnsi="Arial;sans-serif"/>
          <w:b w:val="false"/>
          <w:i/>
          <w:color w:val="000000"/>
          <w:sz w:val="19"/>
        </w:rPr>
        <w:t>General and administrative expenses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G&amp;A expenses increased by $2.6 million, or 15%, to $20.1 million for the year ended December 31, 2025, from $17.6 million for the year ended December 31, 2024. The increase in G&amp;A expenses was primarily due to higher legal and consulting services associated with acquisition-related activities of $1.4 million, higher employee-related costs of $0.8 million mainly driven by increased headcount to support the growth of our business and higher stock-based compensation expense of $0.5 million. These increases were partially offset by lower professional fees of $0.7 million.</w:t>
      </w:r>
    </w:p>
    <w:p>
      <w:pPr>
        <w:pStyle w:val="TextBody"/>
        <w:bidi w:val="0"/>
        <w:spacing w:lineRule="auto" w:line="288" w:before="180" w:after="283"/>
        <w:jc w:val="left"/>
        <w:rPr>
          <w:rFonts w:ascii="Arial;sans-serif" w:hAnsi="Arial;sans-serif"/>
          <w:b/>
          <w:i/>
          <w:color w:val="000000"/>
          <w:sz w:val="19"/>
        </w:rPr>
      </w:pPr>
      <w:r>
        <w:rPr>
          <w:rFonts w:ascii="Arial;sans-serif" w:hAnsi="Arial;sans-serif"/>
          <w:b/>
          <w:i/>
          <w:color w:val="000000"/>
          <w:sz w:val="19"/>
        </w:rPr>
        <w:t>Interest expense</w:t>
      </w:r>
    </w:p>
    <w:tbl>
      <w:tblPr>
        <w:tblW w:w="5801" w:type="dxa"/>
        <w:jc w:val="left"/>
        <w:tblInd w:w="0" w:type="dxa"/>
        <w:tblLayout w:type="fixed"/>
        <w:tblCellMar>
          <w:top w:w="28" w:type="dxa"/>
          <w:left w:w="28" w:type="dxa"/>
          <w:bottom w:w="28" w:type="dxa"/>
          <w:right w:w="28" w:type="dxa"/>
        </w:tblCellMar>
      </w:tblPr>
      <w:tblGrid>
        <w:gridCol w:w="570"/>
        <w:gridCol w:w="500"/>
        <w:gridCol w:w="504"/>
        <w:gridCol w:w="217"/>
        <w:gridCol w:w="558"/>
        <w:gridCol w:w="112"/>
        <w:gridCol w:w="112"/>
        <w:gridCol w:w="112"/>
        <w:gridCol w:w="112"/>
        <w:gridCol w:w="217"/>
        <w:gridCol w:w="558"/>
        <w:gridCol w:w="112"/>
        <w:gridCol w:w="109"/>
        <w:gridCol w:w="109"/>
        <w:gridCol w:w="109"/>
        <w:gridCol w:w="211"/>
        <w:gridCol w:w="376"/>
        <w:gridCol w:w="109"/>
        <w:gridCol w:w="109"/>
        <w:gridCol w:w="109"/>
        <w:gridCol w:w="109"/>
        <w:gridCol w:w="218"/>
        <w:gridCol w:w="218"/>
        <w:gridCol w:w="331"/>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180" w:after="283"/>
        <w:jc w:val="both"/>
        <w:rPr/>
      </w:pPr>
      <w:r>
        <w:rPr>
          <w:rFonts w:ascii="Arial;sans-serif" w:hAnsi="Arial;sans-serif"/>
          <w:b w:val="false"/>
          <w:color w:val="000000"/>
          <w:sz w:val="19"/>
          <w:shd w:fill="FFFFFF" w:val="clear"/>
        </w:rPr>
        <w:t>Interest expense for the year ended December 31, 2025,</w:t>
      </w:r>
      <w:r>
        <w:rPr>
          <w:color w:val="000000"/>
        </w:rPr>
        <w:t xml:space="preserve"> </w:t>
      </w:r>
      <w:r>
        <w:rPr>
          <w:rFonts w:ascii="Arial;sans-serif" w:hAnsi="Arial;sans-serif"/>
          <w:b w:val="false"/>
          <w:color w:val="000000"/>
          <w:sz w:val="19"/>
        </w:rPr>
        <w:t>remained relatively flat compared to the year ended December 31, 2024.</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Other income (expense), net</w:t>
      </w:r>
    </w:p>
    <w:tbl>
      <w:tblPr>
        <w:tblW w:w="7135" w:type="dxa"/>
        <w:jc w:val="left"/>
        <w:tblInd w:w="0" w:type="dxa"/>
        <w:tblLayout w:type="fixed"/>
        <w:tblCellMar>
          <w:top w:w="28" w:type="dxa"/>
          <w:left w:w="28" w:type="dxa"/>
          <w:bottom w:w="28" w:type="dxa"/>
          <w:right w:w="28" w:type="dxa"/>
        </w:tblCellMar>
      </w:tblPr>
      <w:tblGrid>
        <w:gridCol w:w="938"/>
        <w:gridCol w:w="827"/>
        <w:gridCol w:w="829"/>
        <w:gridCol w:w="211"/>
        <w:gridCol w:w="646"/>
        <w:gridCol w:w="109"/>
        <w:gridCol w:w="109"/>
        <w:gridCol w:w="109"/>
        <w:gridCol w:w="109"/>
        <w:gridCol w:w="211"/>
        <w:gridCol w:w="646"/>
        <w:gridCol w:w="109"/>
        <w:gridCol w:w="109"/>
        <w:gridCol w:w="109"/>
        <w:gridCol w:w="109"/>
        <w:gridCol w:w="211"/>
        <w:gridCol w:w="541"/>
        <w:gridCol w:w="109"/>
        <w:gridCol w:w="109"/>
        <w:gridCol w:w="109"/>
        <w:gridCol w:w="109"/>
        <w:gridCol w:w="218"/>
        <w:gridCol w:w="218"/>
        <w:gridCol w:w="331"/>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Other income (expense), net for the year ended December 31, 2025 was $2.9 million compared to $3.4 million for the year ended December 31, 2024. The decrease in other income (expense), net was primarily due to lower market interest rates on cash balances and lower interest income earned on our available-for-sale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Loss from equity method investment</w:t>
      </w:r>
    </w:p>
    <w:tbl>
      <w:tblPr>
        <w:tblW w:w="7615" w:type="dxa"/>
        <w:jc w:val="left"/>
        <w:tblInd w:w="0" w:type="dxa"/>
        <w:tblLayout w:type="fixed"/>
        <w:tblCellMar>
          <w:top w:w="28" w:type="dxa"/>
          <w:left w:w="28" w:type="dxa"/>
          <w:bottom w:w="28" w:type="dxa"/>
          <w:right w:w="28" w:type="dxa"/>
        </w:tblCellMar>
      </w:tblPr>
      <w:tblGrid>
        <w:gridCol w:w="1193"/>
        <w:gridCol w:w="1050"/>
        <w:gridCol w:w="1056"/>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135"/>
        <w:gridCol w:w="136"/>
        <w:gridCol w:w="331"/>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Loss from equity method 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Loss from equity method investment remained relatively flat for the year ended December 31, 2025 compared to the year ended December 31, 2024. Such losses are expected to continue in the near future. Transchip's ability to continue its operations is dependent upon raising additional capital, which it currently expects to be able to raise.</w:t>
      </w:r>
    </w:p>
    <w:p>
      <w:pPr>
        <w:pStyle w:val="TextBody"/>
        <w:bidi w:val="0"/>
        <w:spacing w:lineRule="auto" w:line="288" w:before="180" w:after="283"/>
        <w:jc w:val="left"/>
        <w:rPr>
          <w:rFonts w:ascii="Arial;sans-serif" w:hAnsi="Arial;sans-serif"/>
          <w:b/>
          <w:i/>
          <w:color w:val="000000"/>
          <w:sz w:val="19"/>
        </w:rPr>
      </w:pPr>
      <w:r>
        <w:rPr>
          <w:rFonts w:ascii="Arial;sans-serif" w:hAnsi="Arial;sans-serif"/>
          <w:b/>
          <w:i/>
          <w:color w:val="000000"/>
          <w:sz w:val="19"/>
        </w:rPr>
        <w:t>Provision for income taxes</w:t>
      </w:r>
    </w:p>
    <w:tbl>
      <w:tblPr>
        <w:tblW w:w="7150" w:type="dxa"/>
        <w:jc w:val="left"/>
        <w:tblInd w:w="0" w:type="dxa"/>
        <w:tblLayout w:type="fixed"/>
        <w:tblCellMar>
          <w:top w:w="28" w:type="dxa"/>
          <w:left w:w="28" w:type="dxa"/>
          <w:bottom w:w="28" w:type="dxa"/>
          <w:right w:w="28" w:type="dxa"/>
        </w:tblCellMar>
      </w:tblPr>
      <w:tblGrid>
        <w:gridCol w:w="885"/>
        <w:gridCol w:w="777"/>
        <w:gridCol w:w="782"/>
        <w:gridCol w:w="211"/>
        <w:gridCol w:w="646"/>
        <w:gridCol w:w="109"/>
        <w:gridCol w:w="109"/>
        <w:gridCol w:w="109"/>
        <w:gridCol w:w="109"/>
        <w:gridCol w:w="211"/>
        <w:gridCol w:w="646"/>
        <w:gridCol w:w="109"/>
        <w:gridCol w:w="109"/>
        <w:gridCol w:w="109"/>
        <w:gridCol w:w="109"/>
        <w:gridCol w:w="211"/>
        <w:gridCol w:w="706"/>
        <w:gridCol w:w="109"/>
        <w:gridCol w:w="109"/>
        <w:gridCol w:w="109"/>
        <w:gridCol w:w="109"/>
        <w:gridCol w:w="218"/>
        <w:gridCol w:w="218"/>
        <w:gridCol w:w="331"/>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76"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provision for income taxes for the year ended December 31, 2025 was $1.5 million compared to $2.5 million for the year ended December 31, 2024. The decrease in our income tax expense was primarily due to changes in current year foreign withholding taxes and changes in income tax laws that allow the Company to deduct domestic R&amp;D expenses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Liquidity and Capital Resources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Since inception, we have financed operations primarily from payments received from our customers, the net proceeds from the sale of our common stock in the IPO as well as the net proceeds from the private issuance of our convertible preferred stock and common stock. As of December 31, 2025, we had $54.6 million in cash and cash equivalents and short-term investments of which $2.2 million was held by our foreign subsidiaries. In addition, as of December 31, 2025, we also had $4.9 million in long-term investments.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 December 2025, we filed a Registration Statement on Form S-3 covering the offering of up to $200.0 million of common stock, preferred stock, debt securities, warrants and units, which was declared effective by the SEC in December 2025 (the S-3 Registration Statement). In December 2025, we also entered into an Open Market Sales Agreement (the Sales Agreement) with Jefferies LLC as sales agent to sell shares of our common stock, from time to time, with aggregate gross sales proceeds of up to $75.0 million pursuant to the S-3 Registration Statement as an “at-the-market” offering under the Securities Act (the 2022 ATM Offering Program). For the year ended December 31, 2025, no shares had been sold pursuant to the Sales Agreement.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We believe our cash and cash equivalents,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Cash Flows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changes in our cash flows for the periods indicated:</w:t>
      </w:r>
    </w:p>
    <w:tbl>
      <w:tblPr>
        <w:tblW w:w="6992" w:type="dxa"/>
        <w:jc w:val="left"/>
        <w:tblInd w:w="0" w:type="dxa"/>
        <w:tblLayout w:type="fixed"/>
        <w:tblCellMar>
          <w:top w:w="28" w:type="dxa"/>
          <w:left w:w="28" w:type="dxa"/>
          <w:bottom w:w="28" w:type="dxa"/>
          <w:right w:w="28" w:type="dxa"/>
        </w:tblCellMar>
      </w:tblPr>
      <w:tblGrid>
        <w:gridCol w:w="1617"/>
        <w:gridCol w:w="1424"/>
        <w:gridCol w:w="1429"/>
        <w:gridCol w:w="211"/>
        <w:gridCol w:w="751"/>
        <w:gridCol w:w="109"/>
        <w:gridCol w:w="109"/>
        <w:gridCol w:w="109"/>
        <w:gridCol w:w="109"/>
        <w:gridCol w:w="211"/>
        <w:gridCol w:w="541"/>
        <w:gridCol w:w="109"/>
        <w:gridCol w:w="109"/>
        <w:gridCol w:w="154"/>
      </w:tblGrid>
      <w:tr>
        <w:trPr/>
        <w:tc>
          <w:tcPr>
            <w:tcW w:w="16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cash provided by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Operating Activities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and obligations under our property leases. Our primary source of cash inflows is receipts from our customers. The timing of receipts of accounts receivable from customers is based upon the completion of agreed milestones or agreed dates as set forth in the contracts.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the year ended December 31, 2025, net cash provided by operating activities was $6.7 million, primarily due to our net loss of $34.7 million, adjusted for non-cash charges of $23.6 million and $17.9 million changes in operating assets and liabilities. Non-cash charges primarily consisted of stock-based compensation of $18.4 million and depreciation and amortization of $3.4 million, loss from our equity method investment of $2.8 million, partially offset by amortization of deferred income of $1.2 million and net accretion of discounts on available-for-sale securities of $0.4 million. The drivers of the changes in operating assets and liabilities were a $19.7 million increase in deferred revenue, a $3.3 million increase in accrued expenses and other liabilities, and a $1.4 million decrease in accounts receivable, partially offset by a $6.3 million increase in prepaid expenses and other assets, and a $0.2 million decrease in accounts payable.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the year ended December 31, 2024, net cash used in operating activities was $0.7 million, primarily due to our net loss of $33.6 million, adjusted for non-cash charges of $20.3 million and $12.6 million changes in operating assets and liabilities. Non-cash charges primarily consisted of stock-based compensation of $15.9 million and depreciation and amortization of $3.4 million, loss from our equity method investment of $2.7 million, partially offset by amortization of deferred income of $1.2 million and net accretion of discounts on available-for-sale securities of $0.7 million. The drivers of the changes in operating assets and liabilities were a $8.6 million increase in accounts receivable, and a $1.1 million increase in prepaid expenses and other assets, partially offset by a $18.9 million increase in deferred revenue, a $3.1 million increase in accrued expenses and other liabilities, and a $0.3 million decrease in accounts payable.</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Investing Activities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Net cash provided by investing activities for the year ended December 31, 2025, was $12.0 million primarily attributable to $42.9 million of proceeds from maturities and sales of available-for-sale securities, partially offset by $29.5 million of purchases of available-for-sale securities, and $1.4 million of purchases of property and equipment.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Net cash provided by investing activities for the year ended December 31, 2024, was $1.0 million primarily attributable to $38.5 million of proceeds from maturities of available-for-sale securities, partially offset by $37.2 million of purchases of available-for-sale securities and certificate of deposit, and $0.3 million of purchases of property and equipment.</w:t>
      </w:r>
    </w:p>
    <w:p>
      <w:pPr>
        <w:pStyle w:val="TextBody"/>
        <w:bidi w:val="0"/>
        <w:spacing w:lineRule="auto" w:line="288" w:before="180" w:after="283"/>
        <w:jc w:val="left"/>
        <w:rPr>
          <w:rFonts w:ascii="Arial;sans-serif" w:hAnsi="Arial;sans-serif"/>
          <w:b w:val="false"/>
          <w:i/>
          <w:color w:val="000000"/>
          <w:sz w:val="19"/>
        </w:rPr>
      </w:pPr>
      <w:r>
        <w:rPr>
          <w:rFonts w:ascii="Arial;sans-serif" w:hAnsi="Arial;sans-serif"/>
          <w:b w:val="false"/>
          <w:i/>
          <w:color w:val="000000"/>
          <w:sz w:val="19"/>
        </w:rPr>
        <w:t>Financing Activities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For the year ended December 31, 2025, net cash provided by financing activities was $1.4 million, primarily attributable to proceeds from exercise of stock options and employee stock purchase plan, partially offset by principal payments under vendor financing arrangements.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the year ended December 31, 2024, net cash used in financing activities was $0.3 million, primarily attributable to principal payments under vendor financing arrangements, partially offset by proceeds from exercise of stock options and employee stock purchase plan.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80" w:after="283"/>
        <w:jc w:val="both"/>
        <w:rPr/>
      </w:pPr>
      <w:r>
        <w:rPr>
          <w:rFonts w:ascii="Arial;sans-serif" w:hAnsi="Arial;sans-serif"/>
          <w:b w:val="false"/>
          <w:color w:val="000000"/>
          <w:sz w:val="19"/>
        </w:rPr>
        <w:t>We did not have during the periods pre</w:t>
      </w:r>
      <w:r>
        <w:rPr>
          <w:rFonts w:ascii="Arial;sans-serif" w:hAnsi="Arial;sans-serif"/>
          <w:b w:val="false"/>
          <w:color w:val="000000"/>
          <w:sz w:val="19"/>
          <w:shd w:fill="FFFFFF" w:val="clear"/>
        </w:rPr>
        <w:t>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Contractual Obligations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principal commitments consist of obligations under our operating leases for office space and data center hosting space and vendor finance arrangements. Information regarding our lease commitments as of December 31, 2025, can be found in Note 9 to our consolidated financial statements included elsewhere in this Annual Report on Form 10-K. Our obligations as of December 31, 2025, under our vendor finance arrangements are described in Note 10 to our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consolidated financial statements are prepared in accordance with GAAP. The preparation of consolidated financial statements requires us to make certain estimates, judgments, and assumptions. We base our estimates on historical experience and on various other assumptions that we believe to be reasonable based upon information available to us at the time that these estimates, judgments, and assumptions are made. Our estimates and related judgments and assumptions are continually evaluated based on available information and experiences. However, actual amounts could differ from those estimates.</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following are the critical accounting policies requiring estimates, judgments, and assumptions that we believe have the most significant impact on our consolidated financial statements. </w:t>
      </w:r>
      <w:r>
        <w:rPr>
          <w:rFonts w:ascii="Arial;sans-serif" w:hAnsi="Arial;sans-serif"/>
          <w:b w:val="false"/>
          <w:color w:val="000000"/>
          <w:sz w:val="19"/>
        </w:rPr>
        <w:t xml:space="preserve">For information on our significant accounting policies, see Note 2, </w:t>
      </w:r>
      <w:r>
        <w:rPr>
          <w:rFonts w:ascii="Arial;sans-serif" w:hAnsi="Arial;sans-serif"/>
          <w:b w:val="false"/>
          <w:color w:val="000000"/>
          <w:sz w:val="19"/>
          <w:shd w:fill="FFFFFF" w:val="clear"/>
        </w:rPr>
        <w:t>Basis of Presentation and Summary of Significant Accounting Policies to our consolidated financial statements included elsewhere in this report.</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Revenue Recognition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recognize license revenues as we transfer control of deliverables (software and services) to our customers in an amount reflecting the consideration to which we expect to be entitled. To recognize revenues,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We account for a contract when it has approval and commitment from all parties, the rights of the parties are identified, payment terms are identified, the contract has commercial substance and collectability of consideration is probable. We apply judgment in determining the customer’s ability and intention to pay based on a variety of factors including the customer’s historical payment experience.</w:t>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Nature of Products and Services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revenue is primarily derived from licensing intellectual property, licensing software, support and maintenance services, professional services, training services, and royalties.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Design Solutions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Engineering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Application Engineering Support Services are integral and fundamental to the customer’s ability to derive its intended benefit from the IP.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Besides Application Engineering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we typically continue to provide technical support and software updates throughout the license term even if the customer does not renew these services in subsequent years, making the license term and support and maintenance term co-terminus.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Considering the nature of the combined license and assisting our customers in applying our IP technology in our customers’ development environment and the relative significance thereof, we have concluded that our promise to provide an Interconnect Solutions IP license is not distinct from our obligation to provide the Application Engineering Support Services and benefits of the RTL. Customers cannot benefit from the design license on its own; the Interconnect Solutions IP, RTL, and the Application Engineering Support Services serve to fulfill our commitment to the customer, as they represent inputs to a single, combined performance obligation that commences upon the later of the arrangement effective date or transfer of the software license. Further, although technical support and software updates is a distinct performance obligation, it is accounted for as if it were part of a single performance obligation that includes the licenses, RTL and Application Engineering Support Services because the technical support and updates are provided in practice for the same period of time and have the same time-based pattern of transfer to the customer as the combined design license, RTL, and Application Engineering Support Services. Therefore, revenue from Interconnect Solutions IP licensing arrangements is recognized ratably over the design term.</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Revenues that are derived from the sale of a licensee’s products that incorporate our IP are classified as royalty revenues. Royalty revenues are recognized during the quarter in which the sale of the product incorporating our IP occurs and are included in variable royalties and other in the consolidated statements of operations. Royalties are calculated either as a percentage of the revenues received by a licensee’s sale of products incorporating our IP or on a per unit basis, as specified in the agreements with the licensees. For the majority of our royalty revenues, we receive the actual sales data from our customers after the quarter ends and account for it as unbilled receivables. In such instances, we recognize royalty revenues based on our estimation of the customer’s sales during the quarter.</w:t>
      </w:r>
    </w:p>
    <w:p>
      <w:pPr>
        <w:pStyle w:val="TextBody"/>
        <w:bidi w:val="0"/>
        <w:spacing w:lineRule="auto" w:line="288" w:before="240" w:after="283"/>
        <w:jc w:val="both"/>
        <w:rPr>
          <w:rFonts w:ascii="Arial;sans-serif" w:hAnsi="Arial;sans-serif"/>
          <w:b w:val="false"/>
          <w:i/>
          <w:color w:val="000000"/>
          <w:sz w:val="19"/>
        </w:rPr>
      </w:pPr>
      <w:r>
        <w:rPr>
          <w:rFonts w:ascii="Arial;sans-serif" w:hAnsi="Arial;sans-serif"/>
          <w:b w:val="false"/>
          <w:i/>
          <w:color w:val="000000"/>
          <w:sz w:val="19"/>
        </w:rPr>
        <w:t>SoC Integration Automation Software Solutions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Our SoC Integration Automation software solutions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Majority of our SoC Integration Automation software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 We record obligations for refunds in accrued expenses and other current liabilities on the consolidated balance sheets.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Professional Services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agreements may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Multiple Performance Obligations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professional services are typically estimated based on observable transactions when these services are sold on a standalone basis.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Transaction price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Revenue is recognized when, or as, control of a promised product or service transfers to a client, in an amount that reflects the consideration to which we expect to be entitled in exchange for transferring those products or services. If the consideration promised in a contract includes a variable amount, we estimate the amount to which we expect to be entitled using either the expected value or most likely amount method, to the extent it is probable that a significant reversal of cumulative revenue recognized will not occur. Generally, the transaction price of our contracts is fixed at the inception of the contract, except for variable royalties. Our contracts generally do not include terms that could cause variability in the transaction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assess the timing of the transfer of goods or services to the customer as compared to the timing of payments to determine whether a significant financing component exists. As a practical expedient, we do not assess the existence of a significant financing component when the difference between payment and transfer of deliverables is a year or less. If the difference in timing arises for reasons other than the provision of finance to either the customer or us, no financing component is deemed to exist. When contracts involve a significant financing component, we adjust the promised amount of consideration for the effects of the time value of money if the timing of payments agreed to by the parties to the contract (either explicitly or implicitly) provide the customer with a significant benefit of financing.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report revenue net of any revenue-based taxes assessed by governmental authorities that are imposed on and concurrent with specific revenue-producing transactions.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instances where foreign licensees withhold and remit taxes to local authorities in accordance with local laws and regulations, we recognize and present revenue on a gross basis, and include the withholding tax in income tax expense.</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Flexible Spending Accounts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customers enter into a non-cancelable flexible spending account agreement (FSA Agreement) whereby the customer commits to a fixed dollar amount over a specified period of time that can be used to purchase from a list of our products or services. These agreements do not meet the definition of a revenue contract until the customer executes a separate order to identify the required products and services that they are purchasing. Each separate order under the agreement is treated as an individual contract and accounted for based on the respective performance obligations included within the FSA agreements.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Contract modifications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contracts may be modified to add, remove or change existing performance obligations. The accounting for modifications to our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Our more significant contract modifications include extensions of the design license term and the purchase of additional years of support and maintenance.</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Judgments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Income Taxes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account for income taxes under the asset and liability method. Under this method, deferred taxes are determined based on the temporary differences between the financial statement and tax basis of assets and liabilities using tax rates expected to be in effect during the years in which the basis differences are expected to reverse. The effect of a change in tax rates on deferred tax assets and liabilities is recognized in income in the period that includes the enactment date. We provide for a valuation allowance when it is more likely than not that some portion, or all of our deferred tax assets will not be realized. In making such determination, we consider all available positive and negative evidence, including future reversals of existing taxable temporary differences, projected future taxable income, tax-planning strategies, and results of recent operations. As of December 31, 2025, and 2024, we recorded a full valuation allowance against our U.S. federal, state, and certain foreign jurisdiction deferred tax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Equity Method Investments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use the equity method to account for our investments in companies which we do not control but are deemed to have the ability to exercise significant influence over the operating and financial decisions of the investee.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generally measure an investment in the common stock of an investee initially at cost. The carrying value of our equity method investments is reported in equity method investment on the consolidated balance sheets. We record our proportionate share of the income or loss in our equity method investments on a one-quarter lag. The cost is adjusted to recognize our proportionate share of the investee’s net income or loss after the date of investment. We assess investments for impairment whenever events or changes in circumstances indicate that the carrying value of an investment may not be recoverable.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Distributions received from an investee reduce the carrying value of an investment and are recorded in the consolidated statements of cash flows using the nature of distribution approach.</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Goodwill and Intangible Assets</w:t>
      </w:r>
    </w:p>
    <w:p>
      <w:pPr>
        <w:pStyle w:val="TextBody"/>
        <w:bidi w:val="0"/>
        <w:spacing w:lineRule="auto" w:line="288" w:before="180" w:after="283"/>
        <w:jc w:val="both"/>
        <w:rPr/>
      </w:pPr>
      <w:r>
        <w:rPr>
          <w:rFonts w:ascii="Arial;sans-serif" w:hAnsi="Arial;sans-serif"/>
          <w:b w:val="false"/>
          <w:color w:val="000000"/>
          <w:sz w:val="19"/>
          <w:shd w:fill="FFFFFF" w:val="clear"/>
        </w:rPr>
        <w:t>We test our goodwill and other indefinite-lived intangible assets for impairment during the last day of the third fiscal quarter each year or more frequently if events or changes in circumstances occur that would more likely than not reduce the fair value below its carrying value. We completed the most recent annual impairment test of goodwill at the reporting unit level. We have one reporting unit. We determined that our report</w:t>
      </w:r>
      <w:r>
        <w:rPr>
          <w:rFonts w:ascii="Arial;sans-serif" w:hAnsi="Arial;sans-serif"/>
          <w:b w:val="false"/>
          <w:color w:val="000000"/>
          <w:sz w:val="19"/>
        </w:rPr>
        <w:t>ing unit had significant fair value in excess of carrying value. For the years ended December 31, 2025, and 2024, we did not have any goodwill or other indefinite-lived intangible assets impairment.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Acquired finite-lived intangible assets are amortized on a straight-line basis over the estimated useful lives of the assets, which range from five to eight years, unless the lives are determined to be indefinite. We routinely review the remaining estimated useful lives of finite-lived intangible assets. Amortization expenses are recorded operating expenses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shd w:fill="FFFFFF" w:val="clear"/>
        </w:rPr>
      </w:pPr>
      <w:r>
        <w:rPr>
          <w:rFonts w:ascii="Arial;sans-serif" w:hAnsi="Arial;sans-serif"/>
          <w:b/>
          <w:color w:val="000000"/>
          <w:sz w:val="20"/>
          <w:shd w:fill="FFFFFF" w:val="clear"/>
        </w:rPr>
        <w:t>Recently Issued and Adopted Accounting Pronouncements</w:t>
      </w:r>
    </w:p>
    <w:p>
      <w:pPr>
        <w:pStyle w:val="TextBody"/>
        <w:bidi w:val="0"/>
        <w:spacing w:lineRule="auto" w:line="288" w:before="180" w:after="283"/>
        <w:jc w:val="both"/>
        <w:rPr/>
      </w:pPr>
      <w:r>
        <w:rPr>
          <w:rFonts w:ascii="Arial;sans-serif" w:hAnsi="Arial;sans-serif"/>
          <w:b w:val="false"/>
          <w:color w:val="000000"/>
          <w:sz w:val="19"/>
          <w:shd w:fill="FFFFFF" w:val="clear"/>
        </w:rPr>
        <w:t xml:space="preserve">For more information regarding recently issued accounting pronouncements, see </w:t>
      </w:r>
      <w:hyperlink w:anchor="id4d761cdf3a54f2da90a3e08445f2d7d_121">
        <w:r>
          <w:rPr>
            <w:rStyle w:val="InternetLink"/>
            <w:rFonts w:ascii="Arial;sans-serif" w:hAnsi="Arial;sans-serif"/>
            <w:b w:val="false"/>
            <w:strike w:val="false"/>
            <w:dstrike w:val="false"/>
            <w:color w:val="000000"/>
            <w:sz w:val="19"/>
            <w:u w:val="none"/>
            <w:effect w:val="none"/>
            <w:shd w:fill="FFFFFF" w:val="clear"/>
          </w:rPr>
          <w:t>Note 2</w:t>
        </w:r>
      </w:hyperlink>
      <w:r>
        <w:rPr>
          <w:rFonts w:ascii="Arial;sans-serif" w:hAnsi="Arial;sans-serif"/>
          <w:b w:val="false"/>
          <w:color w:val="000000"/>
          <w:sz w:val="19"/>
          <w:shd w:fill="FFFFFF" w:val="clear"/>
        </w:rPr>
        <w:t>, Basis of Presentation and Summary of Significant Accounting Policies to our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JOBS Act</w:t>
      </w:r>
    </w:p>
    <w:p>
      <w:pPr>
        <w:pStyle w:val="TextBody"/>
        <w:bidi w:val="0"/>
        <w:spacing w:lineRule="auto" w:line="288" w:before="180" w:after="283"/>
        <w:jc w:val="both"/>
        <w:rPr/>
      </w:pPr>
      <w:r>
        <w:rPr>
          <w:rFonts w:ascii="Arial;sans-serif" w:hAnsi="Arial;sans-serif"/>
          <w:b w:val="false"/>
          <w:color w:val="000000"/>
          <w:sz w:val="19"/>
          <w:shd w:fill="FFFFFF" w:val="clear"/>
        </w:rPr>
        <w:t xml:space="preserve">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w:t>
      </w:r>
      <w:hyperlink w:anchor="id4d761cdf3a54f2da90a3e08445f2d7d_121">
        <w:r>
          <w:rPr>
            <w:rStyle w:val="InternetLink"/>
            <w:rFonts w:ascii="Arial;sans-serif" w:hAnsi="Arial;sans-serif"/>
            <w:b w:val="false"/>
            <w:strike w:val="false"/>
            <w:dstrike w:val="false"/>
            <w:color w:val="000000"/>
            <w:sz w:val="19"/>
            <w:u w:val="none"/>
            <w:effect w:val="none"/>
            <w:shd w:fill="FFFFFF" w:val="clear"/>
          </w:rPr>
          <w:t>Note 2</w:t>
        </w:r>
      </w:hyperlink>
      <w:r>
        <w:rPr>
          <w:rFonts w:ascii="Arial;sans-serif" w:hAnsi="Arial;sans-serif"/>
          <w:b w:val="false"/>
          <w:color w:val="000000"/>
          <w:sz w:val="19"/>
          <w:shd w:fill="FFFFFF" w:val="clear"/>
        </w:rPr>
        <w:t>, Basis of Presentation and Summary of Significant Accounting Policies, in the notes to our consolidated financial statements included elsewhere in this Annual Report on Form 10-K. As a result, our financial statements may not be comparable to companies that comply with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7A. Quantitative and Qualitative Disclosures About Market Risk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Quantitative and Qualitative Disclosures About Market Risk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Foreign Currency Exchange Risk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Operating in international markets involves exposure to possible volatile movements in currency exchange rates. A majority of our revenue and expenses are transacted in U.S. dollars and our assets and liabilities together with our cash holdings are predominately denominated in U.S. dollars reducing the exposure to currency fluctuations.</w:t>
      </w:r>
    </w:p>
    <w:p>
      <w:pPr>
        <w:pStyle w:val="TextBody"/>
        <w:bidi w:val="0"/>
        <w:spacing w:lineRule="auto" w:line="288" w:before="180" w:after="283"/>
        <w:jc w:val="both"/>
        <w:rPr/>
      </w:pPr>
      <w:r>
        <w:rPr>
          <w:rFonts w:ascii="Arial;sans-serif" w:hAnsi="Arial;sans-serif"/>
          <w:b w:val="false"/>
          <w:color w:val="000000"/>
          <w:sz w:val="19"/>
          <w:shd w:fill="FFFFFF" w:val="clear"/>
        </w:rPr>
        <w:t xml:space="preserve">If the volume of our international operations increases and foreign currency exchange rates changes, the impact to our consolidated statements of operations could be significant and may affect the comparability of operating results. The impact from foreign currency remeasurement </w:t>
      </w:r>
      <w:r>
        <w:rPr>
          <w:rFonts w:ascii="Arial;sans-serif" w:hAnsi="Arial;sans-serif"/>
          <w:b w:val="false"/>
          <w:color w:val="000000"/>
          <w:sz w:val="19"/>
        </w:rPr>
        <w:t>during the years ended December 31, 2025, and 2024 was approximately $0.4 million and $0.2 million, respectively. We do not believe a 10% increase or decrease in foreign exchange rates would have resulted in a material impact to our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7111" w:type="dxa"/>
        <w:jc w:val="left"/>
        <w:tblInd w:w="0" w:type="dxa"/>
        <w:tblLayout w:type="fixed"/>
        <w:tblCellMar>
          <w:top w:w="28" w:type="dxa"/>
          <w:left w:w="28" w:type="dxa"/>
          <w:bottom w:w="28" w:type="dxa"/>
          <w:right w:w="28" w:type="dxa"/>
        </w:tblCellMar>
      </w:tblPr>
      <w:tblGrid>
        <w:gridCol w:w="2378"/>
        <w:gridCol w:w="2088"/>
        <w:gridCol w:w="2104"/>
        <w:gridCol w:w="158"/>
        <w:gridCol w:w="158"/>
        <w:gridCol w:w="225"/>
      </w:tblGrid>
      <w:tr>
        <w:trPr/>
        <w:tc>
          <w:tcPr>
            <w:tcW w:w="237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Arteris, Inc.</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97">
              <w:r>
                <w:rPr>
                  <w:rStyle w:val="InternetLink"/>
                  <w:rFonts w:ascii="Arial;sans-serif" w:hAnsi="Arial;sans-serif"/>
                  <w:b w:val="false"/>
                  <w:color w:val="0000FF"/>
                  <w:sz w:val="19"/>
                  <w:u w:val="single"/>
                </w:rPr>
                <w:t>Report of Independent Registered Public Accounting Firm</w:t>
              </w:r>
            </w:hyperlink>
            <w:r>
              <w:rPr>
                <w:color w:val="000000"/>
              </w:rPr>
              <w:t xml:space="preserve"> </w:t>
            </w:r>
            <w:r>
              <w:rPr>
                <w:rFonts w:ascii="Arial;sans-serif" w:hAnsi="Arial;sans-serif"/>
                <w:b w:val="false"/>
                <w:color w:val="000000"/>
                <w:sz w:val="19"/>
              </w:rPr>
              <w:t>(PCAOB ID: 34)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97">
              <w:r>
                <w:rPr>
                  <w:rStyle w:val="InternetLink"/>
                  <w:rFonts w:ascii="Arial;sans-serif" w:hAnsi="Arial;sans-serif"/>
                  <w:b w:val="false"/>
                  <w:strike w:val="false"/>
                  <w:dstrike w:val="false"/>
                  <w:color w:val="000000"/>
                  <w:sz w:val="19"/>
                  <w:u w:val="none"/>
                  <w:effect w:val="none"/>
                </w:rPr>
                <w:t>75</w:t>
              </w:r>
            </w:hyperlink>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00">
              <w:r>
                <w:rPr>
                  <w:rStyle w:val="InternetLink"/>
                  <w:rFonts w:ascii="Arial;sans-serif" w:hAnsi="Arial;sans-serif"/>
                  <w:b w:val="false"/>
                  <w:color w:val="0000FF"/>
                  <w:sz w:val="19"/>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00">
              <w:r>
                <w:rPr>
                  <w:rStyle w:val="InternetLink"/>
                  <w:rFonts w:ascii="Arial;sans-serif" w:hAnsi="Arial;sans-serif"/>
                  <w:b w:val="false"/>
                  <w:strike w:val="false"/>
                  <w:dstrike w:val="false"/>
                  <w:color w:val="000000"/>
                  <w:sz w:val="19"/>
                  <w:u w:val="none"/>
                  <w:effect w:val="none"/>
                </w:rPr>
                <w:t>76</w:t>
              </w:r>
            </w:hyperlink>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03">
              <w:r>
                <w:rPr>
                  <w:rStyle w:val="InternetLink"/>
                  <w:rFonts w:ascii="Arial;sans-serif" w:hAnsi="Arial;sans-serif"/>
                  <w:b w:val="false"/>
                  <w:color w:val="0000FF"/>
                  <w:sz w:val="19"/>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03">
              <w:r>
                <w:rPr>
                  <w:rStyle w:val="InternetLink"/>
                  <w:rFonts w:ascii="Arial;sans-serif" w:hAnsi="Arial;sans-serif"/>
                  <w:b w:val="false"/>
                  <w:strike w:val="false"/>
                  <w:dstrike w:val="false"/>
                  <w:color w:val="000000"/>
                  <w:sz w:val="19"/>
                  <w:u w:val="none"/>
                  <w:effect w:val="none"/>
                </w:rPr>
                <w:t>77</w:t>
              </w:r>
            </w:hyperlink>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06">
              <w:r>
                <w:rPr>
                  <w:rStyle w:val="InternetLink"/>
                  <w:rFonts w:ascii="Arial;sans-serif" w:hAnsi="Arial;sans-serif"/>
                  <w:b w:val="false"/>
                  <w:color w:val="0000FF"/>
                  <w:sz w:val="19"/>
                  <w:u w:val="single"/>
                </w:rPr>
                <w:t>Consolidated Statements of Comprehensive Loss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06">
              <w:r>
                <w:rPr>
                  <w:rStyle w:val="InternetLink"/>
                  <w:rFonts w:ascii="Arial;sans-serif" w:hAnsi="Arial;sans-serif"/>
                  <w:b w:val="false"/>
                  <w:strike w:val="false"/>
                  <w:dstrike w:val="false"/>
                  <w:color w:val="000000"/>
                  <w:sz w:val="19"/>
                  <w:u w:val="none"/>
                  <w:effect w:val="none"/>
                </w:rPr>
                <w:t>78</w:t>
              </w:r>
            </w:hyperlink>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09">
              <w:r>
                <w:rPr>
                  <w:rStyle w:val="InternetLink"/>
                  <w:rFonts w:ascii="Arial;sans-serif" w:hAnsi="Arial;sans-serif"/>
                  <w:b w:val="false"/>
                  <w:color w:val="0000FF"/>
                  <w:sz w:val="19"/>
                  <w:u w:val="single"/>
                </w:rPr>
                <w:t>Consolidated Statements of Stockholders’ Equity (Deficit)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09">
              <w:r>
                <w:rPr>
                  <w:rStyle w:val="InternetLink"/>
                  <w:rFonts w:ascii="Arial;sans-serif" w:hAnsi="Arial;sans-serif"/>
                  <w:b w:val="false"/>
                  <w:strike w:val="false"/>
                  <w:dstrike w:val="false"/>
                  <w:color w:val="000000"/>
                  <w:sz w:val="19"/>
                  <w:u w:val="none"/>
                  <w:effect w:val="none"/>
                </w:rPr>
                <w:t>79</w:t>
              </w:r>
            </w:hyperlink>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12">
              <w:r>
                <w:rPr>
                  <w:rStyle w:val="InternetLink"/>
                  <w:rFonts w:ascii="Arial;sans-serif" w:hAnsi="Arial;sans-serif"/>
                  <w:b w:val="false"/>
                  <w:color w:val="0000FF"/>
                  <w:sz w:val="19"/>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12">
              <w:r>
                <w:rPr>
                  <w:rStyle w:val="InternetLink"/>
                  <w:rFonts w:ascii="Arial;sans-serif" w:hAnsi="Arial;sans-serif"/>
                  <w:b w:val="false"/>
                  <w:strike w:val="false"/>
                  <w:dstrike w:val="false"/>
                  <w:color w:val="000000"/>
                  <w:sz w:val="19"/>
                  <w:u w:val="none"/>
                  <w:effect w:val="none"/>
                </w:rPr>
                <w:t>80</w:t>
              </w:r>
            </w:hyperlink>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761cdf3a54f2da90a3e08445f2d7d_115">
              <w:r>
                <w:rPr>
                  <w:rStyle w:val="InternetLink"/>
                  <w:rFonts w:ascii="Arial;sans-serif" w:hAnsi="Arial;sans-serif"/>
                  <w:b w:val="false"/>
                  <w:color w:val="0000FF"/>
                  <w:sz w:val="19"/>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761cdf3a54f2da90a3e08445f2d7d_115">
              <w:r>
                <w:rPr>
                  <w:rStyle w:val="InternetLink"/>
                  <w:rFonts w:ascii="Arial;sans-serif" w:hAnsi="Arial;sans-serif"/>
                  <w:b w:val="false"/>
                  <w:strike w:val="false"/>
                  <w:dstrike w:val="false"/>
                  <w:color w:val="000000"/>
                  <w:sz w:val="19"/>
                  <w:u w:val="none"/>
                  <w:effect w:val="none"/>
                </w:rPr>
                <w:t>81</w:t>
              </w:r>
            </w:hyperlink>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before="480" w:after="283"/>
        <w:jc w:val="left"/>
        <w:rPr/>
      </w:pPr>
      <w:r>
        <w:rPr/>
      </w:r>
    </w:p>
    <w:p>
      <w:pPr>
        <w:pStyle w:val="TextBody"/>
        <w:bidi w:val="0"/>
        <w:spacing w:lineRule="auto" w:line="288" w:before="0" w:after="0"/>
        <w:jc w:val="left"/>
        <w:rPr>
          <w:rFonts w:ascii="Arial;sans-serif" w:hAnsi="Arial;sans-serif"/>
          <w:b/>
          <w:color w:val="000000"/>
          <w:sz w:val="19"/>
          <w:shd w:fill="FFFFFF" w:val="clear"/>
        </w:rPr>
      </w:pPr>
      <w:r>
        <w:rPr>
          <w:rFonts w:ascii="Arial;sans-serif" w:hAnsi="Arial;sans-serif"/>
          <w:b/>
          <w:color w:val="000000"/>
          <w:sz w:val="19"/>
          <w:shd w:fill="FFFFFF" w:val="clear"/>
        </w:rPr>
        <w:t>REPORT OF INDEPENDENT REGISTERED PUBLIC ACCOUNTING FIRM</w:t>
      </w:r>
    </w:p>
    <w:p>
      <w:pPr>
        <w:pStyle w:val="TextBody"/>
        <w:bidi w:val="0"/>
        <w:spacing w:lineRule="auto" w:line="288" w:before="30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To the stockholders and the Board of Directors of Arteris, Inc.:</w:t>
      </w:r>
    </w:p>
    <w:p>
      <w:pPr>
        <w:pStyle w:val="TextBody"/>
        <w:bidi w:val="0"/>
        <w:spacing w:lineRule="auto" w:line="288" w:before="180" w:after="283"/>
        <w:jc w:val="left"/>
        <w:rPr>
          <w:rFonts w:ascii="Arial;sans-serif" w:hAnsi="Arial;sans-serif"/>
          <w:b/>
          <w:color w:val="000000"/>
          <w:sz w:val="19"/>
          <w:shd w:fill="FFFFFF" w:val="clear"/>
        </w:rPr>
      </w:pPr>
      <w:r>
        <w:rPr>
          <w:rFonts w:ascii="Arial;sans-serif" w:hAnsi="Arial;sans-serif"/>
          <w:b/>
          <w:color w:val="000000"/>
          <w:sz w:val="19"/>
          <w:shd w:fill="FFFFFF" w:val="clear"/>
        </w:rPr>
        <w:t>Opinion on the Financial Statements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audited the accompanying consolidated balance sheets of Arteris, Inc. and subsidiaries (the “Company”) as of December 31, 2025 and 2024, the related consolidated statements of operations, comprehensive loss, stockholders’ equity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Basis for Opinion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 DELOITTE &amp; TOUCHE LLP</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San Jose, California</w:t>
      </w:r>
    </w:p>
    <w:p>
      <w:pPr>
        <w:pStyle w:val="TextBody"/>
        <w:bidi w:val="0"/>
        <w:spacing w:lineRule="auto" w:line="288" w:before="6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February 12, 2026</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 have served as the Company’s auditor since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Arial;sans-serif" w:hAnsi="Arial;sans-serif"/>
          <w:b/>
          <w:color w:val="000000"/>
          <w:sz w:val="20"/>
          <w:shd w:fill="FFFFFF" w:val="clear"/>
        </w:rPr>
      </w:pPr>
      <w:r>
        <w:rPr>
          <w:rFonts w:ascii="Arial;sans-serif" w:hAnsi="Arial;sans-serif"/>
          <w:b/>
          <w:color w:val="000000"/>
          <w:sz w:val="20"/>
          <w:shd w:fill="FFFFFF" w:val="clear"/>
        </w:rPr>
        <w:t>Arteris,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Consolidated Balance Sheets</w:t>
      </w:r>
    </w:p>
    <w:p>
      <w:pPr>
        <w:pStyle w:val="TextBody"/>
        <w:bidi w:val="0"/>
        <w:spacing w:lineRule="auto" w:line="288" w:before="0" w:after="0"/>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66"/>
        <w:gridCol w:w="2328"/>
        <w:gridCol w:w="2146"/>
        <w:gridCol w:w="211"/>
        <w:gridCol w:w="826"/>
        <w:gridCol w:w="109"/>
        <w:gridCol w:w="109"/>
        <w:gridCol w:w="109"/>
        <w:gridCol w:w="109"/>
        <w:gridCol w:w="211"/>
        <w:gridCol w:w="826"/>
        <w:gridCol w:w="155"/>
      </w:tblGrid>
      <w:tr>
        <w:trPr/>
        <w:tc>
          <w:tcPr>
            <w:tcW w:w="3066"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Short-term investments (</w:t>
            </w:r>
            <w:hyperlink w:anchor="id4d761cdf3a54f2da90a3e08445f2d7d_133">
              <w:r>
                <w:rPr>
                  <w:rStyle w:val="InternetLink"/>
                  <w:rFonts w:ascii="Arial;sans-serif" w:hAnsi="Arial;sans-serif"/>
                  <w:b w:val="false"/>
                  <w:color w:val="0000FF"/>
                  <w:sz w:val="18"/>
                  <w:u w:val="single"/>
                </w:rPr>
                <w:t>Note 5</w:t>
              </w:r>
            </w:hyperlink>
            <w:r>
              <w:rPr>
                <w:rFonts w:ascii="Arial;sans-serif" w:hAnsi="Arial;sans-serif"/>
                <w:b w:val="false"/>
                <w:color w:val="000000"/>
                <w:sz w:val="18"/>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of $73 and $131 as of December 31, 2025, and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investments (</w:t>
            </w:r>
            <w:hyperlink w:anchor="id4d761cdf3a54f2da90a3e08445f2d7d_133">
              <w:r>
                <w:rPr>
                  <w:rStyle w:val="InternetLink"/>
                  <w:rFonts w:ascii="Arial;sans-serif" w:hAnsi="Arial;sans-serif"/>
                  <w:b w:val="false"/>
                  <w:color w:val="0000FF"/>
                  <w:sz w:val="18"/>
                  <w:u w:val="single"/>
                </w:rPr>
                <w:t>Note 5</w:t>
              </w:r>
            </w:hyperlink>
            <w:r>
              <w:rPr>
                <w:rFonts w:ascii="Arial;sans-serif" w:hAnsi="Arial;sans-serif"/>
                <w:b w:val="false"/>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LIABILITIES AND STOCKHOLDERS’ DEFICIT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Vendor financing arrangements,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Vendor financing arrangements,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Commitments and contingencies (</w:t>
            </w:r>
            <w:hyperlink w:anchor="id4d761cdf3a54f2da90a3e08445f2d7d_154">
              <w:r>
                <w:rPr>
                  <w:rStyle w:val="InternetLink"/>
                  <w:rFonts w:ascii="Arial;sans-serif" w:hAnsi="Arial;sans-serif"/>
                  <w:b w:val="false"/>
                  <w:color w:val="000080"/>
                  <w:sz w:val="18"/>
                  <w:u w:val="single"/>
                </w:rPr>
                <w:t>Note 1</w:t>
              </w:r>
            </w:hyperlink>
            <w:hyperlink w:anchor="id4d761cdf3a54f2da90a3e08445f2d7d_154">
              <w:r>
                <w:rPr>
                  <w:rStyle w:val="InternetLink"/>
                  <w:rFonts w:ascii="Arial;sans-serif" w:hAnsi="Arial;sans-serif"/>
                  <w:b w:val="false"/>
                  <w:color w:val="000080"/>
                  <w:sz w:val="18"/>
                  <w:u w:val="single"/>
                </w:rPr>
                <w:t>1</w:t>
              </w:r>
            </w:hyperlink>
            <w:r>
              <w:rPr>
                <w:rFonts w:ascii="Arial;sans-serif" w:hAnsi="Arial;sans-serif"/>
                <w:b w:val="false"/>
                <w:color w:val="000000"/>
                <w:sz w:val="18"/>
              </w:rPr>
              <w: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Preferred stock, par value of $0.001—10,000,000 shares authorized and no shares issued and outstanding as of both December 31, 2025, and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Common stock, par value of $0.001—300,000,000 shares authorized at December 31, 2025, and 2024; 44,268,816 and 40,724,936 shares issued and outstanding at December 31, 2025, and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106,135 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Arial;sans-serif" w:hAnsi="Arial;sans-serif"/>
          <w:b/>
          <w:color w:val="000000"/>
          <w:sz w:val="20"/>
          <w:shd w:fill="FFFFFF" w:val="clear"/>
        </w:rPr>
      </w:pPr>
      <w:r>
        <w:rPr>
          <w:rFonts w:ascii="Arial;sans-serif" w:hAnsi="Arial;sans-serif"/>
          <w:b/>
          <w:color w:val="000000"/>
          <w:sz w:val="20"/>
          <w:shd w:fill="FFFFFF" w:val="clear"/>
        </w:rPr>
        <w:t>Arteris,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Consolidated Statements of Operations</w:t>
      </w:r>
    </w:p>
    <w:p>
      <w:pPr>
        <w:pStyle w:val="TextBody"/>
        <w:bidi w:val="0"/>
        <w:spacing w:lineRule="auto" w:line="288" w:before="0" w:after="0"/>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588"/>
        <w:gridCol w:w="2267"/>
        <w:gridCol w:w="2289"/>
        <w:gridCol w:w="246"/>
        <w:gridCol w:w="880"/>
        <w:gridCol w:w="109"/>
        <w:gridCol w:w="109"/>
        <w:gridCol w:w="109"/>
        <w:gridCol w:w="109"/>
        <w:gridCol w:w="246"/>
        <w:gridCol w:w="880"/>
        <w:gridCol w:w="109"/>
        <w:gridCol w:w="109"/>
        <w:gridCol w:w="155"/>
      </w:tblGrid>
      <w:tr>
        <w:trPr/>
        <w:tc>
          <w:tcPr>
            <w:tcW w:w="2588"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4" w:type="dxa"/>
            <w:gridSpan w:val="2"/>
            <w:tcBorders/>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Licensing, support and maintenance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Variable royalties and 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revenue</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Cost of revenue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Gross profit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Operating expenses:</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Sales and marketing</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Loss from operations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(31,596)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expense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income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Loss before income taxes and loss from equity method investment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from equity method investment, net of tax</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Loss before income taxes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Provision for income taxes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loss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loss per share attributable to common stockholders, basic and diluted</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Weighted-average shares used in computing per share amounts, basic and 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42,290,619 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38,914,197 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shd w:fill="FFFFFF" w:val="clear"/>
        </w:rPr>
      </w:pPr>
      <w:r>
        <w:rPr>
          <w:rFonts w:ascii="Arial;sans-serif" w:hAnsi="Arial;sans-serif"/>
          <w:b/>
          <w:color w:val="000000"/>
          <w:sz w:val="20"/>
          <w:shd w:fill="FFFFFF" w:val="clear"/>
        </w:rPr>
        <w:t>Arteris,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Consolidated Statements of Comprehensive Loss</w:t>
      </w:r>
    </w:p>
    <w:p>
      <w:pPr>
        <w:pStyle w:val="TextBody"/>
        <w:bidi w:val="0"/>
        <w:spacing w:lineRule="auto" w:line="288" w:before="0" w:after="0"/>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(In thousands)</w:t>
      </w:r>
    </w:p>
    <w:tbl>
      <w:tblPr>
        <w:tblW w:w="8807" w:type="dxa"/>
        <w:jc w:val="left"/>
        <w:tblInd w:w="0" w:type="dxa"/>
        <w:tblLayout w:type="fixed"/>
        <w:tblCellMar>
          <w:top w:w="28" w:type="dxa"/>
          <w:left w:w="28" w:type="dxa"/>
          <w:bottom w:w="28" w:type="dxa"/>
          <w:right w:w="28" w:type="dxa"/>
        </w:tblCellMar>
      </w:tblPr>
      <w:tblGrid>
        <w:gridCol w:w="2152"/>
        <w:gridCol w:w="1893"/>
        <w:gridCol w:w="1910"/>
        <w:gridCol w:w="211"/>
        <w:gridCol w:w="811"/>
        <w:gridCol w:w="109"/>
        <w:gridCol w:w="109"/>
        <w:gridCol w:w="109"/>
        <w:gridCol w:w="109"/>
        <w:gridCol w:w="211"/>
        <w:gridCol w:w="811"/>
        <w:gridCol w:w="109"/>
        <w:gridCol w:w="109"/>
        <w:gridCol w:w="154"/>
      </w:tblGrid>
      <w:tr>
        <w:trPr/>
        <w:tc>
          <w:tcPr>
            <w:tcW w:w="2152"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comprehensive loss: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Unrealized gains (losses) on available-for-sale securities, net of tax</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Unrealized pension actuarial gain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78</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shd w:fill="FFFFFF" w:val="clear"/>
        </w:rPr>
      </w:pPr>
      <w:r>
        <w:rPr>
          <w:rFonts w:ascii="Arial;sans-serif" w:hAnsi="Arial;sans-serif"/>
          <w:b/>
          <w:color w:val="000000"/>
          <w:sz w:val="20"/>
          <w:shd w:fill="FFFFFF" w:val="clear"/>
        </w:rPr>
        <w:t>Arteris,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Consolidated Statements of Stockholders’ Equity (Deficit)</w:t>
      </w:r>
    </w:p>
    <w:p>
      <w:pPr>
        <w:pStyle w:val="TextBody"/>
        <w:bidi w:val="0"/>
        <w:spacing w:lineRule="auto" w:line="288" w:before="0" w:after="0"/>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(In thousands, except share data)</w:t>
      </w:r>
    </w:p>
    <w:tbl>
      <w:tblPr>
        <w:tblW w:w="10205" w:type="dxa"/>
        <w:jc w:val="left"/>
        <w:tblInd w:w="0" w:type="dxa"/>
        <w:tblLayout w:type="fixed"/>
        <w:tblCellMar>
          <w:top w:w="28" w:type="dxa"/>
          <w:left w:w="28" w:type="dxa"/>
          <w:bottom w:w="28" w:type="dxa"/>
          <w:right w:w="28" w:type="dxa"/>
        </w:tblCellMar>
      </w:tblPr>
      <w:tblGrid>
        <w:gridCol w:w="748"/>
        <w:gridCol w:w="498"/>
        <w:gridCol w:w="500"/>
        <w:gridCol w:w="109"/>
        <w:gridCol w:w="109"/>
        <w:gridCol w:w="109"/>
        <w:gridCol w:w="480"/>
        <w:gridCol w:w="481"/>
        <w:gridCol w:w="216"/>
        <w:gridCol w:w="109"/>
        <w:gridCol w:w="109"/>
        <w:gridCol w:w="109"/>
        <w:gridCol w:w="231"/>
        <w:gridCol w:w="390"/>
        <w:gridCol w:w="130"/>
        <w:gridCol w:w="109"/>
        <w:gridCol w:w="109"/>
        <w:gridCol w:w="109"/>
        <w:gridCol w:w="196"/>
        <w:gridCol w:w="736"/>
        <w:gridCol w:w="109"/>
        <w:gridCol w:w="109"/>
        <w:gridCol w:w="109"/>
        <w:gridCol w:w="109"/>
        <w:gridCol w:w="364"/>
        <w:gridCol w:w="783"/>
        <w:gridCol w:w="204"/>
        <w:gridCol w:w="109"/>
        <w:gridCol w:w="109"/>
        <w:gridCol w:w="109"/>
        <w:gridCol w:w="214"/>
        <w:gridCol w:w="822"/>
        <w:gridCol w:w="120"/>
        <w:gridCol w:w="109"/>
        <w:gridCol w:w="109"/>
        <w:gridCol w:w="109"/>
        <w:gridCol w:w="196"/>
        <w:gridCol w:w="668"/>
        <w:gridCol w:w="157"/>
      </w:tblGrid>
      <w:tr>
        <w:trPr/>
        <w:tc>
          <w:tcPr>
            <w:tcW w:w="74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2"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Stockholders’ Equity (Deficit)</w:t>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Additional</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Paid-In</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Accumulated</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Other</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Comprehensive</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Accumulated</w:t>
            </w:r>
          </w:p>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Total</w:t>
            </w:r>
          </w:p>
        </w:tc>
      </w:tr>
      <w:tr>
        <w:trPr/>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7"/>
              </w:rPr>
            </w:pPr>
            <w:r>
              <w:rPr>
                <w:rFonts w:ascii="Arial;sans-serif" w:hAnsi="Arial;sans-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BALANCE—December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37,518,583 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(103,247)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693,909 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Issuance of common stock for settlement of Restricted Stock Units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2,432,842 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Issuance of common stock under employee stock purchase plan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79,602 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Unrealized losses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Unrealized pension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(33,638)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(33,638)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BALANCE—December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40,724,936 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(136,885)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774,458 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2,607,741 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161,681 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Unrealized gains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Unrealized pension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(34,746)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(34,746)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7"/>
              </w:rPr>
            </w:pPr>
            <w:r>
              <w:rPr>
                <w:rFonts w:ascii="Arial;sans-serif" w:hAnsi="Arial;sans-serif"/>
                <w:b w:val="false"/>
                <w:color w:val="000000"/>
                <w:sz w:val="17"/>
              </w:rPr>
              <w:t>BALANCE—December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44,268,816 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(171,631)</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(14,632)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79</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9"/>
          <w:shd w:fill="FFFFFF" w:val="clear"/>
        </w:rPr>
      </w:pPr>
      <w:r>
        <w:rPr>
          <w:rFonts w:ascii="Arial;sans-serif" w:hAnsi="Arial;sans-serif"/>
          <w:b/>
          <w:color w:val="000000"/>
          <w:sz w:val="19"/>
          <w:shd w:fill="FFFFFF" w:val="clear"/>
        </w:rPr>
        <w:t>Arteris, Inc.</w:t>
      </w:r>
    </w:p>
    <w:p>
      <w:pPr>
        <w:pStyle w:val="TextBody"/>
        <w:bidi w:val="0"/>
        <w:spacing w:lineRule="auto" w:line="288" w:before="0" w:after="0"/>
        <w:jc w:val="center"/>
        <w:rPr>
          <w:rFonts w:ascii="Arial;sans-serif" w:hAnsi="Arial;sans-serif"/>
          <w:b/>
          <w:color w:val="000000"/>
          <w:sz w:val="19"/>
          <w:shd w:fill="FFFFFF" w:val="clear"/>
        </w:rPr>
      </w:pPr>
      <w:r>
        <w:rPr>
          <w:rFonts w:ascii="Arial;sans-serif" w:hAnsi="Arial;sans-serif"/>
          <w:b/>
          <w:color w:val="000000"/>
          <w:sz w:val="19"/>
          <w:shd w:fill="FFFFFF" w:val="clear"/>
        </w:rPr>
        <w:t>Consolidated Statements of Cash Flows</w:t>
      </w:r>
    </w:p>
    <w:p>
      <w:pPr>
        <w:pStyle w:val="TextBody"/>
        <w:bidi w:val="0"/>
        <w:spacing w:lineRule="auto" w:line="288" w:before="0" w:after="0"/>
        <w:jc w:val="center"/>
        <w:rPr>
          <w:rFonts w:ascii="Arial;sans-serif" w:hAnsi="Arial;sans-serif"/>
          <w:b w:val="false"/>
          <w:color w:val="000000"/>
          <w:sz w:val="19"/>
          <w:shd w:fill="FFFFFF" w:val="clear"/>
        </w:rPr>
      </w:pPr>
      <w:r>
        <w:rPr>
          <w:rFonts w:ascii="Arial;sans-serif" w:hAnsi="Arial;sans-serif"/>
          <w:b w:val="false"/>
          <w:color w:val="000000"/>
          <w:sz w:val="19"/>
          <w:shd w:fill="FFFFFF" w:val="clear"/>
        </w:rPr>
        <w:t>(In thousands)</w:t>
      </w:r>
    </w:p>
    <w:tbl>
      <w:tblPr>
        <w:tblW w:w="9383" w:type="dxa"/>
        <w:jc w:val="center"/>
        <w:tblInd w:w="0" w:type="dxa"/>
        <w:tblLayout w:type="fixed"/>
        <w:tblCellMar>
          <w:top w:w="28" w:type="dxa"/>
          <w:left w:w="28" w:type="dxa"/>
          <w:bottom w:w="28" w:type="dxa"/>
          <w:right w:w="28" w:type="dxa"/>
        </w:tblCellMar>
      </w:tblPr>
      <w:tblGrid>
        <w:gridCol w:w="2521"/>
        <w:gridCol w:w="2215"/>
        <w:gridCol w:w="2223"/>
        <w:gridCol w:w="196"/>
        <w:gridCol w:w="721"/>
        <w:gridCol w:w="109"/>
        <w:gridCol w:w="109"/>
        <w:gridCol w:w="109"/>
        <w:gridCol w:w="109"/>
        <w:gridCol w:w="196"/>
        <w:gridCol w:w="721"/>
        <w:gridCol w:w="154"/>
      </w:tblGrid>
      <w:tr>
        <w:trPr/>
        <w:tc>
          <w:tcPr>
            <w:tcW w:w="2521"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provided by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Pension plan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income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accretion of discounts on available-for-sale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securities and 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Proceeds from maturities and sales of available-for-sale securities and 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payments under vendor financing arrangements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Proceeds from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employee stock purchase plan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INCREASE (DECREASE) IN CASH, CASH EQUIVALENTS AND RESTRICTED CASH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Supplemental cash flow information: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Noncash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Accrued deferred offering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exchanged for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Purchase of property and equipment through vendor financing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val="false"/>
          <w:color w:val="000000"/>
          <w:sz w:val="18"/>
          <w:shd w:fill="FFFFFF" w:val="clear"/>
        </w:rPr>
      </w:pPr>
      <w:r>
        <w:rPr>
          <w:rFonts w:ascii="Arial;sans-serif" w:hAnsi="Arial;sans-serif"/>
          <w:b w:val="false"/>
          <w:color w:val="000000"/>
          <w:sz w:val="18"/>
          <w:shd w:fill="FFFFFF" w:val="clear"/>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80</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shd w:fill="FFFFFF" w:val="clear"/>
        </w:rPr>
      </w:pPr>
      <w:r>
        <w:rPr>
          <w:rFonts w:ascii="Arial;sans-serif" w:hAnsi="Arial;sans-serif"/>
          <w:b/>
          <w:color w:val="000000"/>
          <w:sz w:val="20"/>
          <w:shd w:fill="FFFFFF" w:val="clear"/>
        </w:rPr>
        <w:t>Arteris, Inc.</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 DESCRIPTION OF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Poland, Japan, South Korea, Taiwan and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2. BASIS OF PRESENTATION AND SUMMARY OF SIGNIFICANT ACCOUNTING POLICIES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Basis of Presentation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accompanying consolidated financial statements have been prepared in accordance with accounting principles generally accepted in the United States of America (GAAP).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Principles of Consolidation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consolidated financial statements include the accounts of Arteris, Inc. and its wholly owned subsidiaries. All intercompany transactions and accounts have been eliminated.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Segment Information</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Company operates as a single operating segment. </w:t>
      </w:r>
      <w:r>
        <w:rPr>
          <w:rFonts w:ascii="Arial;sans-serif" w:hAnsi="Arial;sans-serif"/>
          <w:b w:val="false"/>
          <w:color w:val="000000"/>
          <w:sz w:val="19"/>
        </w:rPr>
        <w:t>The chief operating decision maker (CODM) is t</w:t>
      </w:r>
      <w:r>
        <w:rPr>
          <w:rFonts w:ascii="Arial;sans-serif" w:hAnsi="Arial;sans-serif"/>
          <w:b w:val="false"/>
          <w:color w:val="000000"/>
          <w:sz w:val="19"/>
          <w:shd w:fill="FFFFFF" w:val="clear"/>
        </w:rPr>
        <w:t>he Company’s Chief Executive Officer, who makes resource allocation decisions and assesses performance based on financial information presented on a consolidated basis, accompanied by disaggregated revenue information. Accordingly, the Company has determined that it has a single reportable segment and operating segment.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Use of Estimates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preparation of the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 for credit losses, deferred tax assets and related valuation allowance, stock-based compensation, potential reserves relating to litigation and tax matters, collectability of certain receivables, fair value and amortization of deferred income, as well as other accruals or reserves. Actual results could differ from those estimates and such differences may be material to the consolidated financial statements.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Foreign Currency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and its foreign subsidiaries’ functional currency is the US dollar. Accordingly, monetary assets and liabilities of foreign subsidiaries are remeasured into US dollars at the exchange rates in effect at the balance sheet date, non-monetary assets and liabilities are recorded at historical rates, and revenue and expenses are remeasured at average rates during the period. Remeasurement adjustments are recognized as a component of other income (expense), net within the consolidated statements of operations.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Net Loss per Share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Basic net loss per share is computed by dividing net loss available to common stockholders by the weighted-average number of shares of common stock outstanding during the period, without consideration of potentially dilutive securities. Diluted net loss per share is computed by dividing net loss by the weighted-average number of shares of common stock during the period, plus the dilutive effects of stock options and restricted stock units (RSUs). Dilutive shares of common stock are determined by applying the treasury stock method. Since the Company was in a loss position for all periods presented, the diluted earnings per share was equal to the basic earnings per share as the effect of potentially dilutive securities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81"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81</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Cash, Cash Equivalents and Restricted Cash</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As of December 31, 2025, cash and cash equivalents consisted primarily of checking, savings, money market accounts, and highly liquid investments with original maturities of three months or less. Interest earned on cash and cash equivalents is included in other income (expense), net in the consolidated statements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2025, and 2024, the Company’s restricted cash balance was $0.3 million and $0.4 million, respectively. The Company’s restricted cash balance as of December 31, 2025 primarily related to a letter of credit for its facility lease agreement and collateralized cash for corporate credit cards. Restricted cash, current is included in prepaid expenses and other current assets and restricted cash, noncurrent is included in other assets on the consolidated balance sheets.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Accounts Receivable and Allowance for Credit Losses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Accounts receivable, net consists of primarily billed and unbilled trade accounts receivable. Unbilled accounts receivable represents amounts recorded as royalty revenue which will be invoiced within a short period upon receipt of the royalty reports from the licensees. The Company records accounts receivable when it has an unconditional right to consideration. Trade accounts receivable are recorded at the invoiced amount. The Company establishes allowances for potential credit losses by considering factors such as historical experience, credit quality, age of the accounts receivable balances, and current economic conditions that may affect a customer’s ability to pay. The Company’s allowance for credit losses activity has historically not been significant. Probable losses are recorded in general and administrative expense in the consolidated statements of operations.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Concentrations of Credit Risk</w:t>
      </w:r>
    </w:p>
    <w:p>
      <w:pPr>
        <w:pStyle w:val="TextBody"/>
        <w:bidi w:val="0"/>
        <w:spacing w:lineRule="auto" w:line="288" w:before="180" w:after="283"/>
        <w:jc w:val="both"/>
        <w:rPr/>
      </w:pPr>
      <w:r>
        <w:rPr>
          <w:rFonts w:ascii="Arial;sans-serif" w:hAnsi="Arial;sans-serif"/>
          <w:b w:val="false"/>
          <w:color w:val="000000"/>
          <w:sz w:val="19"/>
          <w:shd w:fill="FFFFFF" w:val="clear"/>
        </w:rPr>
        <w:t>Financial instruments that potentially subject us to concentration of credit risk consist of cash and cash equivalents, investments and accounts receivable. Cash is currently hel</w:t>
      </w:r>
      <w:r>
        <w:rPr>
          <w:rFonts w:ascii="Arial;sans-serif" w:hAnsi="Arial;sans-serif"/>
          <w:b w:val="false"/>
          <w:color w:val="000000"/>
          <w:sz w:val="19"/>
        </w:rPr>
        <w:t>d in three financial institutions that the Company believes are creditworthy. Cash held at these financial institutions generally exceed federally insured li</w:t>
      </w:r>
      <w:r>
        <w:rPr>
          <w:rFonts w:ascii="Arial;sans-serif" w:hAnsi="Arial;sans-serif"/>
          <w:b w:val="false"/>
          <w:color w:val="000000"/>
          <w:sz w:val="19"/>
          <w:shd w:fill="FFFFFF" w:val="clear"/>
        </w:rPr>
        <w:t>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Company’s accounts receivable are derived principally from revenue earned from customers located in Americas, Europe, Middle East and Asia Pacific regions.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Accounts receivable from the Company’s major customers representing 10% or more of total accounts receivable was as follows:</w:t>
      </w:r>
    </w:p>
    <w:tbl>
      <w:tblPr>
        <w:tblW w:w="3084" w:type="dxa"/>
        <w:jc w:val="left"/>
        <w:tblInd w:w="0" w:type="dxa"/>
        <w:tblLayout w:type="fixed"/>
        <w:tblCellMar>
          <w:top w:w="28" w:type="dxa"/>
          <w:left w:w="28" w:type="dxa"/>
          <w:bottom w:w="28" w:type="dxa"/>
          <w:right w:w="28" w:type="dxa"/>
        </w:tblCellMar>
      </w:tblPr>
      <w:tblGrid>
        <w:gridCol w:w="418"/>
        <w:gridCol w:w="368"/>
        <w:gridCol w:w="369"/>
        <w:gridCol w:w="203"/>
        <w:gridCol w:w="203"/>
        <w:gridCol w:w="348"/>
        <w:gridCol w:w="132"/>
        <w:gridCol w:w="132"/>
        <w:gridCol w:w="132"/>
        <w:gridCol w:w="188"/>
        <w:gridCol w:w="188"/>
        <w:gridCol w:w="403"/>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As of December 31,</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A</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B</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C</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11 </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Revenue from the Company’s major customers representing 10% or more of total revenue was as follows:</w:t>
      </w:r>
    </w:p>
    <w:tbl>
      <w:tblPr>
        <w:tblW w:w="3382" w:type="dxa"/>
        <w:jc w:val="left"/>
        <w:tblInd w:w="0" w:type="dxa"/>
        <w:tblLayout w:type="fixed"/>
        <w:tblCellMar>
          <w:top w:w="28" w:type="dxa"/>
          <w:left w:w="28" w:type="dxa"/>
          <w:bottom w:w="28" w:type="dxa"/>
          <w:right w:w="28" w:type="dxa"/>
        </w:tblCellMar>
      </w:tblPr>
      <w:tblGrid>
        <w:gridCol w:w="418"/>
        <w:gridCol w:w="368"/>
        <w:gridCol w:w="369"/>
        <w:gridCol w:w="188"/>
        <w:gridCol w:w="188"/>
        <w:gridCol w:w="447"/>
        <w:gridCol w:w="170"/>
        <w:gridCol w:w="170"/>
        <w:gridCol w:w="170"/>
        <w:gridCol w:w="188"/>
        <w:gridCol w:w="188"/>
        <w:gridCol w:w="518"/>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C</w:t>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pStyle w:val="TextBody"/>
        <w:bidi w:val="0"/>
        <w:spacing w:before="0" w:after="0"/>
        <w:jc w:val="left"/>
        <w:rPr/>
      </w:pPr>
      <w:r>
        <w:rPr/>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Property and Equipment</w:t>
      </w:r>
    </w:p>
    <w:p>
      <w:pPr>
        <w:pStyle w:val="TextBody"/>
        <w:bidi w:val="0"/>
        <w:spacing w:lineRule="auto" w:line="288" w:before="180" w:after="283"/>
        <w:jc w:val="both"/>
        <w:rPr/>
      </w:pPr>
      <w:r>
        <w:rPr>
          <w:rFonts w:ascii="Arial;sans-serif" w:hAnsi="Arial;sans-serif"/>
          <w:b w:val="false"/>
          <w:color w:val="000000"/>
          <w:sz w:val="19"/>
          <w:shd w:fill="FFFFFF" w:val="clear"/>
        </w:rPr>
        <w:t>Property and equipment are stated at cost, less accumulated depreciation.</w:t>
      </w:r>
      <w:r>
        <w:rPr>
          <w:color w:val="000000"/>
        </w:rPr>
        <w:t xml:space="preserve"> </w:t>
      </w:r>
      <w:r>
        <w:rPr>
          <w:rFonts w:ascii="Arial;sans-serif" w:hAnsi="Arial;sans-serif"/>
          <w:b w:val="false"/>
          <w:color w:val="000000"/>
          <w:sz w:val="19"/>
        </w:rPr>
        <w:t>Depreciation is recorded using the straight-line method over the estimated useful lives, generally ranging from one to ten years. Leasehold improvements are amortized over the shorter of the estimated useful life of the asset or the remaining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2"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rPr>
        <w:t>Depreciation expenses are recorded in cost of revenue and operating expense</w:t>
      </w:r>
      <w:r>
        <w:rPr>
          <w:rFonts w:ascii="Arial;sans-serif" w:hAnsi="Arial;sans-serif"/>
          <w:b w:val="false"/>
          <w:color w:val="000000"/>
          <w:sz w:val="19"/>
          <w:shd w:fill="FFFFFF" w:val="clear"/>
        </w:rPr>
        <w:t>s in the consolidated statements of operations. Upon retirement or sale, the cost of assets disposed of, and the related accumulated depreciation are removed from the accounts and any resulting gain or loss is recorded as a component of operating expenses. Repairs and maintenance costs are expensed as incurred.</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Company evaluates the recoverability of property and equipment for possible impairment whenever events or circumstances indicate that the carrying amount of such assets may not be recoverable. </w:t>
      </w:r>
      <w:r>
        <w:rPr>
          <w:rFonts w:ascii="Arial;sans-serif" w:hAnsi="Arial;sans-serif"/>
          <w:b w:val="false"/>
          <w:color w:val="000000"/>
          <w:sz w:val="19"/>
        </w:rPr>
        <w:t>No impairment was recognized during the years ended December 31, 2025, and 2024.</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Goodwill and Intangible Assets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tests its goodwill and other indefinite-lived intangible assets for impairment during the last day of the third fiscal quarter each year or more frequently if events or changes in circumstances occur that would more likely than not reduce the fair value below its carrying value. For the years ended December 31, 2025, and 2024, the Company did not have any goodwill or other indefinite-lived intangible assets impairment.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Acquired finite-lived intangible assets are amortized on a straight-line basis over the estimated useful lives of the assets, which range from five to eight years, unless the lives are determined to be indefinite. The Company routinely reviews the remaining estimated useful lives of finite-lived intangible assets. Amortization expenses are recorded in operating expenses on the consolidated statements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Right-of-use Assets (ROU) and Lease Liabilities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recognizes leases in accordance with Accounting Standard Codification (ASC) Topic 842, Leases, and subsequently issued additional related Accounting Standard Updates (ASU) (Topic 842).</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Company leases its offices at various locations under operating lease agreements expiring at various dates through </w:t>
      </w:r>
      <w:r>
        <w:rPr>
          <w:rFonts w:ascii="Arial;sans-serif" w:hAnsi="Arial;sans-serif"/>
          <w:b w:val="false"/>
          <w:color w:val="000000"/>
          <w:sz w:val="19"/>
        </w:rPr>
        <w:t>2034</w:t>
      </w:r>
      <w:r>
        <w:rPr>
          <w:rFonts w:ascii="Arial;sans-serif" w:hAnsi="Arial;sans-serif"/>
          <w:b w:val="false"/>
          <w:color w:val="000000"/>
          <w:sz w:val="19"/>
          <w:shd w:fill="FFFFFF" w:val="clear"/>
        </w:rPr>
        <w:t>. Under the terms of these agreements, the Company also bears the costs for certain insurance, property tax, and maintenance. The terms of certain lease agreements provide for increasing rental payments at fixed intervals.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At lease commencement, the Company measures and records a lease liability equal to the present value of the remaining lease payments, generally discounted using incremental borrowing rate as the implicit rate is not readily determinable on many of its leases. When determining the incremental borrowing rates, the Company considers information including, but not limited to, the lease term, the interest rates on its collateralized debt and incremental borrowing rates for its peer group.</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the lease commencement date, the amount of the ROU assets consists of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shd w:fill="FFFFFF" w:val="clear"/>
        </w:rPr>
        <w:t>The amount of the initial measurement of the lease liability;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Any lease payments made at or before the commencement date, minus any lease incentives received;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Any initial direct costs incurred.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assesses the option for lease extensions, renewals, or terminations on individual leases, and generally considers the base term to be the term of lease contracts, unless it is reasonably certain that the Company will exercise such options. Lease agreements may contain other variable costs such as common area maintenance, insurance, real estate taxes or other costs. Variable lease costs are expensed as incurred in the consolidated statements of operations. The Company does not include non-lease components with lease payments for the purpose of calculating lease right-of-use assets and lease liabilities. The lease agreements generally do not contain any residual guarantees or restrictive covenants.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Operating leases are included in operating lease ROU assets, operating lease liabilities, current and operating lease liabilities, noncurrent in the consolidated balance sheets. Finance leases are included in property and equipment, accrued expenses and other current liabilities and other liabilities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3"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Revenue Recognition</w:t>
      </w:r>
    </w:p>
    <w:p>
      <w:pPr>
        <w:pStyle w:val="TextBody"/>
        <w:bidi w:val="0"/>
        <w:spacing w:lineRule="auto" w:line="288" w:before="180" w:after="283"/>
        <w:jc w:val="both"/>
        <w:rPr/>
      </w:pPr>
      <w:r>
        <w:rPr>
          <w:rFonts w:ascii="Arial;sans-serif" w:hAnsi="Arial;sans-serif"/>
          <w:b w:val="false"/>
          <w:color w:val="000000"/>
          <w:sz w:val="19"/>
          <w:shd w:fill="FFFFFF" w:val="clear"/>
        </w:rPr>
        <w:t>The Company recognizes revenue in accordance with ASC Topic</w:t>
      </w:r>
      <w:r>
        <w:rPr>
          <w:color w:val="000000"/>
          <w:shd w:fill="FFFFFF" w:val="clear"/>
        </w:rPr>
        <w:t> </w:t>
      </w:r>
      <w:r>
        <w:rPr>
          <w:rFonts w:ascii="Arial;sans-serif" w:hAnsi="Arial;sans-serif"/>
          <w:b w:val="false"/>
          <w:i/>
          <w:color w:val="000000"/>
          <w:sz w:val="19"/>
          <w:shd w:fill="FFFFFF" w:val="clear"/>
        </w:rPr>
        <w:t>606, Revenue from Contracts with Customers,</w:t>
      </w:r>
      <w:r>
        <w:rPr>
          <w:color w:val="000000"/>
          <w:shd w:fill="FFFFFF" w:val="clear"/>
        </w:rPr>
        <w:t> </w:t>
      </w:r>
      <w:r>
        <w:rPr>
          <w:rFonts w:ascii="Arial;sans-serif" w:hAnsi="Arial;sans-serif"/>
          <w:b w:val="false"/>
          <w:color w:val="000000"/>
          <w:sz w:val="19"/>
          <w:shd w:fill="FFFFFF" w:val="clear"/>
        </w:rPr>
        <w:t>and subsequently issued additional related </w:t>
      </w:r>
      <w:r>
        <w:rPr>
          <w:rFonts w:ascii="Arial;sans-serif" w:hAnsi="Arial;sans-serif"/>
          <w:b w:val="false"/>
          <w:i/>
          <w:color w:val="000000"/>
          <w:sz w:val="19"/>
          <w:shd w:fill="FFFFFF" w:val="clear"/>
        </w:rPr>
        <w:t>ASUs (Topic 606). </w:t>
      </w:r>
      <w:r>
        <w:rPr>
          <w:rFonts w:ascii="Arial;sans-serif" w:hAnsi="Arial;sans-serif"/>
          <w:b w:val="false"/>
          <w:color w:val="000000"/>
          <w:sz w:val="19"/>
          <w:shd w:fill="FFFFFF" w:val="clear"/>
        </w:rPr>
        <w:t>The Company recognizes revenues as it transfers control of deliverables (software and services) to its customers in an amount reflecting the consideration to which it expects to be entitled. To recognize revenues,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The Company accounts for a contract when it has approval and commitment from all parties, the rights of the parties are identified, payment terms are identified, the contract has commercial substance and collectability of consideration is probable. The Company applies judgment in determining the customer’s ability and intention to pay based on a variety of factors including the customer’s historical payment experience.</w:t>
      </w:r>
    </w:p>
    <w:p>
      <w:pPr>
        <w:pStyle w:val="TextBody"/>
        <w:bidi w:val="0"/>
        <w:spacing w:lineRule="auto" w:line="288" w:before="240" w:after="283"/>
        <w:jc w:val="left"/>
        <w:rPr>
          <w:rFonts w:ascii="Arial;sans-serif" w:hAnsi="Arial;sans-serif"/>
          <w:b/>
          <w:i/>
          <w:color w:val="000000"/>
          <w:sz w:val="19"/>
        </w:rPr>
      </w:pPr>
      <w:r>
        <w:rPr>
          <w:rFonts w:ascii="Arial;sans-serif" w:hAnsi="Arial;sans-serif"/>
          <w:b/>
          <w:i/>
          <w:color w:val="000000"/>
          <w:sz w:val="19"/>
        </w:rPr>
        <w:t>Nature of Products and Services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Company’s revenue is primarily derived from licensing intellectual property, licensing software, support and maintenance services, professional services, training services, and royalties.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Design Solutions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Interconnect Solutions product arrangements provide customers the right to software licenses, services, and support and maintenance. The Company enters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Engineering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Application Engineering Support Services are integral and fundamental to the customer’s ability to derive its intended benefit from the IP. Besides Application Engineering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the Company typically continues to provide technical support and software updates throughout the license term even if the customer does not renew these services in subsequent years, making the license term and support and maintenance term co-terminus.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Considering the nature of the combined license and assisting the Company’s customers in applying its IP technology in its customers’ development environment and the relative significance thereof, the Company has concluded that its promise to provide an Interconnect Solutions IP license is not distinct from its obligation to provide the Application Engineering Support Services and benefits of the RTL. Customers cannot benefit from the design license on its own; the Interconnect Solutions IP, RTL, and the Application Engineering Support Services serve to fulfill its commitment to the customer, as they represent inputs to a single, combined performance obligation that commences upon the later of the arrangement effective date or transfer of the software license. Further, although technical support and software updates is a distinct performance obligation, it is accounted for as if it were part of a single performance obligation that includes the licenses, RTL and Application Engineering Support Services because the technical support and updates are provided in practice for the same period of time and have the same time-based pattern of transfer to the customer as the combined design license, RTL, and Application Engineering Support Services. Therefore, revenue from Interconnect Solutions IP licensing arrangements is recognized ratably over the design term.</w:t>
      </w:r>
    </w:p>
    <w:p>
      <w:pPr>
        <w:pStyle w:val="TextBody"/>
        <w:bidi w:val="0"/>
        <w:spacing w:lineRule="auto" w:line="288" w:before="180" w:after="283"/>
        <w:jc w:val="both"/>
        <w:rPr/>
      </w:pPr>
      <w:r>
        <w:rPr>
          <w:rFonts w:ascii="Arial;sans-serif" w:hAnsi="Arial;sans-serif"/>
          <w:b w:val="false"/>
          <w:color w:val="000000"/>
          <w:sz w:val="19"/>
        </w:rPr>
        <w:t xml:space="preserve">Revenues that are derived from the sale of a licensee’s products that incorporate the Company’s IP are classified as royalty revenues. Royalty revenues are recognized during the quarter in which the sale of the product incorporating the Company’s IP occurs and are included in variable royalties and other </w:t>
      </w:r>
      <w:r>
        <w:rPr>
          <w:rFonts w:ascii="Arial;sans-serif" w:hAnsi="Arial;sans-serif"/>
          <w:b w:val="false"/>
          <w:color w:val="000000"/>
          <w:sz w:val="19"/>
          <w:shd w:fill="FFFFFF" w:val="clear"/>
        </w:rPr>
        <w:t>in the consolidated statements of operations.</w:t>
      </w:r>
      <w:r>
        <w:rPr>
          <w:color w:val="000000"/>
        </w:rPr>
        <w:t xml:space="preserve"> </w:t>
      </w:r>
      <w:r>
        <w:rPr>
          <w:rFonts w:ascii="Arial;sans-serif" w:hAnsi="Arial;sans-serif"/>
          <w:b w:val="false"/>
          <w:color w:val="000000"/>
          <w:sz w:val="19"/>
        </w:rPr>
        <w:t>Royalties are calculated either as a percentage of the revenues received by a licensee’s sale of products incorporating the Company’s IP or on a per unit basis, as specified in the agreements with the licensees. For the majority of the Company’s royalty revenues, it receives the actual sales data from its customers after the quarter ends and accounts for it as unbilled receivables. In such instances, the Company recognizes royalty revenues based on its estimation of the customer’s sales during the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4"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19"/>
        </w:rPr>
      </w:pPr>
      <w:r>
        <w:rPr>
          <w:rFonts w:ascii="Arial;sans-serif" w:hAnsi="Arial;sans-serif"/>
          <w:b w:val="false"/>
          <w:i/>
          <w:color w:val="000000"/>
          <w:sz w:val="19"/>
        </w:rPr>
        <w:t>SoC Integration Automation Software Solutions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Company’s SoC Integration Automation software solutions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Majority of the Company’s SoC Integration Automation software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 The Company records obligations for refunds in accrued expenses and other current liabilities on the consolidated balance sheets.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Professional Services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Company’s agreements may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Multiple Performance Obligations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professional services are typically estimated based on observable transactions when these services are sold on a standalone basis.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Transaction price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Revenue is recognized when, or as, control of a promised product or service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to the extent it is probable that a significant reversal of cumulative revenue recognized will not occur. Generally, the transaction price of the Company’s contracts is fixed at the inception of the contract, except for variable royalties. The Company’s contracts generally do not include terms that could cause variability in the transaction price.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assesses the timing of the transfer of goods or services to the customer as compared to the timing of payments to determine whether a significant financing component exists. As a practical expedient, the Company does not assess the existence of a significant financing component when the difference between payment and transfer of deliverables is a year or less. If the difference in timing arises for reasons other than the provision of finance to either the customer or the Company, no financing component is deemed to exist. When contracts involve a significant financing component, the Company adjusts the promised amount of consideration for the effects of the time value of money if the timing of payments agreed to by the parties to the contract (either explicitly or implicitly) provide the customer with a significant benefit of financing.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reports revenue net of any revenue-based taxes assessed by governmental authorities that are imposed on and concurrent with specific revenue-producing transactions.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instances where foreign licensees withhold and remit taxes to local authorities in accordance with local laws and regulations, the Company recognizes and presents revenue on a gross basis and includes the withholding tax in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5"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Flexible Spending Accounts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customers enter into a non-cancelable flexible spending account agreement (FSA Agreement) whereby the customer commits to a fixed dollar amount over a specified period of time that can be used to purchase from a list of the Company’s products or services. These agreements do not meet the definition of a revenue contract until the customer executes a separate order to identify the required products and services that they are purchasing. Each separate order under the agreement is treated as an individual contract and accounted for based on the respective performance obligations included within the FSA agreements.</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Contract modifications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Company’s contracts may be modified to add, remove or change existing performance obligations. The accounting for modifications to the Company’s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The Company’s more significant contract modifications include extensions of the design license term and the purchase of additional years of support and maintenance.</w:t>
      </w:r>
    </w:p>
    <w:p>
      <w:pPr>
        <w:pStyle w:val="TextBody"/>
        <w:bidi w:val="0"/>
        <w:spacing w:lineRule="auto" w:line="288" w:before="24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Judgments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Company’s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Contract Balances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timing of revenue recognition may differ from the timing of invoicing to customers, and these timing differences result in contract assets (unbilled receivables), or contract liabilities (deferred revenue) on the Company’s consolidated balance sheets. The Company records a contract asset when revenue is recognized prior to the right to invoice, and it has an unconditional right to invoice and receive payment. The Company records deferred revenue when it invoices customers and revenue is not yet recognized. Customers are generally invoiced in single or annual amounts, although some customers are invoiced more frequently over time.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capitalizes sales commission as costs of obtaining a contract when they are incremental and, if they are expected to be recovered, amortized in a manner consistent with the pattern of transfer of the good or service to which the asset relates.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Cost of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Cost of Revenues relates to costs associated with the Company’s licensing arrangements and support and maintenance, including applicable application engineers’ personnel-related costs such as stock-based compensation, travel, amortization of developed technology acquired intangibles and allocated overhead. </w:t>
      </w:r>
    </w:p>
    <w:p>
      <w:pPr>
        <w:pStyle w:val="TextBody"/>
        <w:bidi w:val="0"/>
        <w:spacing w:lineRule="auto" w:line="288" w:before="180" w:after="283"/>
        <w:jc w:val="left"/>
        <w:rPr/>
      </w:pPr>
      <w:r>
        <w:rPr>
          <w:rFonts w:ascii="Arial;sans-serif" w:hAnsi="Arial;sans-serif"/>
          <w:b/>
          <w:i/>
          <w:color w:val="000000"/>
          <w:sz w:val="19"/>
          <w:shd w:fill="FFFFFF" w:val="clear"/>
        </w:rPr>
        <w:t>Allocation of Overhead Costs</w:t>
      </w:r>
      <w:r>
        <w:rPr>
          <w:color w:val="000000"/>
        </w:rPr>
        <w:t xml:space="preserve">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Overhead costs that are not substantially dedicated for use by a specific functional group are allocated based on headcount. Such costs include costs associated with office facilities, depreciation of property and equipment, certain support function personnel costs and other expenses.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Research and Development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Research and development costs that do not meet the criteria for capitalization are expensed as incurred. Research and development costs consist primarily of compensation, stock-based compensation, and employee benefits of engineering and product development personnel, consulting services, other direct expenses and other allocated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6"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86</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Software Development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Software development costs are capitalized beginning when a product’s technological feasibility has been established and ending when a product is available for general release to customers. Arteris has not capitalized any software development costs as of and for the years ended December 31, 2025, and 2024 as the period between establishing technological feasibility and general customer release has historically been short and therefore capitalizable costs have been insignificant.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has not capitalized any internal-use software development costs as these costs have historically been insignificant.</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Sales and Marketing</w:t>
      </w:r>
    </w:p>
    <w:p>
      <w:pPr>
        <w:pStyle w:val="TextBody"/>
        <w:bidi w:val="0"/>
        <w:spacing w:lineRule="auto" w:line="288" w:before="180" w:after="283"/>
        <w:jc w:val="both"/>
        <w:rPr/>
      </w:pPr>
      <w:r>
        <w:rPr>
          <w:rFonts w:ascii="Arial;sans-serif" w:hAnsi="Arial;sans-serif"/>
          <w:b w:val="false"/>
          <w:color w:val="000000"/>
          <w:sz w:val="19"/>
          <w:shd w:fill="FFFFFF" w:val="clear"/>
        </w:rPr>
        <w:t xml:space="preserve">Sales and marketing expenses consist of compensation and employee benefits of marketing and sales personnel and related support teams, and stock-based compensation, as well as travel, trade show sponsorships and events, conferences, and internet advertising costs. Advertising costs, included in sales and marketing expenses, are expensed as incurred. The Company incurred advertising costs of $0.2 million and </w:t>
      </w:r>
      <w:r>
        <w:rPr>
          <w:rFonts w:ascii="Arial;sans-serif" w:hAnsi="Arial;sans-serif"/>
          <w:b w:val="false"/>
          <w:color w:val="000000"/>
          <w:sz w:val="19"/>
        </w:rPr>
        <w:t>$0.1 million for the years ended December 31, 2025, and 2024, respectively.</w:t>
      </w:r>
    </w:p>
    <w:p>
      <w:pPr>
        <w:pStyle w:val="TextBody"/>
        <w:bidi w:val="0"/>
        <w:spacing w:lineRule="auto" w:line="288" w:before="180" w:after="283"/>
        <w:jc w:val="left"/>
        <w:rPr>
          <w:rFonts w:ascii="Arial;sans-serif" w:hAnsi="Arial;sans-serif"/>
          <w:b/>
          <w:i/>
          <w:color w:val="000000"/>
          <w:sz w:val="19"/>
        </w:rPr>
      </w:pPr>
      <w:r>
        <w:rPr>
          <w:rFonts w:ascii="Arial;sans-serif" w:hAnsi="Arial;sans-serif"/>
          <w:b/>
          <w:i/>
          <w:color w:val="000000"/>
          <w:sz w:val="19"/>
        </w:rPr>
        <w:t>General and Administrative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General and administrative expenses include executive and administrative compensation and employee benefits, depreciation, professional services fees, insurance costs, bad debt, other allocated costs, such as facility-related expenses, supplies, other fixed costs, and stock-based compensation.</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Stock-based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Company measures equity classified stock-based awards, including stock options and RSUs granted to employees, directors, and non-employees based on the estimated fair values of the awards on the date of the grant. Stock-based compensation expense for awards with service-based vesting only is recognized on a straight-line basis over the requisite service period, which is generally the vesting period of such awards, as a component of operating expenses within the consolidated statements of operations. For awards that include performance conditions stock-based compensation expense is recognized on a graded vesting basis over the requisite service period. Compensation expense is not recognized until the performance condition becomes probable. The Company accounts for forfeitures related to these awards as they occur.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fair value of each stock option grant is estimated on the date of grant using the Black-Scholes option-pricing model. This valuation model for stock-based compensation expense requires the Company to make assumptions and judgments about the variables used in the calculation including the expected term, the volatility of the Company’s common stock, and an assumed risk-free interest rate.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fair value of RSUs granted is measured as the fair value per share of the Company’s common stock on the date of grant.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adopted the 2021 Employee Stock Purchase Plan (the 2021 ESPP) effective on October 26, 2021. The 2021 ESPP provides for six-month offering periods beginning May 22 and November 22 of each year, and each offering period consists of a six-month purchase period. The first offering under the 2021 ESPP began on May 22, 2024, and ended on November 21, 2024. Eligible employees are entitled to purchase common stock at the end of six-month offering periods, by means of limited payroll deductions, at a 15% discount from the fair market value of the common stock as of specific dates.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fair value of shares of common stock to be issued under the 2021 ESPP is estimated using the Black-Scholes option pricing model, which is impacted by the fair value of the Company’s common stock, as well as changes in assumptions regarding a number of subjective variables. These variables include the expected common stock price volatility over the term of the awards, the expected term of the awards, and the risk-free interest rate. Stock-based compensation expense for ESPP awards is recognized on a straight-line basis over the term of each ESPP offering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7"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87</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 xml:space="preserve">Income Taxes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Company accounts for income taxes under the asset and liability method. Under this method, deferred taxes are determined based on the temporary differences between the financial statement and tax basis of assets and liabilities using tax rates expected to be in effect during the years in which the basis differences are expected to reverse. The effect of a change in tax rates on deferred tax assets and liabilities is recognized in income in the period that includes the enactment date. The Company provides for a valuation allowance when it is more likely than not that some portion, or all of its deferred tax assets will not be realized. In making such determination, the Company considers all available positive and negative evidence, including future reversals of existing taxable temporary differences, projected future taxable income, tax-planning strategies, and results of recent operations. As of December 31, 2025, and 2024, the Company recorded a full valuation allowance against its U.S. federal, state, and certain foreign jurisdiction net deferred tax assets. </w:t>
      </w:r>
    </w:p>
    <w:p>
      <w:pPr>
        <w:pStyle w:val="TextBody"/>
        <w:bidi w:val="0"/>
        <w:spacing w:lineRule="auto" w:line="288" w:before="180" w:after="283"/>
        <w:jc w:val="both"/>
        <w:rPr/>
      </w:pPr>
      <w:r>
        <w:rPr>
          <w:rFonts w:ascii="Arial;sans-serif" w:hAnsi="Arial;sans-serif"/>
          <w:b w:val="false"/>
          <w:color w:val="000000"/>
          <w:sz w:val="19"/>
          <w:shd w:fill="FFFFFF" w:val="clear"/>
        </w:rPr>
        <w:t xml:space="preserve">ASC Topic 740, </w:t>
      </w:r>
      <w:r>
        <w:rPr>
          <w:rFonts w:ascii="Arial;sans-serif" w:hAnsi="Arial;sans-serif"/>
          <w:b w:val="false"/>
          <w:i/>
          <w:color w:val="000000"/>
          <w:sz w:val="19"/>
          <w:shd w:fill="FFFFFF" w:val="clear"/>
        </w:rPr>
        <w:t>Accounting for Income Taxes (ASC 740),</w:t>
      </w:r>
      <w:r>
        <w:rPr>
          <w:color w:val="000000"/>
          <w:shd w:fill="FFFFFF" w:val="clear"/>
        </w:rPr>
        <w:t xml:space="preserve"> </w:t>
      </w:r>
      <w:r>
        <w:rPr>
          <w:rFonts w:ascii="Arial;sans-serif" w:hAnsi="Arial;sans-serif"/>
          <w:b w:val="false"/>
          <w:color w:val="000000"/>
          <w:sz w:val="19"/>
          <w:shd w:fill="FFFFFF" w:val="clear"/>
        </w:rPr>
        <w:t xml:space="preserve">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w:t>
      </w:r>
      <w:r>
        <w:rPr>
          <w:rFonts w:ascii="Arial;sans-serif" w:hAnsi="Arial;sans-serif"/>
          <w:b w:val="false"/>
          <w:color w:val="000000"/>
          <w:sz w:val="19"/>
        </w:rPr>
        <w:t>There were $4.0 million and $3.6 million unrecognized tax benefits as of December 31, 2025, and 2024, respectively. The Company recognizes accrued interest and penalties related to unrecognized tax benefits as income tax expense. The amounts accrued for the payment of interest and penalties were not significant as of both December 31, 2025, and 2024. The Company is currently not aware of any issues under review that could result in significant payments, accruals or material deviation from its position.</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Fair value of financials instruments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market or the most advantageous market in which it would transact.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maximizes the use of observable inputs and minimizes the use of unobservable inputs when measuring fair value. Observable inputs are inputs that reflect the assumptions market participants would use in valuing the asset or liability and are developed based on market data obtained from sources independent of the Company. Unobservable inputs are inputs that reflect the Company’s own assumptions about the factors that market participants would use in valuing the asset or liability developed based on the best information available in the circumstances.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standard establishes a fair value hierarchy based on the level of independent, objective evidence surrounding the inputs used to measure fair value by requiring that the most observable inputs be used when available. A financial instrument’s categorization within the fair value hierarchy is based upon the lowest level of input that is significant to the fair value measurement. The fair value hierarchy is as follows: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shd w:fill="FFFFFF" w:val="clear"/>
        </w:rPr>
        <w:t>Level 1 applies to assets or liabilities for which there are quoted prices in active markets for identical assets or liabilities that the Company has the ability to access at the measurement date.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Level 2 applies to assets or liabilities for which there are inputs other than quoted prices included in Level 1 that are observable for the asset or liability, either directly or indirectly, such as quoted prices for similar assets or liabilities in active markets; quoted prices for identical assets or liabilities in markets with insufficient volume or infrequent transactions (less active markets).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9"/>
        </w:rPr>
        <w:t>Level 3 applies to assets or liabilities for which fair value is derived from valuation techniques in which one or more significant inputs are unobservable, including the Company’s own assumptions.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determined the estimated fair value of financial instruments using available market information and valuation methodologies considered to be appropriate. The carrying amounts of cash and cash equivalents, accounts receivable and accounts payable approximate their fair values due to their short maturities. The Company’s investments are recorded at fair value and vendor financing arrangements are recorded at net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8"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88</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Investments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All investments in debt securities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and reevaluates such designation as of each balance sheet date. Short-term investments have original maturities of greater than three months but one year or less as of the consolidated balance sheet dates. Long-term investments have maturities greater than one year as of the consolidated balance sheet dates. If the Company expects to sell a debt security within one year, it will classify the investment as a short-term investment regardless of its stated maturity date.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available-for-sale securities are reported at fair value with unrealized gains and losses included in accumulated other comprehensive income (loss). A decline in the fair value of the available-for-sale securities is recognized directly to net income (loss) if judged to be other than temporary. Interest earned on investments in debt securities, realized gains and losses and impairment losses, if any, on investments in debt securities are included in other income (expense), net in the consolidated statements of operations. The cost of securities sold is based on the specific-identification method.</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Equity Method Investments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uses the equity method to account for its investments in companies which the Company does not control but is deemed to have the ability to exercise significant influence over operating and financial decisions of the investee.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generally measures an investment in the common stock of an investee initially at cost. The carrying value of the Company’s equity method investments is reported in equity method investment on the consolidated balance sheets. The Company records its proportionate share of the income or loss in its equity method investments on a one-quarter lag. The cost is adjusted to recognize the Company's proportionate share of the investee’s net income or loss after the date of investment. The Company assesses investments for impairment whenever events or changes in circumstances indicate that the carrying value of an investment may not be recoverable.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Distributions received from an investee reduce the carrying value of an investment and are recorded in the consolidated statements of cash flows using the nature of distribution approach.</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Government Assistance</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Company's government assistance during the year ended December 31, 2025, and 2024 primarily consists of R&amp;D tax credits granted to the Company’s subsidiary in France. These R&amp;D tax credits are granted to encourage companies to conduct technical and scientific research. For accounting purposes, the foreign R&amp;D tax credits are recorded as an offset to research and development expenses in the consolidated statements of operations, and included in prepaid expenses and other current assets and other assets on the consolidated balance sheets based on the expected timing of collection. The Company recorded $3.1 million and $2.2 million of foreign R&amp;D tax credit during the years ended December 31, 2025, and 2024, respectively. The Company expects to collect the R&amp;D tax amounts over a period of four years.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Recent Accounting Pronouncements</w:t>
      </w:r>
    </w:p>
    <w:p>
      <w:pPr>
        <w:pStyle w:val="TextBody"/>
        <w:bidi w:val="0"/>
        <w:spacing w:lineRule="auto" w:line="288" w:before="180" w:after="283"/>
        <w:jc w:val="left"/>
        <w:rPr>
          <w:rFonts w:ascii="Arial;sans-serif" w:hAnsi="Arial;sans-serif"/>
          <w:b w:val="false"/>
          <w:i/>
          <w:color w:val="000000"/>
          <w:sz w:val="19"/>
        </w:rPr>
      </w:pPr>
      <w:r>
        <w:rPr>
          <w:rFonts w:ascii="Arial;sans-serif" w:hAnsi="Arial;sans-serif"/>
          <w:b w:val="false"/>
          <w:i/>
          <w:color w:val="000000"/>
          <w:sz w:val="19"/>
        </w:rPr>
        <w:t>Recently Adopted Accounting Pronouncements</w:t>
      </w:r>
    </w:p>
    <w:p>
      <w:pPr>
        <w:pStyle w:val="TextBody"/>
        <w:bidi w:val="0"/>
        <w:spacing w:lineRule="auto" w:line="288" w:before="180" w:after="283"/>
        <w:jc w:val="both"/>
        <w:rPr/>
      </w:pPr>
      <w:r>
        <w:rPr>
          <w:rFonts w:ascii="Arial;sans-serif" w:hAnsi="Arial;sans-serif"/>
          <w:b w:val="false"/>
          <w:color w:val="000000"/>
          <w:sz w:val="19"/>
        </w:rPr>
        <w:t xml:space="preserve">In December 2023, the Financial Accounting Standards Board (FASB), issued ASU 2023-09, </w:t>
      </w:r>
      <w:r>
        <w:rPr>
          <w:rFonts w:ascii="Arial;sans-serif" w:hAnsi="Arial;sans-serif"/>
          <w:b w:val="false"/>
          <w:i/>
          <w:color w:val="000000"/>
          <w:sz w:val="19"/>
        </w:rPr>
        <w:t>Improvements to Income Tax Disclosures</w:t>
      </w:r>
      <w:r>
        <w:rPr>
          <w:rFonts w:ascii="Arial;sans-serif" w:hAnsi="Arial;sans-serif"/>
          <w:b w:val="false"/>
          <w:color w:val="000000"/>
          <w:sz w:val="19"/>
        </w:rPr>
        <w:t>, which requires (1) consistent categories and greater disaggregation of information in the rate reconciliation and (2) income taxes paid disaggregated by jurisdiction. This ASU is effective for fiscal years beginning after December 15, 2024. The Company adopted ASU 2023-09 on a prospective basis. The adoption of ASU 2023-09 resulted in expanded disclosures in the Company’s consolidated financial statements.</w:t>
      </w:r>
    </w:p>
    <w:p>
      <w:pPr>
        <w:pStyle w:val="TextBody"/>
        <w:bidi w:val="0"/>
        <w:spacing w:lineRule="auto" w:line="288" w:before="180" w:after="283"/>
        <w:jc w:val="both"/>
        <w:rPr>
          <w:rFonts w:ascii="Arial;sans-serif" w:hAnsi="Arial;sans-serif"/>
          <w:b w:val="false"/>
          <w:i/>
          <w:color w:val="000000"/>
          <w:sz w:val="19"/>
        </w:rPr>
      </w:pPr>
      <w:r>
        <w:rPr>
          <w:rFonts w:ascii="Arial;sans-serif" w:hAnsi="Arial;sans-serif"/>
          <w:b w:val="false"/>
          <w:i/>
          <w:color w:val="000000"/>
          <w:sz w:val="19"/>
        </w:rPr>
        <w:t>Recently Issued Accounting Pronouncements Not Yet Adopted</w:t>
      </w:r>
    </w:p>
    <w:p>
      <w:pPr>
        <w:pStyle w:val="TextBody"/>
        <w:bidi w:val="0"/>
        <w:spacing w:lineRule="auto" w:line="288" w:before="180" w:after="283"/>
        <w:jc w:val="both"/>
        <w:rPr/>
      </w:pPr>
      <w:r>
        <w:rPr>
          <w:rFonts w:ascii="Arial;sans-serif" w:hAnsi="Arial;sans-serif"/>
          <w:b w:val="false"/>
          <w:color w:val="000000"/>
          <w:sz w:val="19"/>
        </w:rPr>
        <w:t xml:space="preserve">In December 2025, the FASB issued ASU 2025-12, </w:t>
      </w:r>
      <w:r>
        <w:rPr>
          <w:rFonts w:ascii="Arial;sans-serif" w:hAnsi="Arial;sans-serif"/>
          <w:b w:val="false"/>
          <w:i/>
          <w:color w:val="000000"/>
          <w:sz w:val="19"/>
        </w:rPr>
        <w:t>Codification Improvements</w:t>
      </w:r>
      <w:r>
        <w:rPr>
          <w:rFonts w:ascii="Arial;sans-serif" w:hAnsi="Arial;sans-serif"/>
          <w:b w:val="false"/>
          <w:color w:val="000000"/>
          <w:sz w:val="19"/>
        </w:rPr>
        <w:t>, to address suggestions received from stakeholders on the ASC and to make other incremental improvements to GAAP. This ASU represents changes to the codification that (1) clarify, (2) correct errors, or (3) make minor improvements. The amendments make the codification easier to understand and apply. The guidance is effective for fiscal years beginning after December 15, 2026, including interim periods within those fiscal years. The Company is currently evaluating the impact of adopting this ASU on its consolidated financial statements and disclosures.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9"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89</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19"/>
        </w:rPr>
        <w:t xml:space="preserve">In December 2025, the FASB issued ASU 2025-11, </w:t>
      </w:r>
      <w:r>
        <w:rPr>
          <w:rFonts w:ascii="Arial;sans-serif" w:hAnsi="Arial;sans-serif"/>
          <w:b w:val="false"/>
          <w:i/>
          <w:color w:val="000000"/>
          <w:sz w:val="19"/>
        </w:rPr>
        <w:t>Interim Reporting (Topic 270): Narrow-Scope Improvements</w:t>
      </w:r>
      <w:r>
        <w:rPr>
          <w:rFonts w:ascii="Arial;sans-serif" w:hAnsi="Arial;sans-serif"/>
          <w:b w:val="false"/>
          <w:color w:val="000000"/>
          <w:sz w:val="19"/>
        </w:rPr>
        <w:t>, to amend the guidance in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This ASU is effective for fiscal years beginning after December 15, 2027 and interim reporting periods within those annual reporting periods, with early adoption permitted. The Company is currently evaluating the impact of adopting this ASU on its consolidated financial statements and disclosures.</w:t>
      </w:r>
    </w:p>
    <w:p>
      <w:pPr>
        <w:pStyle w:val="TextBody"/>
        <w:bidi w:val="0"/>
        <w:spacing w:lineRule="auto" w:line="288" w:before="180" w:after="283"/>
        <w:jc w:val="both"/>
        <w:rPr/>
      </w:pPr>
      <w:r>
        <w:rPr>
          <w:rFonts w:ascii="Arial;sans-serif" w:hAnsi="Arial;sans-serif"/>
          <w:b w:val="false"/>
          <w:color w:val="000000"/>
          <w:sz w:val="19"/>
        </w:rPr>
        <w:t xml:space="preserve">In December 2025, the FASB issued ASU 2025-10, </w:t>
      </w:r>
      <w:r>
        <w:rPr>
          <w:rFonts w:ascii="Arial;sans-serif" w:hAnsi="Arial;sans-serif"/>
          <w:b w:val="false"/>
          <w:i/>
          <w:color w:val="000000"/>
          <w:sz w:val="19"/>
        </w:rPr>
        <w:t>Accounting for Government Grants Received by Business Entities</w:t>
      </w:r>
      <w:r>
        <w:rPr>
          <w:rFonts w:ascii="Arial;sans-serif" w:hAnsi="Arial;sans-serif"/>
          <w:b w:val="false"/>
          <w:color w:val="000000"/>
          <w:sz w:val="19"/>
        </w:rPr>
        <w:t>. This ASU establishes the accounting and presentation for government grants received by a business entity under Government Grants (Topic 832). This ASU is effective for fiscal years beginning after December 15, 2028 and interim reporting periods within those annual reporting periods, with early adoption permitted. The Company is currently evaluating the impact of adopting this ASU on its consolidated financial statements and disclosures.</w:t>
      </w:r>
    </w:p>
    <w:p>
      <w:pPr>
        <w:pStyle w:val="TextBody"/>
        <w:bidi w:val="0"/>
        <w:spacing w:lineRule="auto" w:line="288" w:before="180" w:after="283"/>
        <w:jc w:val="both"/>
        <w:rPr/>
      </w:pPr>
      <w:r>
        <w:rPr>
          <w:rFonts w:ascii="Arial;sans-serif" w:hAnsi="Arial;sans-serif"/>
          <w:b w:val="false"/>
          <w:color w:val="000000"/>
          <w:sz w:val="19"/>
        </w:rPr>
        <w:t xml:space="preserve">In September 2025, the FASB issued ASU 2025-06, </w:t>
      </w:r>
      <w:r>
        <w:rPr>
          <w:rFonts w:ascii="Arial;sans-serif" w:hAnsi="Arial;sans-serif"/>
          <w:b w:val="false"/>
          <w:i/>
          <w:color w:val="000000"/>
          <w:sz w:val="19"/>
        </w:rPr>
        <w:t xml:space="preserve">Targeted Improvements to the Accounting for Internal-Use Software, </w:t>
      </w:r>
      <w:r>
        <w:rPr>
          <w:rFonts w:ascii="Arial;sans-serif" w:hAnsi="Arial;sans-serif"/>
          <w:b w:val="false"/>
          <w:color w:val="000000"/>
          <w:sz w:val="19"/>
        </w:rPr>
        <w:t>which eliminates accounting consideration of software project development stages and clarifies the threshold applied to begin capitalizing costs. This ASU is effective for fiscal years beginning after December 15, 2027 and interim reporting periods within those annual reporting periods, with early adoption permitted as of the beginning of an annual period. The Company is currently evaluating the impact of adopting this ASU on its consolidated financial statements and disclosures.</w:t>
      </w:r>
    </w:p>
    <w:p>
      <w:pPr>
        <w:pStyle w:val="TextBody"/>
        <w:bidi w:val="0"/>
        <w:spacing w:lineRule="auto" w:line="288" w:before="180" w:after="283"/>
        <w:jc w:val="both"/>
        <w:rPr/>
      </w:pPr>
      <w:r>
        <w:rPr>
          <w:rFonts w:ascii="Arial;sans-serif" w:hAnsi="Arial;sans-serif"/>
          <w:b w:val="false"/>
          <w:color w:val="000000"/>
          <w:sz w:val="19"/>
        </w:rPr>
        <w:t xml:space="preserve">In July 2025, the FASB issued ASU 2025-05, </w:t>
      </w:r>
      <w:r>
        <w:rPr>
          <w:rFonts w:ascii="Arial;sans-serif" w:hAnsi="Arial;sans-serif"/>
          <w:b w:val="false"/>
          <w:i/>
          <w:color w:val="000000"/>
          <w:sz w:val="19"/>
        </w:rPr>
        <w:t>Financial Instruments - Credit Losses (Topic 326)</w:t>
      </w:r>
      <w:r>
        <w:rPr>
          <w:rFonts w:ascii="Arial;sans-serif" w:hAnsi="Arial;sans-serif"/>
          <w:b w:val="false"/>
          <w:color w:val="000000"/>
          <w:sz w:val="19"/>
        </w:rPr>
        <w:t>, which provides all entities with a practical expedient to assume that current conditions as of the balance sheet date do not change for the remaining life of current accounts receivable and contract assets. This ASU is effective for fiscal years beginning after December 15, 2025 and interim reporting periods within those annual reporting periods, with early adoption permitted. The Company is currently evaluating the impact of adopting this ASU on its consolidated financial statements and disclosures.</w:t>
      </w:r>
    </w:p>
    <w:p>
      <w:pPr>
        <w:pStyle w:val="TextBody"/>
        <w:bidi w:val="0"/>
        <w:spacing w:lineRule="auto" w:line="288" w:before="180" w:after="283"/>
        <w:jc w:val="both"/>
        <w:rPr/>
      </w:pPr>
      <w:r>
        <w:rPr>
          <w:rFonts w:ascii="Arial;sans-serif" w:hAnsi="Arial;sans-serif"/>
          <w:b w:val="false"/>
          <w:color w:val="000000"/>
          <w:sz w:val="19"/>
        </w:rPr>
        <w:t xml:space="preserve">In November 2024, the FASB issued ASU 2024-03, </w:t>
      </w:r>
      <w:r>
        <w:rPr>
          <w:rFonts w:ascii="Arial;sans-serif" w:hAnsi="Arial;sans-serif"/>
          <w:b w:val="false"/>
          <w:i/>
          <w:color w:val="000000"/>
          <w:sz w:val="19"/>
        </w:rPr>
        <w:t xml:space="preserve">Disaggregation of Income Statement Expenses, </w:t>
      </w:r>
      <w:r>
        <w:rPr>
          <w:rFonts w:ascii="Arial;sans-serif" w:hAnsi="Arial;sans-serif"/>
          <w:b w:val="false"/>
          <w:color w:val="000000"/>
          <w:sz w:val="19"/>
        </w:rPr>
        <w:t>and in January 2025, the FASB issued ASU 2025-01,</w:t>
      </w:r>
      <w:r>
        <w:rPr>
          <w:color w:val="000000"/>
        </w:rPr>
        <w:t xml:space="preserve"> </w:t>
      </w:r>
      <w:r>
        <w:rPr>
          <w:rFonts w:ascii="Arial;sans-serif" w:hAnsi="Arial;sans-serif"/>
          <w:b w:val="false"/>
          <w:i/>
          <w:color w:val="000000"/>
          <w:sz w:val="19"/>
        </w:rPr>
        <w:t xml:space="preserve">Income Statement - Reporting Comprehensive Income - Expense Disaggregation Disclosures, </w:t>
      </w:r>
      <w:r>
        <w:rPr>
          <w:rFonts w:ascii="Arial;sans-serif" w:hAnsi="Arial;sans-serif"/>
          <w:b w:val="false"/>
          <w:color w:val="000000"/>
          <w:sz w:val="19"/>
        </w:rPr>
        <w:t>which requires incremental disclosures to disaggregate certain income statement expense line items on an annual and interim basis. ASU 2024-03, as clarified by ASU 2025-01, is effective for fiscal years beginning after December 15, 2026 and interim periods within fiscal years beginning after December 15, 2027, with early adoption permitted. The Company is currently evaluating the impact of adopting these ASUs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3. REVENUE</w:t>
      </w:r>
    </w:p>
    <w:p>
      <w:pPr>
        <w:pStyle w:val="TextBody"/>
        <w:bidi w:val="0"/>
        <w:spacing w:lineRule="auto" w:line="288" w:before="180" w:after="283"/>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Disaggregated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shows revenue by product and services groups (in thousands):</w:t>
      </w:r>
    </w:p>
    <w:tbl>
      <w:tblPr>
        <w:tblW w:w="5986" w:type="dxa"/>
        <w:jc w:val="left"/>
        <w:tblInd w:w="0" w:type="dxa"/>
        <w:tblLayout w:type="fixed"/>
        <w:tblCellMar>
          <w:top w:w="28" w:type="dxa"/>
          <w:left w:w="28" w:type="dxa"/>
          <w:bottom w:w="28" w:type="dxa"/>
          <w:right w:w="28" w:type="dxa"/>
        </w:tblCellMar>
      </w:tblPr>
      <w:tblGrid>
        <w:gridCol w:w="1179"/>
        <w:gridCol w:w="1036"/>
        <w:gridCol w:w="1039"/>
        <w:gridCol w:w="211"/>
        <w:gridCol w:w="751"/>
        <w:gridCol w:w="109"/>
        <w:gridCol w:w="109"/>
        <w:gridCol w:w="109"/>
        <w:gridCol w:w="109"/>
        <w:gridCol w:w="211"/>
        <w:gridCol w:w="751"/>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Licensing, support and maintenance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Variable royalties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Contract Balances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provides information about accounts receivable, net, contract assets and deferred revenue (in thousands):</w:t>
      </w:r>
    </w:p>
    <w:tbl>
      <w:tblPr>
        <w:tblW w:w="5378" w:type="dxa"/>
        <w:jc w:val="left"/>
        <w:tblInd w:w="0" w:type="dxa"/>
        <w:tblLayout w:type="fixed"/>
        <w:tblCellMar>
          <w:top w:w="28" w:type="dxa"/>
          <w:left w:w="28" w:type="dxa"/>
          <w:bottom w:w="28" w:type="dxa"/>
          <w:right w:w="28" w:type="dxa"/>
        </w:tblCellMar>
      </w:tblPr>
      <w:tblGrid>
        <w:gridCol w:w="1037"/>
        <w:gridCol w:w="911"/>
        <w:gridCol w:w="916"/>
        <w:gridCol w:w="211"/>
        <w:gridCol w:w="751"/>
        <w:gridCol w:w="109"/>
        <w:gridCol w:w="109"/>
        <w:gridCol w:w="109"/>
        <w:gridCol w:w="109"/>
        <w:gridCol w:w="211"/>
        <w:gridCol w:w="751"/>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Contract assets,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90"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90</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During the years ended December 31, 2025, and 2024, the Company recognized revenue of $44.0 million and $35.6 million, respectively, that was included in the deferred revenue balance at the beginning of the respective periods. Contract assets, current are included in prepaid expenses and other current assets on the consolidated balance sheets.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2025, non-cancelable contracted but unsatisfied or partially satisfied performance obligations that have not yet been recognized were $112.4 million which include deferred revenue, amounts that will be invoiced and recognized as revenues in future periods and Flexible Spending Accounts (FSA) commitments, from customers where actual product selection and quantities of specific products are to be determined by customers at a future period. The Company expects to recognize $56.8 million of this balance over the next 12 months and the remainder thereafter. FSA commitments amounted to $3.8 million and $2.3 million as of December 31, 2025, and 2024, respectively. The Company has elected to exclude the potential future royalty receipts from these amounts.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Costs of Obtaining a Contract with a Customer</w:t>
      </w:r>
    </w:p>
    <w:p>
      <w:pPr>
        <w:pStyle w:val="TextBody"/>
        <w:bidi w:val="0"/>
        <w:spacing w:lineRule="auto" w:line="288" w:before="180" w:after="283"/>
        <w:jc w:val="both"/>
        <w:rPr/>
      </w:pPr>
      <w:r>
        <w:rPr>
          <w:rFonts w:ascii="Arial;sans-serif" w:hAnsi="Arial;sans-serif"/>
          <w:b w:val="false"/>
          <w:color w:val="000000"/>
          <w:sz w:val="19"/>
          <w:shd w:fill="FFFFFF" w:val="clear"/>
        </w:rPr>
        <w:t xml:space="preserve">Incremental costs of obtaining a contract with a customer consist primarily of direct sales commissions incurred upon execution of the contract. These costs are required to be capitalized under ASC 340-40, </w:t>
      </w:r>
      <w:r>
        <w:rPr>
          <w:rFonts w:ascii="Arial;sans-serif" w:hAnsi="Arial;sans-serif"/>
          <w:b w:val="false"/>
          <w:i/>
          <w:color w:val="000000"/>
          <w:sz w:val="19"/>
          <w:shd w:fill="FFFFFF" w:val="clear"/>
        </w:rPr>
        <w:t>Other Assets and Deferred Costs—Contracts With Customers</w:t>
      </w:r>
      <w:r>
        <w:rPr>
          <w:rFonts w:ascii="Arial;sans-serif" w:hAnsi="Arial;sans-serif"/>
          <w:b w:val="false"/>
          <w:color w:val="000000"/>
          <w:sz w:val="19"/>
          <w:shd w:fill="FFFFFF" w:val="clear"/>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tbl>
      <w:tblPr>
        <w:tblW w:w="9414" w:type="dxa"/>
        <w:jc w:val="left"/>
        <w:tblInd w:w="0" w:type="dxa"/>
        <w:tblLayout w:type="fixed"/>
        <w:tblCellMar>
          <w:top w:w="28" w:type="dxa"/>
          <w:left w:w="28" w:type="dxa"/>
          <w:bottom w:w="28" w:type="dxa"/>
          <w:right w:w="28" w:type="dxa"/>
        </w:tblCellMar>
      </w:tblPr>
      <w:tblGrid>
        <w:gridCol w:w="2574"/>
        <w:gridCol w:w="2265"/>
        <w:gridCol w:w="2271"/>
        <w:gridCol w:w="211"/>
        <w:gridCol w:w="646"/>
        <w:gridCol w:w="109"/>
        <w:gridCol w:w="109"/>
        <w:gridCol w:w="109"/>
        <w:gridCol w:w="109"/>
        <w:gridCol w:w="211"/>
        <w:gridCol w:w="646"/>
        <w:gridCol w:w="154"/>
      </w:tblGrid>
      <w:tr>
        <w:trPr/>
        <w:tc>
          <w:tcPr>
            <w:tcW w:w="2574"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Short-term commission capitalized in prepaid expenses and other 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Long-term commission capitalized in 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Amortization of capitalized sales commissions was $3.6 million and $3.5 million for the years ended December 31, 2025, and 2024, respectively, and are included in sales and marketing expense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4. NET LOSS PER SHARE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presents the calculation of basic and diluted net loss per share attributable to common stockholders (in thousands, except share and per share data):</w:t>
      </w:r>
    </w:p>
    <w:tbl>
      <w:tblPr>
        <w:tblW w:w="8040" w:type="dxa"/>
        <w:jc w:val="left"/>
        <w:tblInd w:w="0" w:type="dxa"/>
        <w:tblLayout w:type="fixed"/>
        <w:tblCellMar>
          <w:top w:w="28" w:type="dxa"/>
          <w:left w:w="28" w:type="dxa"/>
          <w:bottom w:w="28" w:type="dxa"/>
          <w:right w:w="28" w:type="dxa"/>
        </w:tblCellMar>
      </w:tblPr>
      <w:tblGrid>
        <w:gridCol w:w="1801"/>
        <w:gridCol w:w="1582"/>
        <w:gridCol w:w="1597"/>
        <w:gridCol w:w="246"/>
        <w:gridCol w:w="880"/>
        <w:gridCol w:w="109"/>
        <w:gridCol w:w="109"/>
        <w:gridCol w:w="109"/>
        <w:gridCol w:w="109"/>
        <w:gridCol w:w="246"/>
        <w:gridCol w:w="880"/>
        <w:gridCol w:w="109"/>
        <w:gridCol w:w="109"/>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Numerator:</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Net loss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Denominator:</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Weighted-average shares outstanding, basic and diluted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42,290,619 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38,914,197 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Net loss per share, basic and diluted</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Since the Company was in a loss position for all periods presented, the diluted earnings per share was equal to the basic earnings per share as the effect of potentially dilutive securities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91" name="Frame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91</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the potentially dilutive securities that were excluded from the calculation of diluted earnings per share because they would be anti-dilutive:</w:t>
      </w:r>
    </w:p>
    <w:tbl>
      <w:tblPr>
        <w:tblW w:w="8534" w:type="dxa"/>
        <w:jc w:val="left"/>
        <w:tblInd w:w="0" w:type="dxa"/>
        <w:tblLayout w:type="fixed"/>
        <w:tblCellMar>
          <w:top w:w="28" w:type="dxa"/>
          <w:left w:w="28" w:type="dxa"/>
          <w:bottom w:w="28" w:type="dxa"/>
          <w:right w:w="28" w:type="dxa"/>
        </w:tblCellMar>
      </w:tblPr>
      <w:tblGrid>
        <w:gridCol w:w="1928"/>
        <w:gridCol w:w="1694"/>
        <w:gridCol w:w="1702"/>
        <w:gridCol w:w="517"/>
        <w:gridCol w:w="504"/>
        <w:gridCol w:w="181"/>
        <w:gridCol w:w="181"/>
        <w:gridCol w:w="181"/>
        <w:gridCol w:w="181"/>
        <w:gridCol w:w="517"/>
        <w:gridCol w:w="504"/>
        <w:gridCol w:w="181"/>
        <w:gridCol w:w="109"/>
        <w:gridCol w:w="154"/>
      </w:tblGrid>
      <w:tr>
        <w:trPr/>
        <w:tc>
          <w:tcPr>
            <w:tcW w:w="192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Stock options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1,703,146 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2,197,604 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Restricted stock units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4,355,001 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5,225,948 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Restricted common shares issued for business combination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234,859 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Shares committed under the 2021 ESPP</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56,659 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83,398 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w:t>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6,114,806 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7,741,809 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5.    INVESTMENTS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The following tables summarize the fair value and amortized cost of the Company’s cash equivalents and available-for-sale securities by major security type (in thousands):</w:t>
      </w:r>
    </w:p>
    <w:p>
      <w:pPr>
        <w:pStyle w:val="TextBody"/>
        <w:bidi w:val="0"/>
        <w:spacing w:before="0" w:after="0"/>
        <w:jc w:val="left"/>
        <w:rPr/>
      </w:pPr>
      <w:r>
        <w:rPr/>
      </w:r>
    </w:p>
    <w:tbl>
      <w:tblPr>
        <w:tblW w:w="8438" w:type="dxa"/>
        <w:jc w:val="left"/>
        <w:tblInd w:w="0" w:type="dxa"/>
        <w:tblLayout w:type="fixed"/>
        <w:tblCellMar>
          <w:top w:w="28" w:type="dxa"/>
          <w:left w:w="28" w:type="dxa"/>
          <w:bottom w:w="28" w:type="dxa"/>
          <w:right w:w="28" w:type="dxa"/>
        </w:tblCellMar>
      </w:tblPr>
      <w:tblGrid>
        <w:gridCol w:w="1149"/>
        <w:gridCol w:w="1012"/>
        <w:gridCol w:w="1019"/>
        <w:gridCol w:w="266"/>
        <w:gridCol w:w="947"/>
        <w:gridCol w:w="137"/>
        <w:gridCol w:w="109"/>
        <w:gridCol w:w="109"/>
        <w:gridCol w:w="109"/>
        <w:gridCol w:w="421"/>
        <w:gridCol w:w="814"/>
        <w:gridCol w:w="220"/>
        <w:gridCol w:w="109"/>
        <w:gridCol w:w="109"/>
        <w:gridCol w:w="109"/>
        <w:gridCol w:w="340"/>
        <w:gridCol w:w="1211"/>
        <w:gridCol w:w="248"/>
      </w:tblGrid>
      <w:tr>
        <w:trPr/>
        <w:tc>
          <w:tcPr>
            <w:tcW w:w="11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December 31, 2025</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Assets: </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Money market funds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30,661 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18,345 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3,825 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3,830 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3,469 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financial assets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56,259 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56,305 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38" w:type="dxa"/>
        <w:jc w:val="left"/>
        <w:tblInd w:w="0" w:type="dxa"/>
        <w:tblLayout w:type="fixed"/>
        <w:tblCellMar>
          <w:top w:w="28" w:type="dxa"/>
          <w:left w:w="28" w:type="dxa"/>
          <w:bottom w:w="28" w:type="dxa"/>
          <w:right w:w="28" w:type="dxa"/>
        </w:tblCellMar>
      </w:tblPr>
      <w:tblGrid>
        <w:gridCol w:w="1148"/>
        <w:gridCol w:w="1009"/>
        <w:gridCol w:w="1023"/>
        <w:gridCol w:w="266"/>
        <w:gridCol w:w="947"/>
        <w:gridCol w:w="137"/>
        <w:gridCol w:w="109"/>
        <w:gridCol w:w="109"/>
        <w:gridCol w:w="109"/>
        <w:gridCol w:w="440"/>
        <w:gridCol w:w="786"/>
        <w:gridCol w:w="229"/>
        <w:gridCol w:w="109"/>
        <w:gridCol w:w="109"/>
        <w:gridCol w:w="109"/>
        <w:gridCol w:w="340"/>
        <w:gridCol w:w="1211"/>
        <w:gridCol w:w="248"/>
      </w:tblGrid>
      <w:tr>
        <w:trPr/>
        <w:tc>
          <w:tcPr>
            <w:tcW w:w="114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December 31, 2024</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Assets: </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18,746 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11,752 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11,753 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Money market funds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10,410 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8,157 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8,162 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financial assets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49,049 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49,071 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maturity dates of the Company’s investments are as follows (in thousands):</w:t>
      </w:r>
    </w:p>
    <w:tbl>
      <w:tblPr>
        <w:tblW w:w="3404" w:type="dxa"/>
        <w:jc w:val="left"/>
        <w:tblInd w:w="0" w:type="dxa"/>
        <w:tblLayout w:type="fixed"/>
        <w:tblCellMar>
          <w:top w:w="28" w:type="dxa"/>
          <w:left w:w="28" w:type="dxa"/>
          <w:bottom w:w="28" w:type="dxa"/>
          <w:right w:w="28" w:type="dxa"/>
        </w:tblCellMar>
      </w:tblPr>
      <w:tblGrid>
        <w:gridCol w:w="647"/>
        <w:gridCol w:w="567"/>
        <w:gridCol w:w="571"/>
        <w:gridCol w:w="306"/>
        <w:gridCol w:w="1090"/>
        <w:gridCol w:w="223"/>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than one year</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51,359 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1-2 years</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4,946 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56,305 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As of both December 31, 2025 and 2024, there were no securities in a continuous net unrealized loss position for more than 12 months. As of both December 31, 2025, and 2024,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both December 31, 2025, and 2024 no allowance for credit losses or impairment losses for the Company’s investments were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92"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6. FAIR VALUE MEASUREMENTS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Assets Measured and Recorded at Fair Value on a Non-Recurring Basis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Equity method investments, and certain non-financial assets, such as intangible assets, are remeasured at fair value only if an impairment or observable price adjustment is recognized in the current period.</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Financial Instruments Not Recorded at Fair Value on a Recurring Basis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Financial instruments not recorded at fair value on a recurring basis include vendor financing arrangements. The carrying value of the vendor financing agreements was $1.6 million and $2.1 million as of December 31, 2025, and 2024,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Recorded at Fair Value on a Recurring Basis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tables summarize the Company’s financial assets measured at fair value on a recurring basis by level within the fair value hierarchy (in thousands):</w:t>
      </w:r>
    </w:p>
    <w:p>
      <w:pPr>
        <w:pStyle w:val="TextBody"/>
        <w:bidi w:val="0"/>
        <w:spacing w:before="0" w:after="0"/>
        <w:jc w:val="left"/>
        <w:rPr/>
      </w:pPr>
      <w:r>
        <w:rPr/>
      </w:r>
    </w:p>
    <w:tbl>
      <w:tblPr>
        <w:tblW w:w="8145" w:type="dxa"/>
        <w:jc w:val="left"/>
        <w:tblInd w:w="0" w:type="dxa"/>
        <w:tblLayout w:type="fixed"/>
        <w:tblCellMar>
          <w:top w:w="28" w:type="dxa"/>
          <w:left w:w="28" w:type="dxa"/>
          <w:bottom w:w="28" w:type="dxa"/>
          <w:right w:w="28" w:type="dxa"/>
        </w:tblCellMar>
      </w:tblPr>
      <w:tblGrid>
        <w:gridCol w:w="1147"/>
        <w:gridCol w:w="1010"/>
        <w:gridCol w:w="1023"/>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December 31, 2025</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Assets: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cash equivalents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Short-term investments: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short-term investments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Long-term investments: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long-term investments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93"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8145" w:type="dxa"/>
        <w:jc w:val="left"/>
        <w:tblInd w:w="0" w:type="dxa"/>
        <w:tblLayout w:type="fixed"/>
        <w:tblCellMar>
          <w:top w:w="28" w:type="dxa"/>
          <w:left w:w="28" w:type="dxa"/>
          <w:bottom w:w="28" w:type="dxa"/>
          <w:right w:w="28" w:type="dxa"/>
        </w:tblCellMar>
      </w:tblPr>
      <w:tblGrid>
        <w:gridCol w:w="1147"/>
        <w:gridCol w:w="1010"/>
        <w:gridCol w:w="1023"/>
        <w:gridCol w:w="211"/>
        <w:gridCol w:w="751"/>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December 31, 2024</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Assets: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cash equivalents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Short-term investments: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short-term investments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Long-term investments: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Corporate bonds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U.S. treasury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long-term investments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Money market funds are highly liquid investments and are actively traded. The fair value is based on quoted prices for identical assets in active markets and therefore classified as Level 1 of the fair value hierarchy. </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The Company’s other investments are considered Level 2 financial instruments as their fair values are determined using inputs that are directly or indirectly observable in active or less active markets. There were no transfers between levels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shd w:fill="FFFFFF" w:val="clear"/>
        </w:rPr>
      </w:pPr>
      <w:r>
        <w:rPr>
          <w:rFonts w:ascii="Arial;sans-serif" w:hAnsi="Arial;sans-serif"/>
          <w:b/>
          <w:color w:val="000000"/>
          <w:sz w:val="20"/>
          <w:shd w:fill="FFFFFF" w:val="clear"/>
        </w:rPr>
        <w:t>7. INTANGIBLE ASSETS AND GOODWILL</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Intangible assets, net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Intangible assets, net consisted of the following as of December 31, 2025 (in thousands):</w:t>
      </w:r>
    </w:p>
    <w:tbl>
      <w:tblPr>
        <w:tblW w:w="10205" w:type="dxa"/>
        <w:jc w:val="left"/>
        <w:tblInd w:w="0" w:type="dxa"/>
        <w:tblLayout w:type="fixed"/>
        <w:tblCellMar>
          <w:top w:w="28" w:type="dxa"/>
          <w:left w:w="28" w:type="dxa"/>
          <w:bottom w:w="28" w:type="dxa"/>
          <w:right w:w="28" w:type="dxa"/>
        </w:tblCellMar>
      </w:tblPr>
      <w:tblGrid>
        <w:gridCol w:w="723"/>
        <w:gridCol w:w="611"/>
        <w:gridCol w:w="614"/>
        <w:gridCol w:w="290"/>
        <w:gridCol w:w="888"/>
        <w:gridCol w:w="149"/>
        <w:gridCol w:w="109"/>
        <w:gridCol w:w="109"/>
        <w:gridCol w:w="109"/>
        <w:gridCol w:w="443"/>
        <w:gridCol w:w="1362"/>
        <w:gridCol w:w="230"/>
        <w:gridCol w:w="109"/>
        <w:gridCol w:w="109"/>
        <w:gridCol w:w="109"/>
        <w:gridCol w:w="273"/>
        <w:gridCol w:w="839"/>
        <w:gridCol w:w="141"/>
        <w:gridCol w:w="109"/>
        <w:gridCol w:w="109"/>
        <w:gridCol w:w="109"/>
        <w:gridCol w:w="796"/>
        <w:gridCol w:w="796"/>
        <w:gridCol w:w="798"/>
        <w:gridCol w:w="109"/>
        <w:gridCol w:w="162"/>
      </w:tblGrid>
      <w:tr>
        <w:trPr/>
        <w:tc>
          <w:tcPr>
            <w:tcW w:w="72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 Useful Lives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Developed technology</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(2,446)</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1,144 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years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 years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Trade name and other</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intangibles</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(3,452)</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2,168 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Intangible assets, net consisted of the following as of December 31, 2024 (in thousands):</w:t>
      </w:r>
    </w:p>
    <w:tbl>
      <w:tblPr>
        <w:tblW w:w="10205" w:type="dxa"/>
        <w:jc w:val="left"/>
        <w:tblInd w:w="0" w:type="dxa"/>
        <w:tblLayout w:type="fixed"/>
        <w:tblCellMar>
          <w:top w:w="28" w:type="dxa"/>
          <w:left w:w="28" w:type="dxa"/>
          <w:bottom w:w="28" w:type="dxa"/>
          <w:right w:w="28" w:type="dxa"/>
        </w:tblCellMar>
      </w:tblPr>
      <w:tblGrid>
        <w:gridCol w:w="723"/>
        <w:gridCol w:w="611"/>
        <w:gridCol w:w="614"/>
        <w:gridCol w:w="290"/>
        <w:gridCol w:w="888"/>
        <w:gridCol w:w="149"/>
        <w:gridCol w:w="109"/>
        <w:gridCol w:w="109"/>
        <w:gridCol w:w="109"/>
        <w:gridCol w:w="443"/>
        <w:gridCol w:w="1362"/>
        <w:gridCol w:w="230"/>
        <w:gridCol w:w="109"/>
        <w:gridCol w:w="109"/>
        <w:gridCol w:w="109"/>
        <w:gridCol w:w="273"/>
        <w:gridCol w:w="839"/>
        <w:gridCol w:w="141"/>
        <w:gridCol w:w="109"/>
        <w:gridCol w:w="109"/>
        <w:gridCol w:w="109"/>
        <w:gridCol w:w="796"/>
        <w:gridCol w:w="796"/>
        <w:gridCol w:w="798"/>
        <w:gridCol w:w="109"/>
        <w:gridCol w:w="162"/>
      </w:tblGrid>
      <w:tr>
        <w:trPr/>
        <w:tc>
          <w:tcPr>
            <w:tcW w:w="72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 Useful Lives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Developed technology</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(1,835)</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1,755 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 years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 years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Trade name and other</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intangibles</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(2,596)</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3,024 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19"/>
          <w:shd w:fill="FFFFFF" w:val="clear"/>
        </w:rPr>
        <w:t>Amortization expense of intangible assets was $0.9 million</w:t>
      </w:r>
      <w:r>
        <w:rPr>
          <w:color w:val="000000"/>
        </w:rPr>
        <w:t xml:space="preserve"> </w:t>
      </w:r>
      <w:r>
        <w:rPr>
          <w:rFonts w:ascii="Arial;sans-serif" w:hAnsi="Arial;sans-serif"/>
          <w:b w:val="false"/>
          <w:color w:val="000000"/>
          <w:sz w:val="19"/>
        </w:rPr>
        <w:t xml:space="preserve">and </w:t>
      </w:r>
      <w:r>
        <w:rPr>
          <w:rFonts w:ascii="Arial;sans-serif" w:hAnsi="Arial;sans-serif"/>
          <w:b w:val="false"/>
          <w:color w:val="000000"/>
          <w:sz w:val="19"/>
          <w:shd w:fill="FFFFFF" w:val="clear"/>
        </w:rPr>
        <w:t>$0.8 million for the years ended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94"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The expected future amortization expense of these intangible assets as of December 31, 2025, is as follows (in thousands)</w:t>
      </w:r>
      <w:r>
        <w:rPr>
          <w:rFonts w:ascii="Arial;sans-serif" w:hAnsi="Arial;sans-serif"/>
          <w:b w:val="false"/>
          <w:color w:val="000000"/>
          <w:sz w:val="24"/>
        </w:rPr>
        <w:t>:</w:t>
      </w:r>
    </w:p>
    <w:tbl>
      <w:tblPr>
        <w:tblW w:w="4040" w:type="dxa"/>
        <w:jc w:val="left"/>
        <w:tblInd w:w="0" w:type="dxa"/>
        <w:tblLayout w:type="fixed"/>
        <w:tblCellMar>
          <w:top w:w="28" w:type="dxa"/>
          <w:left w:w="28" w:type="dxa"/>
          <w:bottom w:w="28" w:type="dxa"/>
          <w:right w:w="28" w:type="dxa"/>
        </w:tblCellMar>
      </w:tblPr>
      <w:tblGrid>
        <w:gridCol w:w="1098"/>
        <w:gridCol w:w="962"/>
        <w:gridCol w:w="969"/>
        <w:gridCol w:w="211"/>
        <w:gridCol w:w="646"/>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 ending December 31,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527</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516</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2030</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future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Goodwill</w:t>
      </w:r>
    </w:p>
    <w:p>
      <w:pPr>
        <w:pStyle w:val="TextBody"/>
        <w:bidi w:val="0"/>
        <w:spacing w:lineRule="auto" w:line="288" w:before="180" w:after="120"/>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Goodwill was $4.2 million as of both December 31, 2025, and 2024. No goodwill impairments were recorded during the years ended December 31,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0"/>
          <w:shd w:fill="FFFFFF" w:val="clear"/>
        </w:rPr>
      </w:pPr>
      <w:r>
        <w:rPr>
          <w:rFonts w:ascii="Arial;sans-serif" w:hAnsi="Arial;sans-serif"/>
          <w:b/>
          <w:color w:val="000000"/>
          <w:sz w:val="20"/>
          <w:shd w:fill="FFFFFF" w:val="clear"/>
        </w:rPr>
        <w:t>8. BALANCE SHEET COMPONENTS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Certain changes in presentation have been made to conform the prior period presentation to the current period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9"/>
          <w:shd w:fill="FFFFFF" w:val="clear"/>
        </w:rPr>
      </w:pPr>
      <w:r>
        <w:rPr>
          <w:rFonts w:ascii="Arial;sans-serif" w:hAnsi="Arial;sans-serif"/>
          <w:b/>
          <w:i/>
          <w:color w:val="000000"/>
          <w:sz w:val="19"/>
          <w:shd w:fill="FFFFFF" w:val="clear"/>
        </w:rPr>
        <w:t>Accounts Receivable, net</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presents the components of accounts receivable, net (in thousands):</w:t>
      </w:r>
    </w:p>
    <w:tbl>
      <w:tblPr>
        <w:tblW w:w="5483" w:type="dxa"/>
        <w:jc w:val="left"/>
        <w:tblInd w:w="0" w:type="dxa"/>
        <w:tblLayout w:type="fixed"/>
        <w:tblCellMar>
          <w:top w:w="28" w:type="dxa"/>
          <w:left w:w="28" w:type="dxa"/>
          <w:bottom w:w="28" w:type="dxa"/>
          <w:right w:w="28" w:type="dxa"/>
        </w:tblCellMar>
      </w:tblPr>
      <w:tblGrid>
        <w:gridCol w:w="1074"/>
        <w:gridCol w:w="945"/>
        <w:gridCol w:w="950"/>
        <w:gridCol w:w="211"/>
        <w:gridCol w:w="751"/>
        <w:gridCol w:w="109"/>
        <w:gridCol w:w="109"/>
        <w:gridCol w:w="109"/>
        <w:gridCol w:w="109"/>
        <w:gridCol w:w="211"/>
        <w:gridCol w:w="751"/>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Unbilled accounts receivable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accounts receivable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20,739 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Less: allowance for credit losses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allowance for credit losses was $0.1 million as of both December 31, 2025, and 2024.</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Prepaid Expenses and Other Current Assets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Prepaid expenses and other current assets consisted of the following (in thousands):</w:t>
      </w:r>
    </w:p>
    <w:tbl>
      <w:tblPr>
        <w:tblW w:w="6623" w:type="dxa"/>
        <w:jc w:val="left"/>
        <w:tblInd w:w="0" w:type="dxa"/>
        <w:tblLayout w:type="fixed"/>
        <w:tblCellMar>
          <w:top w:w="28" w:type="dxa"/>
          <w:left w:w="28" w:type="dxa"/>
          <w:bottom w:w="28" w:type="dxa"/>
          <w:right w:w="28" w:type="dxa"/>
        </w:tblCellMar>
      </w:tblPr>
      <w:tblGrid>
        <w:gridCol w:w="1564"/>
        <w:gridCol w:w="1374"/>
        <w:gridCol w:w="1381"/>
        <w:gridCol w:w="211"/>
        <w:gridCol w:w="646"/>
        <w:gridCol w:w="109"/>
        <w:gridCol w:w="109"/>
        <w:gridCol w:w="109"/>
        <w:gridCol w:w="109"/>
        <w:gridCol w:w="211"/>
        <w:gridCol w:w="64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Capitalized commissions asset,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Foreign R&amp;D tax credit receivable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Software &amp; subscriptions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Insurance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Deferred offering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Investment interest receivable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Contract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445"/>
                <wp:effectExtent l="0" t="0" r="0" b="0"/>
                <wp:wrapNone/>
                <wp:docPr id="95"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Property and Equipment, net</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Property and equipment consisted of the following (in thousands):</w:t>
      </w:r>
    </w:p>
    <w:tbl>
      <w:tblPr>
        <w:tblW w:w="6684" w:type="dxa"/>
        <w:jc w:val="left"/>
        <w:tblInd w:w="0" w:type="dxa"/>
        <w:tblLayout w:type="fixed"/>
        <w:tblCellMar>
          <w:top w:w="28" w:type="dxa"/>
          <w:left w:w="28" w:type="dxa"/>
          <w:bottom w:w="28" w:type="dxa"/>
          <w:right w:w="28" w:type="dxa"/>
        </w:tblCellMar>
      </w:tblPr>
      <w:tblGrid>
        <w:gridCol w:w="1587"/>
        <w:gridCol w:w="1393"/>
        <w:gridCol w:w="1400"/>
        <w:gridCol w:w="211"/>
        <w:gridCol w:w="646"/>
        <w:gridCol w:w="109"/>
        <w:gridCol w:w="109"/>
        <w:gridCol w:w="109"/>
        <w:gridCol w:w="109"/>
        <w:gridCol w:w="211"/>
        <w:gridCol w:w="646"/>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Software and technology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Office furniture and hardware equipment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Leasehold improvements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Construction in progress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property and equipment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Less: accumulated depreciation and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Depreciation and amortization expenses related to property and equipment for both the years ended December 31, 2025, and 2024, were $2.5 million.</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Other Assets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Other assets consisted of the following (in thousands):</w:t>
      </w:r>
    </w:p>
    <w:tbl>
      <w:tblPr>
        <w:tblW w:w="5633" w:type="dxa"/>
        <w:jc w:val="left"/>
        <w:tblInd w:w="0" w:type="dxa"/>
        <w:tblLayout w:type="fixed"/>
        <w:tblCellMar>
          <w:top w:w="28" w:type="dxa"/>
          <w:left w:w="28" w:type="dxa"/>
          <w:bottom w:w="28" w:type="dxa"/>
          <w:right w:w="28" w:type="dxa"/>
        </w:tblCellMar>
      </w:tblPr>
      <w:tblGrid>
        <w:gridCol w:w="1167"/>
        <w:gridCol w:w="1025"/>
        <w:gridCol w:w="1032"/>
        <w:gridCol w:w="211"/>
        <w:gridCol w:w="751"/>
        <w:gridCol w:w="109"/>
        <w:gridCol w:w="109"/>
        <w:gridCol w:w="109"/>
        <w:gridCol w:w="109"/>
        <w:gridCol w:w="211"/>
        <w:gridCol w:w="64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Foreign R&amp;D tax credit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Capitalized commissions asset,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other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Accrued Expenses and Other Current Liabilities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Accrued expenses and other current liabilities consisted of the following (in thousands):</w:t>
      </w:r>
    </w:p>
    <w:tbl>
      <w:tblPr>
        <w:tblW w:w="7059" w:type="dxa"/>
        <w:jc w:val="left"/>
        <w:tblInd w:w="0" w:type="dxa"/>
        <w:tblLayout w:type="fixed"/>
        <w:tblCellMar>
          <w:top w:w="28" w:type="dxa"/>
          <w:left w:w="28" w:type="dxa"/>
          <w:bottom w:w="28" w:type="dxa"/>
          <w:right w:w="28" w:type="dxa"/>
        </w:tblCellMar>
      </w:tblPr>
      <w:tblGrid>
        <w:gridCol w:w="1648"/>
        <w:gridCol w:w="1446"/>
        <w:gridCol w:w="1451"/>
        <w:gridCol w:w="211"/>
        <w:gridCol w:w="751"/>
        <w:gridCol w:w="109"/>
        <w:gridCol w:w="109"/>
        <w:gridCol w:w="109"/>
        <w:gridCol w:w="109"/>
        <w:gridCol w:w="211"/>
        <w:gridCol w:w="751"/>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Payroll and 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Accrued professional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Customer refund liability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Deferred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Contingent acquisition milestone liability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 accrued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15,899 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Other Liabilities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Other liabilities consist of the following (in thousands):</w:t>
      </w:r>
    </w:p>
    <w:tbl>
      <w:tblPr>
        <w:tblW w:w="4673" w:type="dxa"/>
        <w:jc w:val="left"/>
        <w:tblInd w:w="0" w:type="dxa"/>
        <w:tblLayout w:type="fixed"/>
        <w:tblCellMar>
          <w:top w:w="28" w:type="dxa"/>
          <w:left w:w="28" w:type="dxa"/>
          <w:bottom w:w="28" w:type="dxa"/>
          <w:right w:w="28" w:type="dxa"/>
        </w:tblCellMar>
      </w:tblPr>
      <w:tblGrid>
        <w:gridCol w:w="858"/>
        <w:gridCol w:w="754"/>
        <w:gridCol w:w="757"/>
        <w:gridCol w:w="211"/>
        <w:gridCol w:w="646"/>
        <w:gridCol w:w="109"/>
        <w:gridCol w:w="109"/>
        <w:gridCol w:w="109"/>
        <w:gridCol w:w="109"/>
        <w:gridCol w:w="211"/>
        <w:gridCol w:w="64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Pension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Retirement benefit liability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Other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other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445"/>
                <wp:effectExtent l="0" t="0" r="0" b="0"/>
                <wp:wrapNone/>
                <wp:docPr id="96" name="Frame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96</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9. LEASES</w:t>
      </w:r>
    </w:p>
    <w:p>
      <w:pPr>
        <w:pStyle w:val="TextBody"/>
        <w:bidi w:val="0"/>
        <w:spacing w:lineRule="auto" w:line="288" w:before="180" w:after="283"/>
        <w:jc w:val="both"/>
        <w:rPr/>
      </w:pPr>
      <w:r>
        <w:rPr>
          <w:rFonts w:ascii="Arial;sans-serif" w:hAnsi="Arial;sans-serif"/>
          <w:b w:val="false"/>
          <w:color w:val="000000"/>
          <w:sz w:val="19"/>
          <w:shd w:fill="FFFFFF" w:val="clear"/>
        </w:rPr>
        <w:t>The Company leases its of</w:t>
      </w:r>
      <w:r>
        <w:rPr>
          <w:rFonts w:ascii="Arial;sans-serif" w:hAnsi="Arial;sans-serif"/>
          <w:b w:val="false"/>
          <w:color w:val="000000"/>
          <w:sz w:val="19"/>
        </w:rPr>
        <w:t>fices and data center hosting space at various locations under operating lease agreements expiring at various dates through 2034. Under the terms of these agreements, the Company also bears the costs for certain insurance, property tax, and maintenance. The terms of certain lease agreements provide for increasing rental payments at fixed intervals.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Total operating lease related costs were as follows (in thousands):</w:t>
      </w:r>
    </w:p>
    <w:tbl>
      <w:tblPr>
        <w:tblW w:w="4516" w:type="dxa"/>
        <w:jc w:val="left"/>
        <w:tblInd w:w="0" w:type="dxa"/>
        <w:tblLayout w:type="fixed"/>
        <w:tblCellMar>
          <w:top w:w="28" w:type="dxa"/>
          <w:left w:w="28" w:type="dxa"/>
          <w:bottom w:w="28" w:type="dxa"/>
          <w:right w:w="28" w:type="dxa"/>
        </w:tblCellMar>
      </w:tblPr>
      <w:tblGrid>
        <w:gridCol w:w="722"/>
        <w:gridCol w:w="635"/>
        <w:gridCol w:w="637"/>
        <w:gridCol w:w="211"/>
        <w:gridCol w:w="646"/>
        <w:gridCol w:w="109"/>
        <w:gridCol w:w="109"/>
        <w:gridCol w:w="109"/>
        <w:gridCol w:w="109"/>
        <w:gridCol w:w="211"/>
        <w:gridCol w:w="646"/>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Short-term lease cost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19"/>
        </w:rPr>
        <w:t>The weighted-average remaining term of the Company’s operating leases was 3.8 years and 3.9 years as of December 31, 2025, and 2024, respectively. The weighted-average discount rate used to measure the present value of the operating lease liabilities was 10.0% as of</w:t>
      </w:r>
      <w:r>
        <w:rPr>
          <w:color w:val="000000"/>
          <w:shd w:fill="FFFFFF" w:val="clear"/>
        </w:rPr>
        <w:t xml:space="preserve"> </w:t>
      </w:r>
      <w:r>
        <w:rPr>
          <w:rFonts w:ascii="Arial;sans-serif" w:hAnsi="Arial;sans-serif"/>
          <w:b w:val="false"/>
          <w:color w:val="000000"/>
          <w:sz w:val="19"/>
          <w:shd w:fill="FFFFFF" w:val="clear"/>
        </w:rPr>
        <w:t>both December 31, 2025, and 2024. Cash payments made related to operating lease liabilities were $1.6 million and $1.2 million for the years ended December 31, 2025, and 2024, respectively.</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Maturities of operating lease liabilities as of December 31, 2025, were as follows (in thousands):</w:t>
      </w:r>
    </w:p>
    <w:tbl>
      <w:tblPr>
        <w:tblW w:w="4341" w:type="dxa"/>
        <w:jc w:val="left"/>
        <w:tblInd w:w="0" w:type="dxa"/>
        <w:tblLayout w:type="fixed"/>
        <w:tblCellMar>
          <w:top w:w="28" w:type="dxa"/>
          <w:left w:w="28" w:type="dxa"/>
          <w:bottom w:w="28" w:type="dxa"/>
          <w:right w:w="28" w:type="dxa"/>
        </w:tblCellMar>
      </w:tblPr>
      <w:tblGrid>
        <w:gridCol w:w="1207"/>
        <w:gridCol w:w="1057"/>
        <w:gridCol w:w="1066"/>
        <w:gridCol w:w="211"/>
        <w:gridCol w:w="646"/>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 ending December 31,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2030</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undiscounted cash flows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imputed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Present value of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Operating lease liabilities,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Operating lease liabilities, noncurrent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97"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97</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10. BORROWINGS</w:t>
      </w:r>
    </w:p>
    <w:p>
      <w:pPr>
        <w:pStyle w:val="TextBody"/>
        <w:bidi w:val="0"/>
        <w:spacing w:lineRule="auto" w:line="288" w:before="180" w:after="283"/>
        <w:jc w:val="both"/>
        <w:rPr/>
      </w:pPr>
      <w:r>
        <w:rPr>
          <w:rFonts w:ascii="Arial;sans-serif" w:hAnsi="Arial;sans-serif"/>
          <w:b/>
          <w:color w:val="000000"/>
          <w:sz w:val="19"/>
          <w:shd w:fill="FFFFFF" w:val="clear"/>
        </w:rPr>
        <w:t>Vendor financing arrangements</w:t>
      </w:r>
      <w:r>
        <w:rPr>
          <w:color w:val="000000"/>
          <w:shd w:fill="FFFFFF" w:val="clear"/>
        </w:rPr>
        <w:t>—</w:t>
      </w:r>
      <w:r>
        <w:rPr>
          <w:rFonts w:ascii="Arial;sans-serif" w:hAnsi="Arial;sans-serif"/>
          <w:b w:val="false"/>
          <w:color w:val="000000"/>
          <w:sz w:val="19"/>
          <w:shd w:fill="FFFFFF" w:val="clear"/>
        </w:rPr>
        <w:t xml:space="preserve">The Company has various vendor financing arrangements with extended payment terms on the purchase of software licenses and equipment. In order to determine the present value of the commitments, the Company used an imputed interest rate of 10.0%, which is an estimate based on the Company’s collateralized borrowing rate.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Expected cash flows related to vendor financing arrangements as of December 31, 2025, were as follows (in thousands):</w:t>
      </w:r>
    </w:p>
    <w:tbl>
      <w:tblPr>
        <w:tblW w:w="5285" w:type="dxa"/>
        <w:jc w:val="left"/>
        <w:tblInd w:w="0" w:type="dxa"/>
        <w:tblLayout w:type="fixed"/>
        <w:tblCellMar>
          <w:top w:w="28" w:type="dxa"/>
          <w:left w:w="28" w:type="dxa"/>
          <w:bottom w:w="28" w:type="dxa"/>
          <w:right w:w="28" w:type="dxa"/>
        </w:tblCellMar>
      </w:tblPr>
      <w:tblGrid>
        <w:gridCol w:w="1549"/>
        <w:gridCol w:w="1357"/>
        <w:gridCol w:w="1368"/>
        <w:gridCol w:w="211"/>
        <w:gridCol w:w="646"/>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Fiscal year ending December 31,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undiscounted cash flows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Imputed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Present value of vendor financing arrangements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Vendor financing arrangements,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Vendor financing arrangements, noncurrent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11. COMMITMENTS AND CONTINGENCIES</w:t>
      </w:r>
    </w:p>
    <w:p>
      <w:pPr>
        <w:pStyle w:val="TextBody"/>
        <w:bidi w:val="0"/>
        <w:spacing w:lineRule="auto" w:line="288" w:before="180" w:after="283"/>
        <w:jc w:val="both"/>
        <w:rPr/>
      </w:pPr>
      <w:r>
        <w:rPr>
          <w:rFonts w:ascii="Arial;sans-serif" w:hAnsi="Arial;sans-serif"/>
          <w:b/>
          <w:color w:val="000000"/>
          <w:sz w:val="19"/>
        </w:rPr>
        <w:t>Indemnifications</w:t>
      </w:r>
      <w:r>
        <w:rPr>
          <w:color w:val="000000"/>
        </w:rPr>
        <w:t>—</w:t>
      </w:r>
      <w:r>
        <w:rPr>
          <w:rFonts w:ascii="Arial;sans-serif" w:hAnsi="Arial;sans-serif"/>
          <w:b w:val="false"/>
          <w:color w:val="000000"/>
          <w:sz w:val="19"/>
        </w:rPr>
        <w:t>The Company often enters into limited indemnification provisions in license agreements in the ordinary course of the Company’s licensing business. Pursuant to these provisions, which are often inserted into license agreements in the semiconductor IP and software licensing industries, the Company agrees to indemnify, hold harmless, and reimburse the indemnified parties up to a capped amo</w:t>
      </w:r>
      <w:r>
        <w:rPr>
          <w:rFonts w:ascii="Arial;sans-serif" w:hAnsi="Arial;sans-serif"/>
          <w:b w:val="false"/>
          <w:color w:val="000000"/>
          <w:sz w:val="19"/>
          <w:shd w:fill="FFFFFF" w:val="clear"/>
        </w:rPr>
        <w:t>unt for losses suffered or incurred by such indemnified parties due to third-party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has incurred no actual payment obligations from these above-noted indemnification provisions and director and officer indemnity agreements during 2025 and 2024, and the consolidated financial statements do not include liabilities for any potential indemnity-related obligations as of December 31, 2025, and 2024.</w:t>
      </w:r>
    </w:p>
    <w:p>
      <w:pPr>
        <w:pStyle w:val="TextBody"/>
        <w:bidi w:val="0"/>
        <w:spacing w:lineRule="auto" w:line="288" w:before="180" w:after="283"/>
        <w:jc w:val="both"/>
        <w:rPr/>
      </w:pPr>
      <w:r>
        <w:rPr>
          <w:rFonts w:ascii="Arial;sans-serif" w:hAnsi="Arial;sans-serif"/>
          <w:b/>
          <w:color w:val="000000"/>
          <w:sz w:val="19"/>
          <w:shd w:fill="FFFFFF" w:val="clear"/>
        </w:rPr>
        <w:t>Legal</w:t>
      </w:r>
      <w:r>
        <w:rPr>
          <w:color w:val="000000"/>
          <w:shd w:fill="FFFFFF" w:val="clear"/>
        </w:rPr>
        <w:t>—</w:t>
      </w:r>
      <w:r>
        <w:rPr>
          <w:rFonts w:ascii="Arial;sans-serif" w:hAnsi="Arial;sans-serif"/>
          <w:b w:val="false"/>
          <w:color w:val="000000"/>
          <w:sz w:val="19"/>
          <w:shd w:fill="FFFFFF" w:val="clear"/>
        </w:rPr>
        <w:t>The Company has been and will continue to be subject to legal proceedings and claims.</w:t>
      </w:r>
    </w:p>
    <w:p>
      <w:pPr>
        <w:pStyle w:val="TextBody"/>
        <w:bidi w:val="0"/>
        <w:spacing w:lineRule="auto" w:line="288" w:before="180" w:after="283"/>
        <w:jc w:val="both"/>
        <w:rPr/>
      </w:pPr>
      <w:r>
        <w:rPr>
          <w:rFonts w:ascii="Arial;sans-serif" w:hAnsi="Arial;sans-serif"/>
          <w:b w:val="false"/>
          <w:color w:val="000000"/>
          <w:sz w:val="19"/>
          <w:shd w:fill="FFFFFF" w:val="clear"/>
        </w:rPr>
        <w:t xml:space="preserve">In the normal course of business, the Company may receive inquiries or become involved in legal disputes regarding such litigation matters. The resolution of these matters often develops over time and expectations can change as a result of new findings, rulings, appeals or settlement arrangements. These matters are subject to inherent uncertainties and management’s view of these matters may change in the future. Pursuant to ASC 450, </w:t>
      </w:r>
      <w:r>
        <w:rPr>
          <w:rFonts w:ascii="Arial;sans-serif" w:hAnsi="Arial;sans-serif"/>
          <w:b w:val="false"/>
          <w:i/>
          <w:color w:val="000000"/>
          <w:sz w:val="19"/>
          <w:shd w:fill="FFFFFF" w:val="clear"/>
        </w:rPr>
        <w:t>Contingencies</w:t>
      </w:r>
      <w:r>
        <w:rPr>
          <w:rFonts w:ascii="Arial;sans-serif" w:hAnsi="Arial;sans-serif"/>
          <w:b w:val="false"/>
          <w:color w:val="000000"/>
          <w:sz w:val="19"/>
          <w:shd w:fill="FFFFFF" w:val="clear"/>
        </w:rPr>
        <w:t>,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Significant judgment is required in both the determination of probability and determination as to whether a loss is reasonably estimable. Intellectual property claims are inherently unpredictable and may have a material adverse effect on the Company’s financial position, results of operations, or cash flows. Due to the inherent uncertainties and complex technical issues arising from this or any intellectual property litigation, the Company cannot predict or guarantee any result of, and cannot reasonably estimate liability if any, or range of loss that could result from such intellectual property litigation. Future revisions to such estimates could materially impact the Company’s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98"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98</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 xml:space="preserve">In December 2022, the Company received notice of a complaint filed by Network System Technologies, LLC (NST) against the Company and another defendant in the semiconductor industry in the United States District Court for the Western District of Texas alleging intellectual property infringement of certain NST products. Additional complaints were filed in the Eastern District of Texas against certain companies, including some customers of the Company. On September 4, 2024, </w:t>
      </w:r>
      <w:r>
        <w:rPr>
          <w:rFonts w:ascii="Arial;sans-serif" w:hAnsi="Arial;sans-serif"/>
          <w:b w:val="false"/>
          <w:color w:val="000000"/>
          <w:sz w:val="19"/>
        </w:rPr>
        <w:t xml:space="preserve">the court in the Western District of Texas dismissed all claims against the Company without prejudice. The court will maintain jurisdiction solely for the purpose of enforcing discovery. As of </w:t>
      </w:r>
      <w:r>
        <w:rPr>
          <w:rFonts w:ascii="Arial;sans-serif" w:hAnsi="Arial;sans-serif"/>
          <w:b w:val="false"/>
          <w:color w:val="000000"/>
          <w:sz w:val="19"/>
          <w:shd w:fill="FFFFFF" w:val="clear"/>
        </w:rPr>
        <w:t xml:space="preserve">December 31, 2025, no </w:t>
      </w:r>
      <w:r>
        <w:rPr>
          <w:rFonts w:ascii="Arial;sans-serif" w:hAnsi="Arial;sans-serif"/>
          <w:b w:val="false"/>
          <w:color w:val="000000"/>
          <w:sz w:val="19"/>
        </w:rPr>
        <w:t>new claims against the Company in connection with this matter have been made, nor have any new customer indemnity claims been received</w:t>
      </w:r>
      <w:r>
        <w:rPr>
          <w:rFonts w:ascii="Arial;sans-serif" w:hAnsi="Arial;sans-serif"/>
          <w:b w:val="false"/>
          <w:color w:val="000000"/>
          <w:sz w:val="19"/>
          <w:shd w:fill="FFFFFF" w:val="clear"/>
        </w:rPr>
        <w:t>. The Company will continue to monitor this matter.</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October 14, 2025, NST filed new patent infringement complaints against three customers of the Company. The Company is not a named party to these lawsuits, however the complaints refer to the Company’s interconnect technology. As of December 31, 2025, it is not possible to determine the potential costs and legal expenses or other customer indemnity claims. The Company will continue to monitor this matter.</w:t>
      </w:r>
    </w:p>
    <w:p>
      <w:pPr>
        <w:pStyle w:val="TextBody"/>
        <w:bidi w:val="0"/>
        <w:spacing w:lineRule="auto" w:line="276"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has no material contractual non-cancelable commitments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12. COMMON STOCK AND STOCKHOLDERS’ EQUITY</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Holders of common stock are entitled to one vote per share and to receive dividends and, upon liquidation or dissolution, are entitled to receive all assets available for distribution to common stockholders. The common stock has no preemptive or other subscription rights and there are no redemption or sinking fund provisions with respect to such shares. Common stock is subordinate to the preferred stock with respect to dividend rights and rights upon liquidation, winding-up, and dissolution of the Company. In connection with its Initial Public Offering in October 2021, the Company amended and restated its certificate of incorporation to authorize 300,000,000 shares of common stock.</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Stock Repurchases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were no repurchased shares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13. STOCK-BASED COMPENSATION PLANS AND STOCK-BASED COMPENSATION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2016 Stock Plan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On October 10, 2016, the Company amended and restated the 2013 Equity Incentive Plan and changed the name of the plan to Arteris, Inc. 2016 Incentive Plan (the 2016 Plan). Adoption of the 2016 Plan provides for participation by foreign nationals or those employed outside of the United States. </w:t>
      </w:r>
    </w:p>
    <w:p>
      <w:pPr>
        <w:pStyle w:val="TextBody"/>
        <w:bidi w:val="0"/>
        <w:spacing w:lineRule="auto" w:line="288" w:before="180" w:after="283"/>
        <w:jc w:val="both"/>
        <w:rPr/>
      </w:pPr>
      <w:r>
        <w:rPr>
          <w:rFonts w:ascii="Arial;sans-serif" w:hAnsi="Arial;sans-serif"/>
          <w:b w:val="false"/>
          <w:color w:val="000000"/>
          <w:sz w:val="19"/>
          <w:shd w:fill="FFFFFF" w:val="clear"/>
        </w:rPr>
        <w:t>The 2016 Plan provides for the granting of the following types of stock awards: incentive stock options, non-statutory stock options, stock appreciation rights (SARs), restricted stock awards, RSU awards and other stock awards. The number of shares authorized for award was 20,803,838. The Company granted awards of common stock in the form of 14,142,208 shares as of December 31, 2021. Following the Company’s IPO in October 2021, all future grants will be made under the 2021 Plan (as defined below), w</w:t>
      </w:r>
      <w:r>
        <w:rPr>
          <w:rFonts w:ascii="Arial;sans-serif" w:hAnsi="Arial;sans-serif"/>
          <w:b w:val="false"/>
          <w:color w:val="000000"/>
          <w:sz w:val="19"/>
        </w:rPr>
        <w:t xml:space="preserve">ith none remaining </w:t>
      </w:r>
      <w:r>
        <w:rPr>
          <w:rFonts w:ascii="Arial;sans-serif" w:hAnsi="Arial;sans-serif"/>
          <w:b w:val="false"/>
          <w:color w:val="000000"/>
          <w:sz w:val="19"/>
          <w:shd w:fill="FFFFFF" w:val="clear"/>
        </w:rPr>
        <w:t>available for future grants under the 2016 Plan.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2021 Stock Plan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Company adopted the 2021 Incentive Award Plan (the 2021 Plan) effective October 26, 2021. The 2021 Plan provides for a variety of stock-based compensation awards, including stock options, SARs, restricted stock awards, RSUs, performance bonus awards, performance stock unit awards, dividend equivalents, or other stock or cash-based awards.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Following the effectiveness of the 2021 Plan, the Company will not make any further grants under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November 13, 2025, the Company approved a Performance Stock Units (PSU) agreement for use in connection with the granting of PSUs under the 2021 Incentive Award Plan. No PSUs have been granted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99"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99</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rPr>
      </w:pPr>
      <w:r>
        <w:rPr>
          <w:rFonts w:ascii="Arial;sans-serif" w:hAnsi="Arial;sans-serif"/>
          <w:b/>
          <w:i/>
          <w:color w:val="000000"/>
          <w:sz w:val="19"/>
        </w:rPr>
        <w:t>2022 Employment Inducement Incentive Plan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adopted the 2022 Employment Inducement Incentive Plan (the 2022 Inducement Plan) effective November 3, 2022, pursuant to which it reserved 2,000,000 shares of its common stock. The 2022 Inducement Plan provides for a variety of stock-based compensation awards, including stock options, SARs, restricted stock awards, restricted stock unit awards, performance bonus awards, performance stock unit awards, dividend equivalents, or other stock and cash-based awards. Awards under the 2022 Inducement Plan can only be made to newly hired employees.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Shares Available for Future Grant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Shares available for future grant consisted of the following:</w:t>
      </w:r>
    </w:p>
    <w:tbl>
      <w:tblPr>
        <w:tblW w:w="8781" w:type="dxa"/>
        <w:jc w:val="left"/>
        <w:tblInd w:w="0" w:type="dxa"/>
        <w:tblLayout w:type="fixed"/>
        <w:tblCellMar>
          <w:top w:w="28" w:type="dxa"/>
          <w:left w:w="28" w:type="dxa"/>
          <w:bottom w:w="28" w:type="dxa"/>
          <w:right w:w="28" w:type="dxa"/>
        </w:tblCellMar>
      </w:tblPr>
      <w:tblGrid>
        <w:gridCol w:w="2093"/>
        <w:gridCol w:w="1838"/>
        <w:gridCol w:w="1844"/>
        <w:gridCol w:w="510"/>
        <w:gridCol w:w="511"/>
        <w:gridCol w:w="178"/>
        <w:gridCol w:w="178"/>
        <w:gridCol w:w="178"/>
        <w:gridCol w:w="178"/>
        <w:gridCol w:w="510"/>
        <w:gridCol w:w="511"/>
        <w:gridCol w:w="252"/>
      </w:tblGrid>
      <w:tr>
        <w:trPr/>
        <w:tc>
          <w:tcPr>
            <w:tcW w:w="2093"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Shares available for future grant under the 2021 Plan</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3,279,850 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3,139,086 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Shares available for future grant under the 2021 ESPP</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1,809,715 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1,564,147 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Shares available for future grant under the 2022 Inducement Plan</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873,805 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995,117 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issues new shares upon a share option exercise or release of restricted stock units.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Stock Options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the stock option activities under the Company’s 2016 and 2021 Plan:</w:t>
      </w:r>
    </w:p>
    <w:tbl>
      <w:tblPr>
        <w:tblW w:w="10205" w:type="dxa"/>
        <w:jc w:val="left"/>
        <w:tblInd w:w="0" w:type="dxa"/>
        <w:tblLayout w:type="fixed"/>
        <w:tblCellMar>
          <w:top w:w="28" w:type="dxa"/>
          <w:left w:w="28" w:type="dxa"/>
          <w:bottom w:w="28" w:type="dxa"/>
          <w:right w:w="28" w:type="dxa"/>
        </w:tblCellMar>
      </w:tblPr>
      <w:tblGrid>
        <w:gridCol w:w="1653"/>
        <w:gridCol w:w="1451"/>
        <w:gridCol w:w="1460"/>
        <w:gridCol w:w="510"/>
        <w:gridCol w:w="511"/>
        <w:gridCol w:w="500"/>
        <w:gridCol w:w="109"/>
        <w:gridCol w:w="109"/>
        <w:gridCol w:w="109"/>
        <w:gridCol w:w="224"/>
        <w:gridCol w:w="575"/>
        <w:gridCol w:w="117"/>
        <w:gridCol w:w="109"/>
        <w:gridCol w:w="109"/>
        <w:gridCol w:w="109"/>
        <w:gridCol w:w="367"/>
        <w:gridCol w:w="367"/>
        <w:gridCol w:w="369"/>
        <w:gridCol w:w="109"/>
        <w:gridCol w:w="109"/>
        <w:gridCol w:w="109"/>
        <w:gridCol w:w="211"/>
        <w:gridCol w:w="751"/>
        <w:gridCol w:w="158"/>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Options Outstanding</w:t>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Contractual</w:t>
              <w:br/>
              <w:t>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Values</w:t>
              <w:br/>
              <w:t>($‘000s)</w:t>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Balance—December 31, 2024</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2,197,604 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17,404 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Granted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280,000 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Exercised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(774,458)</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Canceled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Balance—December 31, 2025</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1,703,146 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20,676 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Options vested and exercisable—December 31, 2025</w:t>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1,291,771 </w:t>
            </w:r>
          </w:p>
        </w:tc>
        <w:tc>
          <w:tcPr>
            <w:tcW w:w="5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Options vested and exercisable—December 31, 2024</w:t>
            </w:r>
          </w:p>
        </w:tc>
        <w:tc>
          <w:tcPr>
            <w:tcW w:w="10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1,903,854 </w:t>
            </w:r>
          </w:p>
        </w:tc>
        <w:tc>
          <w:tcPr>
            <w:tcW w:w="5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aggregate intrinsic value of the options exercised for the years ended December 31, 2025, and 2024 was $4.7 million and $4.2 million, respectively. The total grant-date fair value of options vested was $0.7 million and $0.4 million for the years ended December 31, 2025, and 2024.</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2025, there was $1.8 million of unamortized stock-based compensation cost related to unvested stock options, which is expected to be recognized over a weighted-average period of 2.7 years.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Stock options granted generally have a maximum term of ten years from the grant date and generally vest over a period of four years.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fair value of each stock option granted is estimated using the Black-Scholes option-pricing model. The Company determines valuation assumptions for Black-Scholes as follows:</w:t>
      </w:r>
    </w:p>
    <w:p>
      <w:pPr>
        <w:pStyle w:val="TextBody"/>
        <w:bidi w:val="0"/>
        <w:spacing w:lineRule="auto" w:line="288" w:before="180" w:after="283"/>
        <w:jc w:val="left"/>
        <w:rPr/>
      </w:pPr>
      <w:r>
        <w:rPr>
          <w:rFonts w:ascii="Arial;sans-serif" w:hAnsi="Arial;sans-serif"/>
          <w:b/>
          <w:i/>
          <w:color w:val="000000"/>
          <w:sz w:val="19"/>
          <w:shd w:fill="FFFFFF" w:val="clear"/>
        </w:rPr>
        <w:t>Risk-Free Interest Rate</w:t>
      </w:r>
      <w:r>
        <w:rPr>
          <w:color w:val="000000"/>
          <w:shd w:fill="FFFFFF" w:val="clear"/>
        </w:rPr>
        <w:t>—</w:t>
      </w:r>
      <w:r>
        <w:rPr>
          <w:rFonts w:ascii="Arial;sans-serif" w:hAnsi="Arial;sans-serif"/>
          <w:b w:val="false"/>
          <w:color w:val="000000"/>
          <w:sz w:val="19"/>
          <w:shd w:fill="FFFFFF" w:val="clear"/>
        </w:rPr>
        <w:t>The Company bases the risk-free interest rate used in the Black-Scholes option-pricing model on the implied yield available on U.S. Treasury zero coupon issues with an equivalent expected term of the options for each option group.</w:t>
      </w:r>
    </w:p>
    <w:p>
      <w:pPr>
        <w:pStyle w:val="TextBody"/>
        <w:bidi w:val="0"/>
        <w:spacing w:lineRule="auto" w:line="288" w:before="180" w:after="283"/>
        <w:jc w:val="both"/>
        <w:rPr/>
      </w:pPr>
      <w:r>
        <w:rPr>
          <w:rFonts w:ascii="Arial;sans-serif" w:hAnsi="Arial;sans-serif"/>
          <w:b/>
          <w:i/>
          <w:color w:val="000000"/>
          <w:sz w:val="19"/>
          <w:shd w:fill="FFFFFF" w:val="clear"/>
        </w:rPr>
        <w:t>Expected Term</w:t>
      </w:r>
      <w:r>
        <w:rPr>
          <w:color w:val="000000"/>
          <w:shd w:fill="FFFFFF" w:val="clear"/>
        </w:rPr>
        <w:t>—</w:t>
      </w:r>
      <w:r>
        <w:rPr>
          <w:rFonts w:ascii="Arial;sans-serif" w:hAnsi="Arial;sans-serif"/>
          <w:b w:val="false"/>
          <w:color w:val="000000"/>
          <w:sz w:val="19"/>
          <w:shd w:fill="FFFFFF" w:val="clear"/>
        </w:rPr>
        <w:t>The expected term represents the period that the Company’s stock-based awards are expected to be outstanding. The expected term assumption is based on the simplified method. The Company expects to continue using the simplified method until sufficient information about the Company’s historical behavior is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100"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100</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19"/>
          <w:shd w:fill="FFFFFF" w:val="clear"/>
        </w:rPr>
        <w:t>Volatility</w:t>
      </w:r>
      <w:r>
        <w:rPr>
          <w:color w:val="000000"/>
          <w:shd w:fill="FFFFFF" w:val="clear"/>
        </w:rPr>
        <w:t>—</w:t>
      </w:r>
      <w:r>
        <w:rPr>
          <w:rFonts w:ascii="Arial;sans-serif" w:hAnsi="Arial;sans-serif"/>
          <w:b w:val="false"/>
          <w:color w:val="000000"/>
          <w:sz w:val="19"/>
          <w:shd w:fill="FFFFFF" w:val="clear"/>
        </w:rPr>
        <w:t>The Company determines the price volatility factor based on the historical volatilities of the Company’s common stock and that of several peer companies, as the Company does not have sufficient trading history for its common stock.</w:t>
      </w:r>
    </w:p>
    <w:p>
      <w:pPr>
        <w:pStyle w:val="TextBody"/>
        <w:bidi w:val="0"/>
        <w:spacing w:lineRule="auto" w:line="288" w:before="180" w:after="283"/>
        <w:jc w:val="both"/>
        <w:rPr/>
      </w:pPr>
      <w:r>
        <w:rPr>
          <w:rFonts w:ascii="Arial;sans-serif" w:hAnsi="Arial;sans-serif"/>
          <w:b/>
          <w:i/>
          <w:color w:val="000000"/>
          <w:sz w:val="19"/>
          <w:shd w:fill="FFFFFF" w:val="clear"/>
        </w:rPr>
        <w:t>Dividend Yield</w:t>
      </w:r>
      <w:r>
        <w:rPr>
          <w:color w:val="000000"/>
          <w:shd w:fill="FFFFFF" w:val="clear"/>
        </w:rPr>
        <w:t>—</w:t>
      </w:r>
      <w:r>
        <w:rPr>
          <w:rFonts w:ascii="Arial;sans-serif" w:hAnsi="Arial;sans-serif"/>
          <w:b w:val="false"/>
          <w:color w:val="000000"/>
          <w:sz w:val="19"/>
          <w:shd w:fill="FFFFFF" w:val="clear"/>
        </w:rPr>
        <w:t>The Company has never declared or paid any cash dividend and does not currently plan to pay a cash dividend in the foreseeable future. Consequently, the Company used an expected dividend yield of zero.</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Stock Options Valuation Assumptions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weighted-average valuation assumptions:</w:t>
      </w:r>
    </w:p>
    <w:tbl>
      <w:tblPr>
        <w:tblW w:w="5255" w:type="dxa"/>
        <w:jc w:val="left"/>
        <w:tblInd w:w="0" w:type="dxa"/>
        <w:tblLayout w:type="fixed"/>
        <w:tblCellMar>
          <w:top w:w="28" w:type="dxa"/>
          <w:left w:w="28" w:type="dxa"/>
          <w:bottom w:w="28" w:type="dxa"/>
          <w:right w:w="28" w:type="dxa"/>
        </w:tblCellMar>
      </w:tblPr>
      <w:tblGrid>
        <w:gridCol w:w="922"/>
        <w:gridCol w:w="811"/>
        <w:gridCol w:w="817"/>
        <w:gridCol w:w="109"/>
        <w:gridCol w:w="109"/>
        <w:gridCol w:w="109"/>
        <w:gridCol w:w="235"/>
        <w:gridCol w:w="235"/>
        <w:gridCol w:w="235"/>
        <w:gridCol w:w="235"/>
        <w:gridCol w:w="235"/>
        <w:gridCol w:w="235"/>
        <w:gridCol w:w="235"/>
        <w:gridCol w:w="235"/>
        <w:gridCol w:w="235"/>
        <w:gridCol w:w="109"/>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Fair value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$5.58</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$6.85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60.9%</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50.2%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6.0</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4.3%</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0%</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Restricted Stock Units and Awards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the restricted stock unit activities under the Company’s 2016 and 2021 Plan and the 2022 Inducement Plan:</w:t>
      </w:r>
    </w:p>
    <w:tbl>
      <w:tblPr>
        <w:tblW w:w="8952" w:type="dxa"/>
        <w:jc w:val="left"/>
        <w:tblInd w:w="0" w:type="dxa"/>
        <w:tblLayout w:type="fixed"/>
        <w:tblCellMar>
          <w:top w:w="28" w:type="dxa"/>
          <w:left w:w="28" w:type="dxa"/>
          <w:bottom w:w="28" w:type="dxa"/>
          <w:right w:w="28" w:type="dxa"/>
        </w:tblCellMar>
      </w:tblPr>
      <w:tblGrid>
        <w:gridCol w:w="1027"/>
        <w:gridCol w:w="902"/>
        <w:gridCol w:w="906"/>
        <w:gridCol w:w="539"/>
        <w:gridCol w:w="541"/>
        <w:gridCol w:w="511"/>
        <w:gridCol w:w="134"/>
        <w:gridCol w:w="134"/>
        <w:gridCol w:w="134"/>
        <w:gridCol w:w="960"/>
        <w:gridCol w:w="2461"/>
        <w:gridCol w:w="703"/>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 Date Fair Value Per Share</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12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12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12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12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Unvested—December 31,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5,225,948 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7.00 </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Granted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2,029,508 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8.75 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Vested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(2,607,741)</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7.12 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Canceled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(292,714)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7.77 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Unvested—December 31, 2025</w:t>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4,355,001 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2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7.68 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total grant-date fair value of restricted stock units vested was $18.5 million and $16.3 million during the years ended December 31, 2025, and 2024, respectively.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2025, there was $29.3 million of unamortized stock-based compensation cost related to unvested restricted stock units, which is expected to be recognized over a weighted-average period of 2.5 years.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For RSUs granted under the 2016 Stock Plan, they contain both a service-based vesting condition and a performance-based vesting condition. The service-based vesting condition for these awards is generally satisfied by rendering continuous service for approximately four years, during which time the grants will vest periodically. The performance-based vesting condition of certain awards was satisfied in connection with the Company becoming a publicly listed company or a change in control.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RSUs granted under the 2021 Stock Plan and 2022 Inducement Plan, they contain the service-based vesting condition for these awards, and it is generally satisfied by rendering continuous service typically satisfied over four years.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Restricted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connection with the acquisition of Semifore, Inc. (the Acquisition) in December 2022, the Company issued 331,574 shares of common stock, out of which 96,715 and 234,859 shares of common stock vested on the first and third anniversary of the closing of the Acquisition, respectively. These shares had a grant date fair value of $1.3 million based on the closing stock price on the acquisition date that was recognized as compensation cost amortized on a straight-line basis over the total vesting period of three years. These shares were fully vested, and accordingly, there was no remaining unamortized compensation cost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101"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2021 Employee Stock Purchase Plan</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Company adopted the 2021 ESPP effective on October 26, 2021. The </w:t>
      </w:r>
      <w:r>
        <w:rPr>
          <w:rFonts w:ascii="Arial;sans-serif" w:hAnsi="Arial;sans-serif"/>
          <w:b w:val="false"/>
          <w:color w:val="000000"/>
          <w:sz w:val="19"/>
        </w:rPr>
        <w:t xml:space="preserve">2021 ESPP enables eligible employees of the Company to purchase shares of common stock at a discount to fair market value. The 2021 ESPP provides for six-month offering periods beginning May 22 and November 22 of each year, and each offering period consists of a six-month purchase period. The first offering period began on May 22, 2024, and ended on November 21, 2024. During the year ended December 31, 2025, 161,681 shares were purchased under the 2021 ESPP. </w:t>
      </w:r>
    </w:p>
    <w:p>
      <w:pPr>
        <w:pStyle w:val="TextBody"/>
        <w:bidi w:val="0"/>
        <w:spacing w:lineRule="auto" w:line="288" w:before="180" w:after="283"/>
        <w:jc w:val="both"/>
        <w:rPr/>
      </w:pPr>
      <w:r>
        <w:rPr>
          <w:rFonts w:ascii="Arial;sans-serif" w:hAnsi="Arial;sans-serif"/>
          <w:b w:val="false"/>
          <w:color w:val="000000"/>
          <w:sz w:val="19"/>
        </w:rPr>
        <w:t xml:space="preserve">On each purchase date, eligible employees purchase the shares at a price per share equal </w:t>
      </w:r>
      <w:r>
        <w:rPr>
          <w:rFonts w:ascii="Arial;sans-serif" w:hAnsi="Arial;sans-serif"/>
          <w:b w:val="false"/>
          <w:color w:val="000000"/>
          <w:sz w:val="19"/>
          <w:shd w:fill="FFFFFF" w:val="clear"/>
        </w:rPr>
        <w:t xml:space="preserve">to 85% of the lesser of (1) the fair market value of the Company’s common stock on the offering date or (2) the fair market value of the Company’s common stock on the purchase date, subject to a cap of </w:t>
      </w:r>
      <w:r>
        <w:rPr>
          <w:rFonts w:ascii="Arial;sans-serif" w:hAnsi="Arial;sans-serif"/>
          <w:b w:val="false"/>
          <w:color w:val="000000"/>
          <w:sz w:val="19"/>
        </w:rPr>
        <w:t xml:space="preserve">3,000 </w:t>
      </w:r>
      <w:r>
        <w:rPr>
          <w:rFonts w:ascii="Arial;sans-serif" w:hAnsi="Arial;sans-serif"/>
          <w:b w:val="false"/>
          <w:color w:val="000000"/>
          <w:sz w:val="19"/>
          <w:shd w:fill="FFFFFF" w:val="clear"/>
        </w:rPr>
        <w:t xml:space="preserve">shares on any purchase date, </w:t>
      </w:r>
      <w:r>
        <w:rPr>
          <w:rFonts w:ascii="Arial;sans-serif" w:hAnsi="Arial;sans-serif"/>
          <w:b w:val="false"/>
          <w:color w:val="000000"/>
          <w:sz w:val="19"/>
        </w:rPr>
        <w:t>6,000</w:t>
      </w:r>
      <w:r>
        <w:rPr>
          <w:color w:val="000000"/>
          <w:shd w:fill="FFFFFF" w:val="clear"/>
        </w:rPr>
        <w:t xml:space="preserve"> </w:t>
      </w:r>
      <w:r>
        <w:rPr>
          <w:rFonts w:ascii="Arial;sans-serif" w:hAnsi="Arial;sans-serif"/>
          <w:b w:val="false"/>
          <w:color w:val="000000"/>
          <w:sz w:val="19"/>
          <w:shd w:fill="FFFFFF" w:val="clear"/>
        </w:rPr>
        <w:t xml:space="preserve">shares in any calendar year, or </w:t>
      </w:r>
      <w:r>
        <w:rPr>
          <w:rFonts w:ascii="Arial;sans-serif" w:hAnsi="Arial;sans-serif"/>
          <w:b w:val="false"/>
          <w:color w:val="000000"/>
          <w:sz w:val="19"/>
        </w:rPr>
        <w:t>$25,000</w:t>
      </w:r>
      <w:r>
        <w:rPr>
          <w:color w:val="000000"/>
          <w:shd w:fill="FFFFFF" w:val="clear"/>
        </w:rPr>
        <w:t xml:space="preserve"> </w:t>
      </w:r>
      <w:r>
        <w:rPr>
          <w:rFonts w:ascii="Arial;sans-serif" w:hAnsi="Arial;sans-serif"/>
          <w:b w:val="false"/>
          <w:color w:val="000000"/>
          <w:sz w:val="19"/>
          <w:shd w:fill="FFFFFF" w:val="clear"/>
        </w:rPr>
        <w:t>in any calendar year (as determined under applicable tax rules).</w:t>
      </w:r>
    </w:p>
    <w:p>
      <w:pPr>
        <w:pStyle w:val="TextBody"/>
        <w:bidi w:val="0"/>
        <w:spacing w:lineRule="auto" w:line="288" w:before="180" w:after="283"/>
        <w:jc w:val="both"/>
        <w:rPr/>
      </w:pPr>
      <w:r>
        <w:rPr>
          <w:rFonts w:ascii="Arial;sans-serif" w:hAnsi="Arial;sans-serif"/>
          <w:b w:val="false"/>
          <w:color w:val="000000"/>
          <w:sz w:val="19"/>
          <w:shd w:fill="FFFFFF" w:val="clear"/>
        </w:rPr>
        <w:t>As of December 31, 2025, there was $0.3 million</w:t>
      </w:r>
      <w:r>
        <w:rPr>
          <w:color w:val="000000"/>
        </w:rPr>
        <w:t xml:space="preserve"> </w:t>
      </w:r>
      <w:r>
        <w:rPr>
          <w:rFonts w:ascii="Arial;sans-serif" w:hAnsi="Arial;sans-serif"/>
          <w:b w:val="false"/>
          <w:color w:val="000000"/>
          <w:sz w:val="19"/>
          <w:shd w:fill="FFFFFF" w:val="clear"/>
        </w:rPr>
        <w:t xml:space="preserve">of unamortized stock-based compensation cost related to the 2021 ESPP, which is expected to be recognized over a weighted average period of </w:t>
      </w:r>
      <w:r>
        <w:rPr>
          <w:rFonts w:ascii="Arial;sans-serif" w:hAnsi="Arial;sans-serif"/>
          <w:b w:val="false"/>
          <w:color w:val="000000"/>
          <w:sz w:val="19"/>
        </w:rPr>
        <w:t>0.4 years</w:t>
      </w:r>
      <w:r>
        <w:rPr>
          <w:rFonts w:ascii="Arial;sans-serif" w:hAnsi="Arial;sans-serif"/>
          <w:b w:val="false"/>
          <w:color w:val="000000"/>
          <w:sz w:val="19"/>
          <w:shd w:fill="FFFFFF" w:val="clear"/>
        </w:rPr>
        <w: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fair value of shares of common stock to be issued under the 2021 ESPP is estimated using the Black-Scholes option pricing model on the first day of the offering period. The Company determines valuation assumptions for Black-Scholes as follows:</w:t>
      </w:r>
    </w:p>
    <w:p>
      <w:pPr>
        <w:pStyle w:val="TextBody"/>
        <w:bidi w:val="0"/>
        <w:spacing w:lineRule="auto" w:line="288" w:before="180" w:after="283"/>
        <w:jc w:val="both"/>
        <w:rPr/>
      </w:pPr>
      <w:r>
        <w:rPr>
          <w:rFonts w:ascii="Arial;sans-serif" w:hAnsi="Arial;sans-serif"/>
          <w:b/>
          <w:i/>
          <w:color w:val="000000"/>
          <w:sz w:val="19"/>
        </w:rPr>
        <w:t>Risk-Free Interest Rate</w:t>
      </w:r>
      <w:r>
        <w:rPr>
          <w:color w:val="000000"/>
        </w:rPr>
        <w:t>—</w:t>
      </w:r>
      <w:r>
        <w:rPr>
          <w:rFonts w:ascii="Arial;sans-serif" w:hAnsi="Arial;sans-serif"/>
          <w:b w:val="false"/>
          <w:color w:val="000000"/>
          <w:sz w:val="19"/>
        </w:rPr>
        <w:t>The Company bases the risk-free interest rate used in the Black-Scholes option-pricing model on the implied yield available on U.S. Treasury zero coupon issues with an equivalent expected term of the options for each option group.</w:t>
      </w:r>
    </w:p>
    <w:p>
      <w:pPr>
        <w:pStyle w:val="TextBody"/>
        <w:bidi w:val="0"/>
        <w:spacing w:lineRule="auto" w:line="288" w:before="120" w:after="283"/>
        <w:jc w:val="both"/>
        <w:rPr/>
      </w:pPr>
      <w:r>
        <w:rPr>
          <w:rFonts w:ascii="Arial;sans-serif" w:hAnsi="Arial;sans-serif"/>
          <w:b/>
          <w:i/>
          <w:color w:val="000000"/>
          <w:sz w:val="19"/>
        </w:rPr>
        <w:t>Expected Term</w:t>
      </w:r>
      <w:r>
        <w:rPr>
          <w:color w:val="000000"/>
        </w:rPr>
        <w:t>—</w:t>
      </w:r>
      <w:r>
        <w:rPr>
          <w:rFonts w:ascii="Arial;sans-serif" w:hAnsi="Arial;sans-serif"/>
          <w:b w:val="false"/>
          <w:color w:val="000000"/>
          <w:sz w:val="19"/>
        </w:rPr>
        <w:t>The expected term represents the period that the Company’s stock-based awards are expected to be outstanding. The expected term assumption is based on the simplified method. The Company expects to continue using the simplified method until sufficient information about the Company’s historical behavior is available.</w:t>
      </w:r>
    </w:p>
    <w:p>
      <w:pPr>
        <w:pStyle w:val="TextBody"/>
        <w:bidi w:val="0"/>
        <w:spacing w:lineRule="auto" w:line="288" w:before="120" w:after="283"/>
        <w:jc w:val="both"/>
        <w:rPr/>
      </w:pPr>
      <w:r>
        <w:rPr>
          <w:rFonts w:ascii="Arial;sans-serif" w:hAnsi="Arial;sans-serif"/>
          <w:b/>
          <w:i/>
          <w:color w:val="000000"/>
          <w:sz w:val="19"/>
        </w:rPr>
        <w:t>Volatility</w:t>
      </w:r>
      <w:r>
        <w:rPr>
          <w:color w:val="000000"/>
        </w:rPr>
        <w:t>—</w:t>
      </w:r>
      <w:r>
        <w:rPr>
          <w:rFonts w:ascii="Arial;sans-serif" w:hAnsi="Arial;sans-serif"/>
          <w:b w:val="false"/>
          <w:color w:val="000000"/>
          <w:sz w:val="19"/>
        </w:rPr>
        <w:t>The Company determines the price volatility factor based on the historical volatility of the Company’s common stock.</w:t>
      </w:r>
    </w:p>
    <w:p>
      <w:pPr>
        <w:pStyle w:val="TextBody"/>
        <w:bidi w:val="0"/>
        <w:spacing w:lineRule="auto" w:line="288" w:before="120" w:after="283"/>
        <w:jc w:val="both"/>
        <w:rPr/>
      </w:pPr>
      <w:r>
        <w:rPr>
          <w:rFonts w:ascii="Arial;sans-serif" w:hAnsi="Arial;sans-serif"/>
          <w:b/>
          <w:i/>
          <w:color w:val="000000"/>
          <w:sz w:val="19"/>
        </w:rPr>
        <w:t>Dividend Yield</w:t>
      </w:r>
      <w:r>
        <w:rPr>
          <w:color w:val="000000"/>
        </w:rPr>
        <w:t>—</w:t>
      </w:r>
      <w:r>
        <w:rPr>
          <w:rFonts w:ascii="Arial;sans-serif" w:hAnsi="Arial;sans-serif"/>
          <w:b w:val="false"/>
          <w:color w:val="000000"/>
          <w:sz w:val="19"/>
        </w:rPr>
        <w:t>The Company has never declared or paid any cash dividend and does not currently plan to pay a cash dividend in the foreseeable future. Consequently, the Company used an expected dividend yield of zero.</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following table summarizes the ESPP weighted-average valuation assumptions:</w:t>
      </w:r>
    </w:p>
    <w:tbl>
      <w:tblPr>
        <w:tblW w:w="4747" w:type="dxa"/>
        <w:jc w:val="left"/>
        <w:tblInd w:w="0" w:type="dxa"/>
        <w:tblLayout w:type="fixed"/>
        <w:tblCellMar>
          <w:top w:w="28" w:type="dxa"/>
          <w:left w:w="28" w:type="dxa"/>
          <w:bottom w:w="28" w:type="dxa"/>
          <w:right w:w="28" w:type="dxa"/>
        </w:tblCellMar>
      </w:tblPr>
      <w:tblGrid>
        <w:gridCol w:w="818"/>
        <w:gridCol w:w="721"/>
        <w:gridCol w:w="725"/>
        <w:gridCol w:w="109"/>
        <w:gridCol w:w="109"/>
        <w:gridCol w:w="109"/>
        <w:gridCol w:w="229"/>
        <w:gridCol w:w="229"/>
        <w:gridCol w:w="229"/>
        <w:gridCol w:w="229"/>
        <w:gridCol w:w="229"/>
        <w:gridCol w:w="229"/>
        <w:gridCol w:w="229"/>
        <w:gridCol w:w="229"/>
        <w:gridCol w:w="324"/>
      </w:tblGrid>
      <w:tr>
        <w:trPr/>
        <w:tc>
          <w:tcPr>
            <w:tcW w:w="8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2024</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83.2%</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65.1%</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0.5</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0.5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4.1%</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4.9%</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0%</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0%</w:t>
            </w:r>
          </w:p>
        </w:tc>
      </w:tr>
    </w:tbl>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Stock-based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Stock-based compensation expense is recorded on a departmental basis, based on the classification of the award holder. The following table presents the amount of stock-based compensation related to stock-based awards to employees on the Company’s consolidated statements of operations (in thousands):</w:t>
      </w:r>
    </w:p>
    <w:tbl>
      <w:tblPr>
        <w:tblW w:w="5686" w:type="dxa"/>
        <w:jc w:val="left"/>
        <w:tblInd w:w="0" w:type="dxa"/>
        <w:tblLayout w:type="fixed"/>
        <w:tblCellMar>
          <w:top w:w="28" w:type="dxa"/>
          <w:left w:w="28" w:type="dxa"/>
          <w:bottom w:w="28" w:type="dxa"/>
          <w:right w:w="28" w:type="dxa"/>
        </w:tblCellMar>
      </w:tblPr>
      <w:tblGrid>
        <w:gridCol w:w="1071"/>
        <w:gridCol w:w="940"/>
        <w:gridCol w:w="943"/>
        <w:gridCol w:w="211"/>
        <w:gridCol w:w="751"/>
        <w:gridCol w:w="109"/>
        <w:gridCol w:w="109"/>
        <w:gridCol w:w="109"/>
        <w:gridCol w:w="109"/>
        <w:gridCol w:w="211"/>
        <w:gridCol w:w="751"/>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Sales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102"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Arial;sans-serif" w:hAnsi="Arial;sans-serif"/>
          <w:b/>
          <w:color w:val="000000"/>
          <w:sz w:val="19"/>
        </w:rPr>
      </w:pPr>
      <w:r>
        <w:rPr>
          <w:rFonts w:ascii="Arial;sans-serif" w:hAnsi="Arial;sans-serif"/>
          <w:b/>
          <w:color w:val="000000"/>
          <w:sz w:val="19"/>
        </w:rPr>
        <w:t>14.    EQUITY METHOD INVESTMENT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February 21, 2022, Arteris IP (Hong Kong) Ltd. (AHK), a wholly-owned subsidiary of the Company, entered into a Share Purchase and Shareholders Agreement with certain investors and Ningbo Transchip Information Consulting Partnership (Limited Partnership) (Management Co), pursuant to which, the Company, certain investors and Management Co subscribed to the registered capital of Transchip Technology (Nanjing) Co., Ltd. (Transchip).</w:t>
      </w:r>
    </w:p>
    <w:p>
      <w:pPr>
        <w:pStyle w:val="TextBody"/>
        <w:bidi w:val="0"/>
        <w:spacing w:lineRule="auto" w:line="288" w:before="180" w:after="283"/>
        <w:jc w:val="both"/>
        <w:rPr/>
      </w:pPr>
      <w:r>
        <w:rPr>
          <w:rFonts w:ascii="Arial;sans-serif" w:hAnsi="Arial;sans-serif"/>
          <w:b w:val="false"/>
          <w:color w:val="000000"/>
          <w:sz w:val="19"/>
        </w:rPr>
        <w:t xml:space="preserve">The Company subscribed for the registered capital of approximately $11.9 million, of which $11.6 million </w:t>
      </w:r>
      <w:r>
        <w:rPr>
          <w:rFonts w:ascii="Arial;sans-serif" w:hAnsi="Arial;sans-serif"/>
          <w:b w:val="false"/>
          <w:color w:val="000000"/>
          <w:sz w:val="19"/>
          <w:shd w:fill="FFFFFF" w:val="clear"/>
        </w:rPr>
        <w:t xml:space="preserve">of the contribution was contributed in-kind by way of an interconnect solutions technology license by the Company pursuant to </w:t>
      </w:r>
      <w:r>
        <w:rPr>
          <w:rFonts w:ascii="Arial;sans-serif" w:hAnsi="Arial;sans-serif"/>
          <w:b w:val="false"/>
          <w:color w:val="000000"/>
          <w:sz w:val="19"/>
        </w:rPr>
        <w:t xml:space="preserve">a </w:t>
      </w:r>
      <w:r>
        <w:rPr>
          <w:rFonts w:ascii="Arial;sans-serif" w:hAnsi="Arial;sans-serif"/>
          <w:b w:val="false"/>
          <w:color w:val="000000"/>
          <w:sz w:val="19"/>
          <w:shd w:fill="FFFFFF" w:val="clear"/>
        </w:rPr>
        <w:t>five</w:t>
      </w:r>
      <w:r>
        <w:rPr>
          <w:rFonts w:ascii="Arial;sans-serif" w:hAnsi="Arial;sans-serif"/>
          <w:b w:val="false"/>
          <w:color w:val="000000"/>
          <w:sz w:val="19"/>
        </w:rPr>
        <w:t>-year</w:t>
      </w:r>
      <w:r>
        <w:rPr>
          <w:color w:val="000000"/>
          <w:shd w:fill="FFFFFF" w:val="clear"/>
        </w:rPr>
        <w:t xml:space="preserve"> </w:t>
      </w:r>
      <w:r>
        <w:rPr>
          <w:rFonts w:ascii="Arial;sans-serif" w:hAnsi="Arial;sans-serif"/>
          <w:b w:val="false"/>
          <w:color w:val="000000"/>
          <w:sz w:val="19"/>
          <w:shd w:fill="FFFFFF" w:val="clear"/>
        </w:rPr>
        <w:t>technology license and services agreement which can be extended automatically for another five-year term, and the remaining was paid in cash. Following the consummation of the foregoing transactions, the Company held 40.3% common stock of Transchip on a fully diluted basis.</w:t>
      </w:r>
    </w:p>
    <w:p>
      <w:pPr>
        <w:pStyle w:val="TextBody"/>
        <w:bidi w:val="0"/>
        <w:spacing w:lineRule="auto" w:line="288" w:before="180" w:after="283"/>
        <w:jc w:val="both"/>
        <w:rPr/>
      </w:pPr>
      <w:r>
        <w:rPr>
          <w:rFonts w:ascii="Arial;sans-serif" w:hAnsi="Arial;sans-serif"/>
          <w:b w:val="false"/>
          <w:color w:val="000000"/>
          <w:sz w:val="19"/>
        </w:rPr>
        <w:t xml:space="preserve">The license agreement provides Transchip the right to software licenses, services, software updates and technical support. On the closing date, the license agreement including the support and maintenance services to be provided to Transchip was valued to be $11.6 million, which was recorded as deferred income and will be recognized as other income (expense), net over a period of ten years on a straight-line basis after delivery of the license. The license was delivered to Transchip on September 2, 2022. For the year ended December 31, 2025, the Company recognized income </w:t>
      </w:r>
      <w:r>
        <w:rPr>
          <w:rFonts w:ascii="Arial;sans-serif" w:hAnsi="Arial;sans-serif"/>
          <w:b w:val="false"/>
          <w:color w:val="000000"/>
          <w:sz w:val="19"/>
          <w:shd w:fill="FFFFFF" w:val="clear"/>
        </w:rPr>
        <w:t>of</w:t>
      </w:r>
      <w:r>
        <w:rPr>
          <w:color w:val="000000"/>
        </w:rPr>
        <w:t xml:space="preserve"> </w:t>
      </w:r>
      <w:r>
        <w:rPr>
          <w:rFonts w:ascii="Arial;sans-serif" w:hAnsi="Arial;sans-serif"/>
          <w:b w:val="false"/>
          <w:color w:val="000000"/>
          <w:sz w:val="19"/>
        </w:rPr>
        <w:t>$1.2 million for the license agreement.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Company’s ownership interest of Transchip’s registered capital was 35.0% on a fully diluted basis and 42.7% based on issued and outstanding shares as of December 31, 2025. The Company accounts for its common stock investment in Transchip as an equity method investment as it does not control but has significant influence over operating and financing policies of Transchip. Transchip is the Company’s only equity method investment.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 September 2025, Transchip entered into a convertible bond investment agreement along with certain investors, under which Transchip received approximately $5.6 million as a loan in October 2025. Pursuant to the convertible bond investment agreement, the loan will be converted into Transchip’s equity upon the fulfillment of certain conditions, which will result in a dilution of the Company’s ownership in Transchip. The Company did not provide funding under this agreement.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As of December 31, 2025, the carrying value of the investment in Transchip was $3.0 million. The Company’s loss from its proportionate share of its equity method investment in Transchip was $2.8 million for the year ended December 31, 2025.</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Company reviews its investment in Transchip for impairment if and when circumstances indicate that a decline in fair value below its carrying amount may have occurred. Since Transchip’s formation, it has incurred losses financed primarily through investor capital. Transchip's ability to continue its operations is dependent upon raising additional capital, which it is currently expected to be able to raise. After completing an impairment assessment based on the prevailing facts and circumstances, the Company determined that the impairment condition was not considered other than temporary. As such, no impairment charge was recognized during the year ended December 31, 2025. Management will continue to closely monitor future events and developments that would impact its assessment and if future facts and circumstances indicate that decline in fair value of the investment is other than temporary, a significant impairment may be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15. INCOME TAXES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financial reporting purposes, loss before provision for income taxes, includes the following components (in thousands):</w:t>
      </w:r>
    </w:p>
    <w:tbl>
      <w:tblPr>
        <w:tblW w:w="6406" w:type="dxa"/>
        <w:jc w:val="left"/>
        <w:tblInd w:w="0" w:type="dxa"/>
        <w:tblLayout w:type="fixed"/>
        <w:tblCellMar>
          <w:top w:w="28" w:type="dxa"/>
          <w:left w:w="28" w:type="dxa"/>
          <w:bottom w:w="28" w:type="dxa"/>
          <w:right w:w="28" w:type="dxa"/>
        </w:tblCellMar>
      </w:tblPr>
      <w:tblGrid>
        <w:gridCol w:w="1285"/>
        <w:gridCol w:w="1131"/>
        <w:gridCol w:w="1138"/>
        <w:gridCol w:w="211"/>
        <w:gridCol w:w="811"/>
        <w:gridCol w:w="109"/>
        <w:gridCol w:w="109"/>
        <w:gridCol w:w="109"/>
        <w:gridCol w:w="109"/>
        <w:gridCol w:w="211"/>
        <w:gridCol w:w="811"/>
        <w:gridCol w:w="109"/>
        <w:gridCol w:w="109"/>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 xml:space="preserve">Loss before provision for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(33,271)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(31,138)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103"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Income Taxes Paid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Income taxes paid, net of refunds received consists of the following (in thousands):</w:t>
      </w:r>
    </w:p>
    <w:tbl>
      <w:tblPr>
        <w:tblW w:w="4987" w:type="dxa"/>
        <w:jc w:val="left"/>
        <w:tblInd w:w="0" w:type="dxa"/>
        <w:tblLayout w:type="fixed"/>
        <w:tblCellMar>
          <w:top w:w="28" w:type="dxa"/>
          <w:left w:w="28" w:type="dxa"/>
          <w:bottom w:w="28" w:type="dxa"/>
          <w:right w:w="28" w:type="dxa"/>
        </w:tblCellMar>
      </w:tblPr>
      <w:tblGrid>
        <w:gridCol w:w="800"/>
        <w:gridCol w:w="701"/>
        <w:gridCol w:w="704"/>
        <w:gridCol w:w="550"/>
        <w:gridCol w:w="1685"/>
        <w:gridCol w:w="284"/>
        <w:gridCol w:w="109"/>
        <w:gridCol w:w="154"/>
      </w:tblGrid>
      <w:tr>
        <w:trPr/>
        <w:tc>
          <w:tcPr>
            <w:tcW w:w="8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 Ended December 31,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US Federal</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291 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US State and Local:</w:t>
            </w:r>
          </w:p>
        </w:tc>
        <w:tc>
          <w:tcPr>
            <w:tcW w:w="2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w:t>
            </w:r>
          </w:p>
        </w:tc>
        <w:tc>
          <w:tcPr>
            <w:tcW w:w="2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State and Local</w:t>
            </w:r>
          </w:p>
        </w:tc>
        <w:tc>
          <w:tcPr>
            <w:tcW w:w="2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Foreign:</w:t>
            </w:r>
          </w:p>
        </w:tc>
        <w:tc>
          <w:tcPr>
            <w:tcW w:w="2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China</w:t>
            </w:r>
          </w:p>
        </w:tc>
        <w:tc>
          <w:tcPr>
            <w:tcW w:w="2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South Korea</w:t>
            </w:r>
          </w:p>
        </w:tc>
        <w:tc>
          <w:tcPr>
            <w:tcW w:w="2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 xml:space="preserve">Israel </w:t>
            </w:r>
          </w:p>
        </w:tc>
        <w:tc>
          <w:tcPr>
            <w:tcW w:w="2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w:t>
            </w:r>
          </w:p>
        </w:tc>
        <w:tc>
          <w:tcPr>
            <w:tcW w:w="2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Foreign</w:t>
            </w:r>
          </w:p>
        </w:tc>
        <w:tc>
          <w:tcPr>
            <w:tcW w:w="2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2,513 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income taxes paid</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2,819 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Provision for Income Taxes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provision for income taxes consists of the following (in thousands):</w:t>
      </w:r>
    </w:p>
    <w:tbl>
      <w:tblPr>
        <w:tblW w:w="5731" w:type="dxa"/>
        <w:jc w:val="left"/>
        <w:tblInd w:w="0" w:type="dxa"/>
        <w:tblLayout w:type="fixed"/>
        <w:tblCellMar>
          <w:top w:w="28" w:type="dxa"/>
          <w:left w:w="28" w:type="dxa"/>
          <w:bottom w:w="28" w:type="dxa"/>
          <w:right w:w="28" w:type="dxa"/>
        </w:tblCellMar>
      </w:tblPr>
      <w:tblGrid>
        <w:gridCol w:w="1162"/>
        <w:gridCol w:w="1022"/>
        <w:gridCol w:w="1025"/>
        <w:gridCol w:w="211"/>
        <w:gridCol w:w="646"/>
        <w:gridCol w:w="109"/>
        <w:gridCol w:w="109"/>
        <w:gridCol w:w="109"/>
        <w:gridCol w:w="109"/>
        <w:gridCol w:w="211"/>
        <w:gridCol w:w="646"/>
        <w:gridCol w:w="109"/>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Current: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Federal tax (benefit)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current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Deferred:</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Federal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deferred tax expense (benefit)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Total:</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Federal tax (benefit)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104" name="Frame1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120"/>
        <w:jc w:val="both"/>
        <w:rPr/>
      </w:pPr>
      <w:r>
        <w:rPr>
          <w:rFonts w:ascii="Arial;sans-serif" w:hAnsi="Arial;sans-serif"/>
          <w:b w:val="false"/>
          <w:color w:val="000000"/>
          <w:sz w:val="19"/>
          <w:shd w:fill="FFFFFF" w:val="clear"/>
        </w:rPr>
        <w:t xml:space="preserve">Income tax provision </w:t>
      </w:r>
      <w:r>
        <w:rPr>
          <w:rFonts w:ascii="Arial;sans-serif" w:hAnsi="Arial;sans-serif"/>
          <w:b w:val="false"/>
          <w:color w:val="000000"/>
          <w:sz w:val="19"/>
        </w:rPr>
        <w:t xml:space="preserve">related to continuing operations differ from the amounts computed by applying the statutory income tax rate of 21% to </w:t>
      </w:r>
      <w:r>
        <w:rPr>
          <w:rFonts w:ascii="Arial;sans-serif" w:hAnsi="Arial;sans-serif"/>
          <w:b w:val="false"/>
          <w:color w:val="000000"/>
          <w:sz w:val="19"/>
          <w:shd w:fill="FFFFFF" w:val="clear"/>
        </w:rPr>
        <w:t>pretax loss as follows (amounts in thousands):</w:t>
      </w:r>
    </w:p>
    <w:tbl>
      <w:tblPr>
        <w:tblW w:w="6671" w:type="dxa"/>
        <w:jc w:val="left"/>
        <w:tblInd w:w="0" w:type="dxa"/>
        <w:tblLayout w:type="fixed"/>
        <w:tblCellMar>
          <w:top w:w="28" w:type="dxa"/>
          <w:left w:w="28" w:type="dxa"/>
          <w:bottom w:w="28" w:type="dxa"/>
          <w:right w:w="28" w:type="dxa"/>
        </w:tblCellMar>
      </w:tblPr>
      <w:tblGrid>
        <w:gridCol w:w="1376"/>
        <w:gridCol w:w="1205"/>
        <w:gridCol w:w="1213"/>
        <w:gridCol w:w="284"/>
        <w:gridCol w:w="952"/>
        <w:gridCol w:w="147"/>
        <w:gridCol w:w="147"/>
        <w:gridCol w:w="147"/>
        <w:gridCol w:w="147"/>
        <w:gridCol w:w="299"/>
        <w:gridCol w:w="301"/>
        <w:gridCol w:w="453"/>
      </w:tblGrid>
      <w:tr>
        <w:trPr/>
        <w:tc>
          <w:tcPr>
            <w:tcW w:w="137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Amount </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Percent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US Federal Statutory Tax Rate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(6,987)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 xml:space="preserve">Changes in income taxes resulting from: </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State Income Taxes, net of Federal Effect</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Tax Effects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France</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Nondeductible items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Impact of Tax Credits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Tax Rate Differential</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Change in Valuation Allowance</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4,091 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South Korea</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Withholding Tax</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0.9 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China</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Withholding Tax</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Hong Kong</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(0.4)</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Changes in Tax Laws or Rates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Cross-Border Tax Laws</w:t>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Foreign-Derived Intangible Income</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Cross-Border Tax Laws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Tax Credits</w:t>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Adjustment to Foreign Tax Credits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Federal R&amp;D Credits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Change in Valuation Allowance</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(11.1)</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Nontaxable or Nondeductible Items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Changes in Unrecognized Tax Benefits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1,475 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tbl>
      <w:tblPr>
        <w:tblW w:w="5902" w:type="dxa"/>
        <w:jc w:val="left"/>
        <w:tblInd w:w="0" w:type="dxa"/>
        <w:tblLayout w:type="fixed"/>
        <w:tblCellMar>
          <w:top w:w="28" w:type="dxa"/>
          <w:left w:w="28" w:type="dxa"/>
          <w:bottom w:w="28" w:type="dxa"/>
          <w:right w:w="28" w:type="dxa"/>
        </w:tblCellMar>
      </w:tblPr>
      <w:tblGrid>
        <w:gridCol w:w="1131"/>
        <w:gridCol w:w="991"/>
        <w:gridCol w:w="998"/>
        <w:gridCol w:w="542"/>
        <w:gridCol w:w="542"/>
        <w:gridCol w:w="1435"/>
        <w:gridCol w:w="109"/>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Income Tax (provision) benefit</w:t>
            </w:r>
          </w:p>
        </w:tc>
        <w:tc>
          <w:tcPr>
            <w:tcW w:w="2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At Statutory Rate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21.0 </w:t>
            </w:r>
          </w:p>
        </w:tc>
        <w:tc>
          <w:tcPr>
            <w:tcW w:w="1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State Taxes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1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Valuation Allowance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(26.3)</w:t>
            </w:r>
          </w:p>
        </w:tc>
        <w:tc>
          <w:tcPr>
            <w:tcW w:w="1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 Tax Differential</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w:t>
            </w:r>
          </w:p>
        </w:tc>
        <w:tc>
          <w:tcPr>
            <w:tcW w:w="1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Tax Credits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4.1 </w:t>
            </w:r>
          </w:p>
        </w:tc>
        <w:tc>
          <w:tcPr>
            <w:tcW w:w="1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Stock Based Compensation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w:t>
            </w:r>
          </w:p>
        </w:tc>
        <w:tc>
          <w:tcPr>
            <w:tcW w:w="1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 Earnings and Adjustments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2.2 </w:t>
            </w:r>
          </w:p>
        </w:tc>
        <w:tc>
          <w:tcPr>
            <w:tcW w:w="1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 Withholding Tax</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w:t>
            </w:r>
          </w:p>
        </w:tc>
        <w:tc>
          <w:tcPr>
            <w:tcW w:w="1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(0.2)</w:t>
            </w:r>
          </w:p>
        </w:tc>
        <w:tc>
          <w:tcPr>
            <w:tcW w:w="1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w:t>
            </w:r>
          </w:p>
        </w:tc>
        <w:tc>
          <w:tcPr>
            <w:tcW w:w="10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w:t>
            </w:r>
          </w:p>
        </w:tc>
        <w:tc>
          <w:tcPr>
            <w:tcW w:w="1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5"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For the year ended December 31, 2025, state and local income taxes in California comprise the majority of the state and local income taxes, net of federal effect category.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Deferred Tax Assets and Liabilities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Significant components of the Company’s deferred tax assets and liabilities are as follows (in thousands):</w:t>
      </w:r>
    </w:p>
    <w:tbl>
      <w:tblPr>
        <w:tblW w:w="5499" w:type="dxa"/>
        <w:jc w:val="left"/>
        <w:tblInd w:w="0" w:type="dxa"/>
        <w:tblLayout w:type="fixed"/>
        <w:tblCellMar>
          <w:top w:w="28" w:type="dxa"/>
          <w:left w:w="28" w:type="dxa"/>
          <w:bottom w:w="28" w:type="dxa"/>
          <w:right w:w="28" w:type="dxa"/>
        </w:tblCellMar>
      </w:tblPr>
      <w:tblGrid>
        <w:gridCol w:w="1113"/>
        <w:gridCol w:w="979"/>
        <w:gridCol w:w="983"/>
        <w:gridCol w:w="211"/>
        <w:gridCol w:w="706"/>
        <w:gridCol w:w="109"/>
        <w:gridCol w:w="109"/>
        <w:gridCol w:w="109"/>
        <w:gridCol w:w="109"/>
        <w:gridCol w:w="211"/>
        <w:gridCol w:w="706"/>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Deferred Tax Assets: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Federal &amp; State NOL carryforward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Research &amp; Other credits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Capitalized R&amp;D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Deferred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Reserves and accruals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intangibles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Gross Deferred tax asset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43,434 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Less: Valuation allowance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(41,505)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Deferred Tax Liabilities: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Prepaid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Right-of-use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Gross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provisions of ASC 740 require an assessment of both positive and negative evidence when determining whether it is more likely than not that deferred tax assets are recoverable. For the years ended December 31, 2025 and 2024, based on all available objective evidence, including the existence of cumulative losses, the Company determined that it was not more likely than not that the net deferred tax assets were fully realizable. Accordingly, the Company determined that a full valuation allowance against its U.S. (federal and state) and French deferred tax assets is appropriate. The Company intends to maintain a full valuation allowance on net deferred tax assets until sufficient positive evidence exists to support reversal of the valuation allowance. During the years ended December 31, 2025, and 2024, the valuation allowance was $50.4 million and $41.5 million, respectively.</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valuation allowance increased by $8.9 million and $7.7 million during the years ended December 31, 2025, and 2024, respectively, primarily due to changes in foreign deferred revenue and capitalized research and experimental expenses, respectively.</w:t>
      </w:r>
    </w:p>
    <w:p>
      <w:pPr>
        <w:pStyle w:val="TextBody"/>
        <w:bidi w:val="0"/>
        <w:spacing w:lineRule="auto" w:line="288" w:before="180" w:after="60"/>
        <w:jc w:val="both"/>
        <w:rPr>
          <w:rFonts w:ascii="Arial;sans-serif" w:hAnsi="Arial;sans-serif"/>
          <w:b w:val="false"/>
          <w:color w:val="000000"/>
          <w:sz w:val="19"/>
        </w:rPr>
      </w:pPr>
      <w:r>
        <w:rPr>
          <w:rFonts w:ascii="Arial;sans-serif" w:hAnsi="Arial;sans-serif"/>
          <w:b w:val="false"/>
          <w:color w:val="000000"/>
          <w:sz w:val="19"/>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tbl>
      <w:tblPr>
        <w:tblW w:w="6937" w:type="dxa"/>
        <w:jc w:val="left"/>
        <w:tblInd w:w="0" w:type="dxa"/>
        <w:tblLayout w:type="fixed"/>
        <w:tblCellMar>
          <w:top w:w="28" w:type="dxa"/>
          <w:left w:w="28" w:type="dxa"/>
          <w:bottom w:w="28" w:type="dxa"/>
          <w:right w:w="28" w:type="dxa"/>
        </w:tblCellMar>
      </w:tblPr>
      <w:tblGrid>
        <w:gridCol w:w="1503"/>
        <w:gridCol w:w="1325"/>
        <w:gridCol w:w="1327"/>
        <w:gridCol w:w="496"/>
        <w:gridCol w:w="1767"/>
        <w:gridCol w:w="256"/>
        <w:gridCol w:w="109"/>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Beginning balance</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41,505 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Change charged to income tax expense</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8,880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Changes charged to other comprehensive loss</w:t>
            </w:r>
          </w:p>
        </w:tc>
        <w:tc>
          <w:tcPr>
            <w:tcW w:w="2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Changes charged to goodwill</w:t>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Ending balance</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50,385 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6"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106</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Net Operating Loss and Tax Credit Carryforwards</w:t>
      </w:r>
    </w:p>
    <w:p>
      <w:pPr>
        <w:pStyle w:val="TextBody"/>
        <w:bidi w:val="0"/>
        <w:spacing w:lineRule="auto" w:line="288" w:before="180" w:after="283"/>
        <w:jc w:val="both"/>
        <w:rPr/>
      </w:pPr>
      <w:r>
        <w:rPr>
          <w:rFonts w:ascii="Arial;sans-serif" w:hAnsi="Arial;sans-serif"/>
          <w:b w:val="false"/>
          <w:color w:val="000000"/>
          <w:sz w:val="19"/>
          <w:shd w:fill="FFFFFF" w:val="clear"/>
        </w:rPr>
        <w:t xml:space="preserve">As of December 31, 2025, the Company had </w:t>
      </w:r>
      <w:r>
        <w:rPr>
          <w:rFonts w:ascii="Arial;sans-serif" w:hAnsi="Arial;sans-serif"/>
          <w:b w:val="false"/>
          <w:color w:val="000000"/>
          <w:sz w:val="19"/>
        </w:rPr>
        <w:t>$7.0 million</w:t>
      </w:r>
      <w:r>
        <w:rPr>
          <w:color w:val="000000"/>
          <w:shd w:fill="FFFFFF" w:val="clear"/>
        </w:rPr>
        <w:t xml:space="preserve"> </w:t>
      </w:r>
      <w:r>
        <w:rPr>
          <w:rFonts w:ascii="Arial;sans-serif" w:hAnsi="Arial;sans-serif"/>
          <w:b w:val="false"/>
          <w:color w:val="000000"/>
          <w:sz w:val="19"/>
          <w:shd w:fill="FFFFFF" w:val="clear"/>
        </w:rPr>
        <w:t xml:space="preserve">net operating loss carryforward for federal income tax purposes which can be carried forward indefinitely. The </w:t>
      </w:r>
      <w:r>
        <w:rPr>
          <w:rFonts w:ascii="Arial;sans-serif" w:hAnsi="Arial;sans-serif"/>
          <w:b w:val="false"/>
          <w:color w:val="000000"/>
          <w:sz w:val="19"/>
        </w:rPr>
        <w:t xml:space="preserve">Company had a total state net operating loss carryforward of approximately $20.1 million, which will begin to expire in 2030. Utilization of some of the federal and state net operating loss and credit carryforwards are subject to annual limitations due to the “change in ownership” provisions of the Internal Revenue Code of 1986 and similar state provisions. The </w:t>
      </w:r>
      <w:r>
        <w:rPr>
          <w:rFonts w:ascii="Arial;sans-serif" w:hAnsi="Arial;sans-serif"/>
          <w:b w:val="false"/>
          <w:color w:val="000000"/>
          <w:sz w:val="19"/>
          <w:shd w:fill="FFFFFF" w:val="clear"/>
        </w:rPr>
        <w:t xml:space="preserve">annual limitations may result in the expiration of net operating losses and credits before utilization.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The Company has federal research and development tax credits of approximately $8.2 million, which will begin to expire in 2036 and California research and development tax credits of approximately $5.2 million which can be carried forward indefinitely. These tax credits are subject to the same limitations discussed above.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Unrecognized Tax Benefits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adopted the provisions of ASC 740, which requires companies to determine whether it is “more likely than not” that a tax position will be sustained upon examination by the appropriate taxing authorities before any tax benefit can be recorded in the financial statements. It also provides guidance on the recognition, measurement, classification, and interest and penalties related to uncertain tax positions.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has the following activity relating to unrecognized tax benefits (in thousands):</w:t>
      </w:r>
    </w:p>
    <w:tbl>
      <w:tblPr>
        <w:tblW w:w="6976" w:type="dxa"/>
        <w:jc w:val="left"/>
        <w:tblInd w:w="0" w:type="dxa"/>
        <w:tblLayout w:type="fixed"/>
        <w:tblCellMar>
          <w:top w:w="28" w:type="dxa"/>
          <w:left w:w="28" w:type="dxa"/>
          <w:bottom w:w="28" w:type="dxa"/>
          <w:right w:w="28" w:type="dxa"/>
        </w:tblCellMar>
      </w:tblPr>
      <w:tblGrid>
        <w:gridCol w:w="1611"/>
        <w:gridCol w:w="1420"/>
        <w:gridCol w:w="1423"/>
        <w:gridCol w:w="211"/>
        <w:gridCol w:w="646"/>
        <w:gridCol w:w="109"/>
        <w:gridCol w:w="109"/>
        <w:gridCol w:w="109"/>
        <w:gridCol w:w="109"/>
        <w:gridCol w:w="211"/>
        <w:gridCol w:w="646"/>
        <w:gridCol w:w="109"/>
        <w:gridCol w:w="109"/>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Gross increases—Tax Positions in Prior Periods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Gross decreases—Tax Positions in Prior Periods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Gross increases—Tax Positions in Current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During the years ended December 31, 2025, and 2024, an insignificant amount of interest or penalties were required to be recognized relating to unrecognized tax benefits.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December 31, 2025, the total amount of gross unrecognized tax benefits was $4.0 million, of which $0.1 million, if recognized, would impact the Company’s effective tax 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Company files federal and state income tax returns. For U.S. federal and state income tax purposes, the statute of limitations currently remains open for the years ending December 31, 2022 to present and December 31, 2021 to present, respectively. In addition, all of the net operating losses and research and development credit carryforwards since inception that could be utilized in future years may be subject to examination. There are currently no pending income tax examinations.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Undistributed earnings of our foreign subsidiaries are considered to be permanently reinvested and accordingly, no deferred taxes have been provided thereon. Upon distribution of those earnings in the form of dividends or otherwise, we could be subject to various income and withholding taxes. At the present time the amount of taxes that might be payable if these earnings were repatriated is not material.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July 4, 2025, the U.S. enacted a budget reconciliation package, One Big Beautiful Bill Act of 2025. In accordance with GAAP, the Company accounted for the tax effects of changes in tax law in the period of enactment, which is the third quarter of calendar year 2025, and the impact was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16. DEFINED CONTRIBUTION PLAN AND BENEFIT PLANS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Company has a 401(k) plan to provide defined contribution retirement benefits for all of its US-based employees. Employees may elect to contribute a portion of their pretax compensation to the 401(k) plan, subject to the U.S. Internal Revenue Service annual contribution limit. Employee contributions are fully vested at all times. For the years ended December 31, 2025, and 2024, the Company contributed $0.9 million and $0.8 million to the 401(k) plan,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7"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107</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has two defined benefit pension plans (the Plans), and both Plans are outside the United States. The Plans cover all employees of the Company’s French subsidiary in accordance with French regulations. The Plans are unfunded and accounted for under the credit method and are subject to an actuarial measurement of what the Company needs at the present time to cover the future pension liabilities, including expected future salary increases.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Components of the net periodic pension costs and changes in benefit obligations under the Plan were as follows (in thousands):</w:t>
      </w:r>
    </w:p>
    <w:tbl>
      <w:tblPr>
        <w:tblW w:w="5163" w:type="dxa"/>
        <w:jc w:val="left"/>
        <w:tblInd w:w="0" w:type="dxa"/>
        <w:tblLayout w:type="fixed"/>
        <w:tblCellMar>
          <w:top w:w="28" w:type="dxa"/>
          <w:left w:w="28" w:type="dxa"/>
          <w:bottom w:w="28" w:type="dxa"/>
          <w:right w:w="28" w:type="dxa"/>
        </w:tblCellMar>
      </w:tblPr>
      <w:tblGrid>
        <w:gridCol w:w="1011"/>
        <w:gridCol w:w="886"/>
        <w:gridCol w:w="892"/>
        <w:gridCol w:w="231"/>
        <w:gridCol w:w="527"/>
        <w:gridCol w:w="119"/>
        <w:gridCol w:w="119"/>
        <w:gridCol w:w="119"/>
        <w:gridCol w:w="119"/>
        <w:gridCol w:w="231"/>
        <w:gridCol w:w="527"/>
        <w:gridCol w:w="11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Service costs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Interest costs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Total net periodic pension cost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2079"/>
        <w:gridCol w:w="1828"/>
        <w:gridCol w:w="1838"/>
        <w:gridCol w:w="211"/>
        <w:gridCol w:w="646"/>
        <w:gridCol w:w="109"/>
        <w:gridCol w:w="109"/>
        <w:gridCol w:w="109"/>
        <w:gridCol w:w="109"/>
        <w:gridCol w:w="211"/>
        <w:gridCol w:w="481"/>
        <w:gridCol w:w="154"/>
      </w:tblGrid>
      <w:tr>
        <w:trPr/>
        <w:tc>
          <w:tcPr>
            <w:tcW w:w="207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Benefit obligation,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Service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Interest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Net actuarial gain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Foreign exchange loss (gain)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Benefit obligation, end of year, included as part of other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Weighted-average assumptions used to determine benefit obligations were as follows:</w:t>
      </w:r>
    </w:p>
    <w:tbl>
      <w:tblPr>
        <w:tblW w:w="5048" w:type="dxa"/>
        <w:jc w:val="left"/>
        <w:tblInd w:w="0" w:type="dxa"/>
        <w:tblLayout w:type="fixed"/>
        <w:tblCellMar>
          <w:top w:w="28" w:type="dxa"/>
          <w:left w:w="28" w:type="dxa"/>
          <w:bottom w:w="28" w:type="dxa"/>
          <w:right w:w="28" w:type="dxa"/>
        </w:tblCellMar>
      </w:tblPr>
      <w:tblGrid>
        <w:gridCol w:w="1021"/>
        <w:gridCol w:w="897"/>
        <w:gridCol w:w="901"/>
        <w:gridCol w:w="270"/>
        <w:gridCol w:w="271"/>
        <w:gridCol w:w="348"/>
        <w:gridCol w:w="132"/>
        <w:gridCol w:w="132"/>
        <w:gridCol w:w="132"/>
        <w:gridCol w:w="270"/>
        <w:gridCol w:w="271"/>
        <w:gridCol w:w="403"/>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Discount rate</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3.38 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Rate of compensation increase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3.00 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17. RELATED PARTY TRANSACTIONS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Company defines related parties as directors, executive officers, nominees for director and stockholders that have significant influence over the Company, or are a greater than 10% beneficial owner of the Company’s capital and their affiliates or immediate family members. Transchip, an equity method investee of the Company, is also deemed as a related party.</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On November 15, 2024, the Company entered into a design services licensing collaboration agreement with Transchip. This arrangement gives Transchip a non-exclusive license right to make design house offerings using certain of the Company's products. The Company retains the manufacturing and royalty-related rights in relation to the Company’s products used in the design house offerings.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During the three months ended March 31, 2025, the Company delivered a three-year term license to Transchip under this arrangement. The Company recognized accounts receivable and deferred revenue of $0.7 million as of December 31, 2025, and recognized revenue below $0.1 million for the year ended December 31, 2025, related to this arrangement.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K. Charles Janac, the Company’s Chief Executive Officer, invested $0.3 million of his own funds in a private equity financing of an AI chatbot startup, Biflow AI Inc., (Biflow.ai). Following his investment, Mr. Janac controls less than 5% of the outstanding equity of Biflow.ai, on an as converted basis. In addition, Mr. Janac is also an advisor to Biflow.ai. Biflow.ai was co-founded by a son of one of the Company’s employees, an executive vice president. In September 2025, the Company entered into a separately negotiated agreement with Biflow.ai to provide chatbot services and paid $5,000 to Biflow.ai under the agreement during the year ended December 31, 2025. The Company is currently negotiating, on an arm’s-length basis, a new agreement with Biflow.ai to provide certain services to the Company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8"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108</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18. SEGMENT AND GEOGRAPHIC INFORMATION</w:t>
      </w:r>
    </w:p>
    <w:p>
      <w:pPr>
        <w:pStyle w:val="TextBody"/>
        <w:bidi w:val="0"/>
        <w:spacing w:lineRule="auto" w:line="288" w:before="180" w:after="283"/>
        <w:jc w:val="both"/>
        <w:rPr/>
      </w:pPr>
      <w:r>
        <w:rPr>
          <w:rFonts w:ascii="Arial;sans-serif" w:hAnsi="Arial;sans-serif"/>
          <w:b w:val="false"/>
          <w:color w:val="000000"/>
          <w:sz w:val="19"/>
          <w:shd w:fill="FFFFFF" w:val="clear"/>
        </w:rPr>
        <w:t xml:space="preserve">The Company operates in one reportable segment, as more fully described in Note 2. </w:t>
      </w:r>
      <w:r>
        <w:rPr>
          <w:rFonts w:ascii="Arial;sans-serif" w:hAnsi="Arial;sans-serif"/>
          <w:b w:val="false"/>
          <w:color w:val="000000"/>
          <w:sz w:val="19"/>
        </w:rPr>
        <w:t>The Company’s CODM reviews and allocates resources using the Company’s financial performance, primarily the net loss presented in the consolidated statements of operations. Other financial performance measures include Annual Contract Value (ACV), ACV plus royalties and remaining performance obligations. The CODM is regularly provided with only the consolidated expenses as noted on the face of the consolidated statements of operations, that are considered as significant expenses. Interest expense and other income (expense), net as presented in the consolidated statements of operations are not considered as significant expenses.</w:t>
      </w:r>
    </w:p>
    <w:p>
      <w:pPr>
        <w:pStyle w:val="TextBody"/>
        <w:bidi w:val="0"/>
        <w:spacing w:lineRule="auto" w:line="288" w:before="240" w:after="283"/>
        <w:jc w:val="both"/>
        <w:rPr/>
      </w:pPr>
      <w:r>
        <w:rPr>
          <w:rFonts w:ascii="Arial;sans-serif" w:hAnsi="Arial;sans-serif"/>
          <w:b w:val="false"/>
          <w:color w:val="000000"/>
          <w:sz w:val="19"/>
          <w:shd w:fill="FFFFFF" w:val="clear"/>
        </w:rPr>
        <w:t xml:space="preserve">Refer to </w:t>
      </w:r>
      <w:hyperlink w:anchor="id4d761cdf3a54f2da90a3e08445f2d7d_121">
        <w:r>
          <w:rPr>
            <w:rStyle w:val="InternetLink"/>
            <w:rFonts w:ascii="Arial;sans-serif" w:hAnsi="Arial;sans-serif"/>
            <w:b w:val="false"/>
            <w:strike w:val="false"/>
            <w:dstrike w:val="false"/>
            <w:color w:val="000000"/>
            <w:sz w:val="19"/>
            <w:u w:val="none"/>
            <w:effect w:val="none"/>
            <w:shd w:fill="FFFFFF" w:val="clear"/>
          </w:rPr>
          <w:t xml:space="preserve">Note 2 </w:t>
        </w:r>
      </w:hyperlink>
      <w:r>
        <w:rPr>
          <w:rFonts w:ascii="Arial;sans-serif" w:hAnsi="Arial;sans-serif"/>
          <w:b w:val="false"/>
          <w:color w:val="000000"/>
          <w:sz w:val="19"/>
          <w:shd w:fill="FFFFFF" w:val="clear"/>
        </w:rPr>
        <w:t xml:space="preserve">for information about customers which account for more than 10% of total revenue. Refer to </w:t>
      </w:r>
      <w:hyperlink w:anchor="id4d761cdf3a54f2da90a3e08445f2d7d_124">
        <w:r>
          <w:rPr>
            <w:rStyle w:val="InternetLink"/>
            <w:rFonts w:ascii="Arial;sans-serif" w:hAnsi="Arial;sans-serif"/>
            <w:b w:val="false"/>
            <w:strike w:val="false"/>
            <w:dstrike w:val="false"/>
            <w:color w:val="000000"/>
            <w:sz w:val="19"/>
            <w:u w:val="none"/>
            <w:effect w:val="none"/>
            <w:shd w:fill="FFFFFF" w:val="clear"/>
          </w:rPr>
          <w:t>Note 3</w:t>
        </w:r>
      </w:hyperlink>
      <w:r>
        <w:rPr>
          <w:rFonts w:ascii="Arial;sans-serif" w:hAnsi="Arial;sans-serif"/>
          <w:b w:val="false"/>
          <w:color w:val="000000"/>
          <w:sz w:val="19"/>
          <w:shd w:fill="FFFFFF" w:val="clear"/>
        </w:rPr>
        <w:t xml:space="preserve"> for a summary of revenue by major product and service group.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revenues by geographic area based on customer location (in thousands):</w:t>
      </w:r>
    </w:p>
    <w:tbl>
      <w:tblPr>
        <w:tblW w:w="7864" w:type="dxa"/>
        <w:jc w:val="left"/>
        <w:tblInd w:w="0" w:type="dxa"/>
        <w:tblLayout w:type="fixed"/>
        <w:tblCellMar>
          <w:top w:w="28" w:type="dxa"/>
          <w:left w:w="28" w:type="dxa"/>
          <w:bottom w:w="28" w:type="dxa"/>
          <w:right w:w="28" w:type="dxa"/>
        </w:tblCellMar>
      </w:tblPr>
      <w:tblGrid>
        <w:gridCol w:w="747"/>
        <w:gridCol w:w="658"/>
        <w:gridCol w:w="664"/>
        <w:gridCol w:w="211"/>
        <w:gridCol w:w="751"/>
        <w:gridCol w:w="109"/>
        <w:gridCol w:w="109"/>
        <w:gridCol w:w="109"/>
        <w:gridCol w:w="109"/>
        <w:gridCol w:w="322"/>
        <w:gridCol w:w="324"/>
        <w:gridCol w:w="286"/>
        <w:gridCol w:w="109"/>
        <w:gridCol w:w="109"/>
        <w:gridCol w:w="109"/>
        <w:gridCol w:w="211"/>
        <w:gridCol w:w="751"/>
        <w:gridCol w:w="109"/>
        <w:gridCol w:w="109"/>
        <w:gridCol w:w="109"/>
        <w:gridCol w:w="109"/>
        <w:gridCol w:w="322"/>
        <w:gridCol w:w="324"/>
        <w:gridCol w:w="286"/>
        <w:gridCol w:w="109"/>
        <w:gridCol w:w="109"/>
        <w:gridCol w:w="109"/>
        <w:gridCol w:w="109"/>
        <w:gridCol w:w="109"/>
        <w:gridCol w:w="109"/>
        <w:gridCol w:w="154"/>
      </w:tblGrid>
      <w:tr>
        <w:trPr/>
        <w:tc>
          <w:tcPr>
            <w:tcW w:w="74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Asia Pacific</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Europe, Middle East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(1) United States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(1) Other Americas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(2) China</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(2) Korea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(2) Other Asia Pacific*</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Other countries individually less than 10%</w: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table summarizes property and equipment, net by geographic area (in thousands):</w:t>
      </w:r>
    </w:p>
    <w:tbl>
      <w:tblPr>
        <w:tblW w:w="6126" w:type="dxa"/>
        <w:jc w:val="left"/>
        <w:tblInd w:w="0" w:type="dxa"/>
        <w:tblLayout w:type="fixed"/>
        <w:tblCellMar>
          <w:top w:w="28" w:type="dxa"/>
          <w:left w:w="28" w:type="dxa"/>
          <w:bottom w:w="28" w:type="dxa"/>
          <w:right w:w="28" w:type="dxa"/>
        </w:tblCellMar>
      </w:tblPr>
      <w:tblGrid>
        <w:gridCol w:w="472"/>
        <w:gridCol w:w="415"/>
        <w:gridCol w:w="417"/>
        <w:gridCol w:w="211"/>
        <w:gridCol w:w="646"/>
        <w:gridCol w:w="109"/>
        <w:gridCol w:w="109"/>
        <w:gridCol w:w="109"/>
        <w:gridCol w:w="109"/>
        <w:gridCol w:w="322"/>
        <w:gridCol w:w="324"/>
        <w:gridCol w:w="286"/>
        <w:gridCol w:w="109"/>
        <w:gridCol w:w="109"/>
        <w:gridCol w:w="109"/>
        <w:gridCol w:w="211"/>
        <w:gridCol w:w="646"/>
        <w:gridCol w:w="109"/>
        <w:gridCol w:w="109"/>
        <w:gridCol w:w="109"/>
        <w:gridCol w:w="109"/>
        <w:gridCol w:w="322"/>
        <w:gridCol w:w="324"/>
        <w:gridCol w:w="331"/>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68.6 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France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19. SUBSEQUENT EVENTS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On December 10, 2025, the Company entered into an Agreement and Plan of Merger and Reorganization (the Purchase Agreement), pursuant to which the Company agreed to acquire 100% of the issued and outstanding equity securities (the Acquisition) of Cycuity, Inc. (Cycuity). Cycuity is a leading provider of semiconductor security verification software products.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Under the terms of the Purchase Agreement, the Company is obligated to pay an aggregate consideration up to $45.0 million, which includes $13.5 million in cash upon closing, $19.5 million in shares of the Company’s common stock upon closing and $12.0 million that is payable in shares of the Company’s common stock contingent upon Cycuity achieving certain specified bookings milestones for the 2026 calendar year.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January 14, 2026, the Company completed the acquisition for which it paid $14.1 million in cash and issued 1.1 million shares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9" name="Frame1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109</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19"/>
        </w:rPr>
      </w:pPr>
      <w:r>
        <w:rPr>
          <w:rFonts w:ascii="Arial;sans-serif" w:hAnsi="Arial;sans-serif"/>
          <w:b/>
          <w:color w:val="000000"/>
          <w:sz w:val="19"/>
        </w:rPr>
        <w:t>Item 9A. Controls and Procedures</w:t>
      </w:r>
    </w:p>
    <w:p>
      <w:pPr>
        <w:pStyle w:val="TextBody"/>
        <w:bidi w:val="0"/>
        <w:spacing w:lineRule="auto" w:line="288" w:before="180" w:after="283"/>
        <w:jc w:val="left"/>
        <w:rPr>
          <w:rFonts w:ascii="Arial;sans-serif" w:hAnsi="Arial;sans-serif"/>
          <w:b/>
          <w:color w:val="000000"/>
          <w:sz w:val="19"/>
          <w:shd w:fill="FFFFFF" w:val="clear"/>
        </w:rPr>
      </w:pPr>
      <w:r>
        <w:rPr>
          <w:rFonts w:ascii="Arial;sans-serif" w:hAnsi="Arial;sans-serif"/>
          <w:b/>
          <w:color w:val="000000"/>
          <w:sz w:val="19"/>
          <w:shd w:fill="FFFFFF" w:val="clear"/>
        </w:rPr>
        <w:t>Evaluation of Disclosure Controls and Procedures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management, with the participation of our Chief Executive Officer and Chief Financial Officer, has evaluated the effectiveness of our disclosure controls and procedures as of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Annual Report on Form 10-K, our disclosure controls and procedures were effective at the reasonable assurance level.</w:t>
      </w:r>
    </w:p>
    <w:p>
      <w:pPr>
        <w:pStyle w:val="TextBody"/>
        <w:bidi w:val="0"/>
        <w:spacing w:lineRule="auto" w:line="288" w:before="180" w:after="283"/>
        <w:jc w:val="left"/>
        <w:rPr>
          <w:rFonts w:ascii="Arial;sans-serif" w:hAnsi="Arial;sans-serif"/>
          <w:b/>
          <w:color w:val="000000"/>
          <w:sz w:val="19"/>
          <w:shd w:fill="FFFFFF" w:val="clear"/>
        </w:rPr>
      </w:pPr>
      <w:r>
        <w:rPr>
          <w:rFonts w:ascii="Arial;sans-serif" w:hAnsi="Arial;sans-serif"/>
          <w:b/>
          <w:color w:val="000000"/>
          <w:sz w:val="19"/>
          <w:shd w:fill="FFFFFF" w:val="clear"/>
        </w:rPr>
        <w:t>Management’s Annual Report on Internal Control over Financial Reporting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at the reasonable assurance level as of December 31, 2025. This Annual Report does not include an attestation report by our independent registered public accounting firm regarding internal control over financial reporting. Management’s report was not subject to attestation by our registered public accounting firm pursuant to the rules of the SEC that permit us to provide only management’s report in this Annual Report.</w:t>
      </w:r>
    </w:p>
    <w:p>
      <w:pPr>
        <w:pStyle w:val="TextBody"/>
        <w:bidi w:val="0"/>
        <w:spacing w:lineRule="auto" w:line="288" w:before="180" w:after="283"/>
        <w:jc w:val="left"/>
        <w:rPr/>
      </w:pPr>
      <w:r>
        <w:rPr>
          <w:rFonts w:ascii="Arial;sans-serif" w:hAnsi="Arial;sans-serif"/>
          <w:b/>
          <w:color w:val="000000"/>
          <w:sz w:val="19"/>
          <w:shd w:fill="FFFFFF" w:val="clear"/>
        </w:rPr>
        <w:t>Cha</w:t>
      </w:r>
      <w:r>
        <w:rPr>
          <w:rFonts w:ascii="Arial;sans-serif" w:hAnsi="Arial;sans-serif"/>
          <w:b/>
          <w:color w:val="000000"/>
          <w:sz w:val="19"/>
        </w:rPr>
        <w:t>nges in Internal Control over Financial Reporting</w:t>
      </w:r>
    </w:p>
    <w:p>
      <w:pPr>
        <w:pStyle w:val="TextBody"/>
        <w:bidi w:val="0"/>
        <w:spacing w:lineRule="auto" w:line="288" w:before="180" w:after="283"/>
        <w:jc w:val="both"/>
        <w:rPr/>
      </w:pPr>
      <w:r>
        <w:rPr>
          <w:rFonts w:ascii="Arial;sans-serif" w:hAnsi="Arial;sans-serif"/>
          <w:b w:val="false"/>
          <w:color w:val="000000"/>
          <w:sz w:val="19"/>
        </w:rPr>
        <w:t>There were no changes in our internal control over financial reporting identified in connection with the evaluation required by Rules 13a-15(d) and 15d-15(d) of the Exchange Act that occurred during the quarter ended December 31, 2025 that have materially affected, or are reasonably likely to materially affect, our internal control over financial reporting</w:t>
      </w:r>
      <w:r>
        <w:rPr>
          <w:rFonts w:ascii="Arial;sans-serif" w:hAnsi="Arial;sans-serif"/>
          <w:b w:val="false"/>
          <w:color w:val="000000"/>
          <w:sz w:val="19"/>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Arial;sans-serif" w:hAnsi="Arial;sans-serif"/>
          <w:b/>
          <w:color w:val="000000"/>
          <w:sz w:val="19"/>
          <w:shd w:fill="FFFFFF" w:val="clear"/>
        </w:rPr>
      </w:pPr>
      <w:r>
        <w:rPr>
          <w:rFonts w:ascii="Arial;sans-serif" w:hAnsi="Arial;sans-serif"/>
          <w:b/>
          <w:color w:val="000000"/>
          <w:sz w:val="19"/>
          <w:shd w:fill="FFFFFF" w:val="clear"/>
        </w:rPr>
        <w:t>Inherent Limitations on Effectiveness of Controls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management, including our Chief Executive Officer and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(a) Not applicable</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(b) Insider Trading Arrangements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November 7, 2025, Atiq Raza, Director, as the trustee of Saiyed Atiq Raza and Nandini Saraiya 2012 Revocable Trust Dated November 26, 2012, adopted a Rule 10b5-1 trading arrangement that is intended to satisfy the affirmative defense of Rule 10b5-1(c) for the sale of up to 610,839 shares of the Company’s common stock until December 31, 2026.</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December 12, 2025, K. Charles Janac, Chief Executive Officer (CEO), adopted a single Rule 10b5-1 trading arrangement, in his individual capacity and in his capacity as manager of Bayview Legacy, LLC, that is intended to satisfy the affirmative defense of Rule 10b5-1(c) for the sale of up to an aggregate of 1,068,528 shares of the Company’s common stock until June 30, 2027, consisting of up to 68,528 shares held by Mr. Janac and up to 1,000,000 shares held by Bayview Legacy,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10. Directors, Executive Officers and Corporate Governance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adopted a code of ethics for directors, officers (including our principal executive officer, principal financial officer and principal accounting officer) and employees, known as the Code of Business Conduct and Ethics. This code is publicly available on our website at ir.arteris.com under the Corporate Governance section. If we make any amendments to this code other than technical, administrative or other non-substantive amendments, or grant any waivers, including implicit waivers, from a provision of this code we will disclose the nature of the amendment or waiver, its effective date and to whom it applies on our website at arteris.com or in a Current Report on Form 8-K filed with the SEC.</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 xml:space="preserve">The remaining information required by this item, including information about our Directors, Executive Officers and Audit Committee, is incorporated by reference to the definitive Proxy Statement for our 2026 Annual Meeting of Stockholders, which will be filed with the SEC no later than 120 days after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11. Executive Compensation</w:t>
      </w:r>
    </w:p>
    <w:p>
      <w:pPr>
        <w:pStyle w:val="TextBody"/>
        <w:bidi w:val="0"/>
        <w:spacing w:lineRule="auto" w:line="268" w:before="180" w:after="283"/>
        <w:jc w:val="both"/>
        <w:rPr>
          <w:rFonts w:ascii="Arial;sans-serif" w:hAnsi="Arial;sans-serif"/>
          <w:b w:val="false"/>
          <w:color w:val="000000"/>
          <w:sz w:val="19"/>
        </w:rPr>
      </w:pPr>
      <w:r>
        <w:rPr>
          <w:rFonts w:ascii="Arial;sans-serif" w:hAnsi="Arial;sans-serif"/>
          <w:b w:val="false"/>
          <w:color w:val="000000"/>
          <w:sz w:val="19"/>
        </w:rPr>
        <w:t xml:space="preserve">The information required by this Item will be set forth in the section headed “Executive Compensation” in our Proxy Statement and is incorporated in this Annual Report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12. Security Ownership of Certain Beneficial Owner and Management and Related Stockholder Matters</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The information required by this Item will be set forth in the section headed “Security Ownership of Certain Beneficial Owners and Management” in our Proxy Statement and is incorporated in this Annual Report by reference.</w:t>
      </w:r>
    </w:p>
    <w:p>
      <w:pPr>
        <w:pStyle w:val="TextBody"/>
        <w:bidi w:val="0"/>
        <w:spacing w:lineRule="auto" w:line="268" w:before="180" w:after="283"/>
        <w:jc w:val="left"/>
        <w:rPr>
          <w:rFonts w:ascii="Arial;sans-serif" w:hAnsi="Arial;sans-serif"/>
          <w:b w:val="false"/>
          <w:color w:val="000000"/>
          <w:sz w:val="19"/>
        </w:rPr>
      </w:pPr>
      <w:r>
        <w:rPr>
          <w:rFonts w:ascii="Arial;sans-serif" w:hAnsi="Arial;sans-serif"/>
          <w:b w:val="false"/>
          <w:color w:val="000000"/>
          <w:sz w:val="19"/>
        </w:rPr>
        <w:t xml:space="preserve">Information regarding our equity compensation plans will be set forth in the section headed “Executive Compensation” in our Proxy Statement and is incorporated in this Annual Report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Item 13. Certain Relationships and Related Party Transactions</w:t>
      </w:r>
    </w:p>
    <w:p>
      <w:pPr>
        <w:pStyle w:val="TextBody"/>
        <w:bidi w:val="0"/>
        <w:spacing w:lineRule="auto" w:line="268" w:before="180" w:after="283"/>
        <w:jc w:val="left"/>
        <w:rPr>
          <w:rFonts w:ascii="Arial;sans-serif" w:hAnsi="Arial;sans-serif"/>
          <w:b w:val="false"/>
          <w:color w:val="000000"/>
          <w:sz w:val="19"/>
        </w:rPr>
      </w:pPr>
      <w:r>
        <w:rPr>
          <w:rFonts w:ascii="Arial;sans-serif" w:hAnsi="Arial;sans-serif"/>
          <w:b w:val="false"/>
          <w:color w:val="000000"/>
          <w:sz w:val="19"/>
        </w:rPr>
        <w:t xml:space="preserve">The information required by this Item will be set forth in the section headed “Transactions with Related Persons” in our Proxy Statement and is incorporated in this Annual Report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14. Principal Accounting Fees and Services</w:t>
      </w:r>
    </w:p>
    <w:p>
      <w:pPr>
        <w:pStyle w:val="TextBody"/>
        <w:bidi w:val="0"/>
        <w:spacing w:lineRule="auto" w:line="268" w:before="180" w:after="283"/>
        <w:jc w:val="left"/>
        <w:rPr>
          <w:rFonts w:ascii="Arial;sans-serif" w:hAnsi="Arial;sans-serif"/>
          <w:b w:val="false"/>
          <w:color w:val="000000"/>
          <w:sz w:val="19"/>
        </w:rPr>
      </w:pPr>
      <w:r>
        <w:rPr>
          <w:rFonts w:ascii="Arial;sans-serif" w:hAnsi="Arial;sans-serif"/>
          <w:b w:val="false"/>
          <w:color w:val="000000"/>
          <w:sz w:val="19"/>
        </w:rPr>
        <w:t xml:space="preserve">The information required by this Item will be set forth in the section headed “—Ratification of Selection of Independent Registered Public Accounting Firm” in our Proxy Statement and is incorporated in this Annual Report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12"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112</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Item 15. Exhibits and financial statements.</w:t>
      </w:r>
    </w:p>
    <w:p>
      <w:pPr>
        <w:pStyle w:val="TextBody"/>
        <w:bidi w:val="0"/>
        <w:spacing w:lineRule="auto" w:line="288" w:before="180" w:after="283"/>
        <w:jc w:val="left"/>
        <w:rPr>
          <w:rFonts w:ascii="Arial;sans-serif" w:hAnsi="Arial;sans-serif"/>
          <w:b w:val="false"/>
          <w:color w:val="000000"/>
          <w:sz w:val="19"/>
        </w:rPr>
      </w:pPr>
      <w:r>
        <w:rPr>
          <w:rFonts w:ascii="Arial;sans-serif" w:hAnsi="Arial;sans-serif"/>
          <w:b w:val="false"/>
          <w:color w:val="000000"/>
          <w:sz w:val="19"/>
        </w:rPr>
        <w:t>The following documents are filed as part of this Annual Report on Form 10-K: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(a)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The consolidated financial statements are filed as part of this Annual Report on Form 10-K under “Item 8. Financial Statements and Supplementary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(b) Financial Statement Schedules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The financial statement schedules are omitted because they are either not applicable, or the information required is presented in the financial statements and notes thereto under “Item 8. Financial Statements and Supplementary Data.”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9"/>
          <w:shd w:fill="FFFFFF" w:val="clear"/>
        </w:rPr>
      </w:pPr>
      <w:r>
        <w:rPr>
          <w:rFonts w:ascii="Arial;sans-serif" w:hAnsi="Arial;sans-serif"/>
          <w:b w:val="false"/>
          <w:i/>
          <w:color w:val="000000"/>
          <w:sz w:val="19"/>
          <w:shd w:fill="FFFFFF" w:val="clear"/>
        </w:rPr>
        <w:t>(c) Exhibits</w:t>
      </w:r>
    </w:p>
    <w:p>
      <w:pPr>
        <w:pStyle w:val="TextBody"/>
        <w:bidi w:val="0"/>
        <w:spacing w:lineRule="auto" w:line="288" w:before="180" w:after="283"/>
        <w:jc w:val="left"/>
        <w:rPr>
          <w:rFonts w:ascii="Arial;sans-serif" w:hAnsi="Arial;sans-serif"/>
          <w:b w:val="false"/>
          <w:color w:val="000000"/>
          <w:sz w:val="19"/>
          <w:shd w:fill="FFFFFF" w:val="clear"/>
        </w:rPr>
      </w:pPr>
      <w:r>
        <w:rPr>
          <w:rFonts w:ascii="Arial;sans-serif" w:hAnsi="Arial;sans-serif"/>
          <w:b w:val="false"/>
          <w:color w:val="000000"/>
          <w:sz w:val="19"/>
          <w:shd w:fill="FFFFFF" w:val="clear"/>
        </w:rPr>
        <w:t>The following documents are filed, furnished, or incorporated by reference as part of this Annual Report on Form 10-K.</w:t>
      </w:r>
    </w:p>
    <w:tbl>
      <w:tblPr>
        <w:tblW w:w="10205" w:type="dxa"/>
        <w:jc w:val="left"/>
        <w:tblInd w:w="0" w:type="dxa"/>
        <w:tblLayout w:type="fixed"/>
        <w:tblCellMar>
          <w:top w:w="28" w:type="dxa"/>
          <w:left w:w="28" w:type="dxa"/>
          <w:bottom w:w="28" w:type="dxa"/>
          <w:right w:w="28" w:type="dxa"/>
        </w:tblCellMar>
      </w:tblPr>
      <w:tblGrid>
        <w:gridCol w:w="402"/>
        <w:gridCol w:w="354"/>
        <w:gridCol w:w="355"/>
        <w:gridCol w:w="2287"/>
        <w:gridCol w:w="1889"/>
        <w:gridCol w:w="1895"/>
        <w:gridCol w:w="175"/>
        <w:gridCol w:w="175"/>
        <w:gridCol w:w="176"/>
        <w:gridCol w:w="109"/>
        <w:gridCol w:w="220"/>
        <w:gridCol w:w="220"/>
        <w:gridCol w:w="221"/>
        <w:gridCol w:w="234"/>
        <w:gridCol w:w="234"/>
        <w:gridCol w:w="235"/>
        <w:gridCol w:w="299"/>
        <w:gridCol w:w="299"/>
        <w:gridCol w:w="426"/>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6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EXHIBIT</w:t>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7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FILED</w:t>
            </w:r>
            <w:r>
              <w:rPr>
                <w:rFonts w:ascii="Arial;sans-serif" w:hAnsi="Arial;sans-serif"/>
                <w:b w:val="false"/>
                <w:color w:val="000000"/>
                <w:sz w:val="16"/>
              </w:rPr>
              <w:br/>
            </w:r>
            <w:r>
              <w:rPr>
                <w:rFonts w:ascii="Arial;sans-serif" w:hAnsi="Arial;sans-serif"/>
                <w:b/>
                <w:color w:val="000000"/>
                <w:sz w:val="16"/>
              </w:rPr>
              <w:t>HEREWITH</w:t>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6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16"/>
                  <w:u w:val="single"/>
                </w:rPr>
                <w:t>Amended and Restated Certificate of Incorporation of Arteris, Inc.</w:t>
              </w:r>
            </w:hyperlink>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8-K</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10-29-2021</w:t>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16"/>
                  <w:u w:val="single"/>
                </w:rPr>
                <w:t>Amended and Restated Bylaws of Arteris, Inc.</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8-K</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16"/>
                  <w:u w:val="single"/>
                </w:rPr>
                <w:t>Specimen Stock Certificate evidencing the shares of common stock.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16"/>
                  <w:u w:val="single"/>
                </w:rPr>
                <w:t>Investors’ Rights Agreement, dated February 5, 2016, by and among Arteris, Inc. and the investors listed therein.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16"/>
                  <w:u w:val="single"/>
                </w:rPr>
                <w:t>Amended and Restated Business Financing Agreement, by and between Arteris, Inc. and Western Alliance Bank dated as of December 16, 2020.</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16"/>
                  <w:u w:val="single"/>
                </w:rPr>
                <w:t>License Agreement, dated as of October 11, 2013, by and between Arteris, Inc. and Qualcomm Technologies, Inc.</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16"/>
                  <w:u w:val="single"/>
                </w:rPr>
                <w:t>Asset Purchase Agreement, dated as of October 9, 2013, by and among Qualcomm Technologies, Inc., Qualcomm France SARL, Arteris Holdings, Inc., Arteris, Inc. and Arteris, SAS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10.5#</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16"/>
                  <w:u w:val="single"/>
                </w:rPr>
                <w:t>Employment Agreement, by and between Arteris, Inc. and K. Charles Janac.</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10.6#</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16"/>
                  <w:u w:val="single"/>
                </w:rPr>
                <w:t>Arteris, Inc. 2016 Equity Incentive Plan and related form agreements, as amended.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S-8</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99.1(a)</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10.7#</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16"/>
                  <w:u w:val="single"/>
                </w:rPr>
                <w:t>Arteris, Inc. 2016 Equity Incentive Plan for the Grant of Restricted Stock Unit Awards to Employees in France.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w:t>
            </w:r>
          </w:p>
        </w:tc>
        <w:tc>
          <w:tcPr>
            <w:tcW w:w="6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6"/>
                  <w:u w:val="single"/>
                </w:rPr>
                <w:t>2021 Incentive Award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S-8</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99.2(a)</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Arial;sans-serif" w:hAnsi="Arial;sans-serif"/>
                  <w:b w:val="false"/>
                  <w:color w:val="0000FF"/>
                  <w:sz w:val="16"/>
                  <w:u w:val="single"/>
                </w:rPr>
                <w:t>Form of Stock Option Award Agreement under Arteris, Inc. 2021 Incentive Award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10.10#</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FF"/>
                  <w:sz w:val="16"/>
                  <w:u w:val="single"/>
                </w:rPr>
                <w:t>Form of Restricted Stock Unit Award Agreement under Arteris, Inc. 2021 Incentive Award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10.11#</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Arial;sans-serif" w:hAnsi="Arial;sans-serif"/>
                  <w:b w:val="false"/>
                  <w:color w:val="0000FF"/>
                  <w:sz w:val="16"/>
                  <w:u w:val="single"/>
                </w:rPr>
                <w:t>2021 Employee Stock Purchase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S-8</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FF"/>
                  <w:sz w:val="16"/>
                  <w:u w:val="single"/>
                </w:rPr>
                <w:t>Form of Executive Change in Control Severance Agreement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10.17</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10.13#</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Arial;sans-serif" w:hAnsi="Arial;sans-serif"/>
                  <w:b w:val="false"/>
                  <w:color w:val="0000FF"/>
                  <w:sz w:val="16"/>
                  <w:u w:val="single"/>
                </w:rPr>
                <w:t>Arteris, Inc. Non-Employee Director Compensation Policy.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10.14#</w:t>
            </w:r>
          </w:p>
        </w:tc>
        <w:tc>
          <w:tcPr>
            <w:tcW w:w="607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rial;sans-serif" w:hAnsi="Arial;sans-serif"/>
                  <w:b w:val="false"/>
                  <w:color w:val="0000FF"/>
                  <w:sz w:val="16"/>
                  <w:u w:val="single"/>
                </w:rPr>
                <w:t>Form of Indemnification Agreement between Arteris, Inc. and its directors and officers.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S-1/A</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10.15#</w:t>
            </w:r>
          </w:p>
        </w:tc>
        <w:tc>
          <w:tcPr>
            <w:tcW w:w="6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6"/>
                  <w:u w:val="single"/>
                </w:rPr>
                <w:t>Amended and Restated Project Assignment 1 to Independent Contractor Services Agreement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8-K</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12-10-2021</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10.16</w:t>
            </w:r>
          </w:p>
        </w:tc>
        <w:tc>
          <w:tcPr>
            <w:tcW w:w="60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6"/>
                  <w:u w:val="single"/>
                </w:rPr>
                <w:t>Transchip Share Purchase and Shareholders Agreement, dated February 21, 2022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10-Q</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05-10-2022</w:t>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13"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113</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02"/>
        <w:gridCol w:w="354"/>
        <w:gridCol w:w="355"/>
        <w:gridCol w:w="2073"/>
        <w:gridCol w:w="2018"/>
        <w:gridCol w:w="2024"/>
        <w:gridCol w:w="175"/>
        <w:gridCol w:w="175"/>
        <w:gridCol w:w="176"/>
        <w:gridCol w:w="109"/>
        <w:gridCol w:w="220"/>
        <w:gridCol w:w="220"/>
        <w:gridCol w:w="221"/>
        <w:gridCol w:w="219"/>
        <w:gridCol w:w="219"/>
        <w:gridCol w:w="220"/>
        <w:gridCol w:w="299"/>
        <w:gridCol w:w="299"/>
        <w:gridCol w:w="427"/>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61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EXHIBIT</w:t>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10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FILED</w:t>
            </w:r>
            <w:r>
              <w:rPr>
                <w:rFonts w:ascii="Arial;sans-serif" w:hAnsi="Arial;sans-serif"/>
                <w:b w:val="false"/>
                <w:color w:val="000000"/>
                <w:sz w:val="16"/>
              </w:rPr>
              <w:br/>
            </w:r>
            <w:r>
              <w:rPr>
                <w:rFonts w:ascii="Arial;sans-serif" w:hAnsi="Arial;sans-serif"/>
                <w:b/>
                <w:color w:val="000000"/>
                <w:sz w:val="16"/>
              </w:rPr>
              <w:t>HEREWITH</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10.17</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6"/>
                  <w:u w:val="single"/>
                </w:rPr>
                <w:t>Transchip Share Purchase and Shareholders Agreement, dated September 15, 2022</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10-Q</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11-08-2022</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10.18#</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6"/>
                  <w:u w:val="single"/>
                </w:rPr>
                <w:t>2022 Employment Inducement Incentive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10-Q</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11-08-2022</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10.19#</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16"/>
                  <w:u w:val="single"/>
                </w:rPr>
                <w:t>Form of Stock Option Grant Notice and Stock Option Agreement under the 2022 Employment Inducement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10-Q</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11-08-2022</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10.20#</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16"/>
                  <w:u w:val="single"/>
                </w:rPr>
                <w:t>Form of Restricted Stock Unit Award Grant Notice and Restricted Stock Unit Award Agreement under the 2022 Employment Inducement Incentive Plan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10-Q</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11-08-2022</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10.21#</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1fy2510-k.htm">
              <w:r>
                <w:rPr>
                  <w:rStyle w:val="InternetLink"/>
                  <w:rFonts w:ascii="Arial;sans-serif" w:hAnsi="Arial;sans-serif"/>
                  <w:b w:val="false"/>
                  <w:color w:val="0000FF"/>
                  <w:sz w:val="16"/>
                  <w:u w:val="single"/>
                </w:rPr>
                <w:t>Form of Performance Stock Unit Award Grant Notice under the 2021 Incentive Award Plan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10.22#</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2fy2510-k.htm">
              <w:r>
                <w:rPr>
                  <w:rStyle w:val="InternetLink"/>
                  <w:rFonts w:ascii="Arial;sans-serif" w:hAnsi="Arial;sans-serif"/>
                  <w:b w:val="false"/>
                  <w:color w:val="000080"/>
                  <w:sz w:val="16"/>
                  <w:u w:val="single"/>
                </w:rPr>
                <w:t>A</w:t>
              </w:r>
            </w:hyperlink>
            <w:hyperlink w:anchor="exhibit1022fy2510-k.htm">
              <w:r>
                <w:rPr>
                  <w:rStyle w:val="InternetLink"/>
                  <w:rFonts w:ascii="Arial;sans-serif" w:hAnsi="Arial;sans-serif"/>
                  <w:b w:val="false"/>
                  <w:color w:val="000080"/>
                  <w:sz w:val="16"/>
                  <w:u w:val="single"/>
                </w:rPr>
                <w:t>mended and Restated 2022 Employment Inducement Incentive Plan</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10.23#</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6"/>
                  <w:u w:val="single"/>
                </w:rPr>
                <w:t>Amended and Restated Change in Control and Severance Agreement</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10-Q</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08-01-2024</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10.24</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16"/>
                  <w:u w:val="single"/>
                </w:rPr>
                <w:t>Agreement and Plan of Merger and Reorganization, dated as of December 10, 2025, by and among Arteris, Inc., Cabernet Merger Sub I, Inc., Arteris Security, LLC, Cycuity, Inc., and Shareholder Representative Services LLC, solely in its capacity as Holder Representative.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8-K</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12-11-2025</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19.1</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16"/>
                  <w:u w:val="single"/>
                </w:rPr>
                <w:t>Insider Trading Compliance Policy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10-K</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02-18-2024</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21.1</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fy2510-k.htm">
              <w:r>
                <w:rPr>
                  <w:rStyle w:val="InternetLink"/>
                  <w:rFonts w:ascii="Arial;sans-serif" w:hAnsi="Arial;sans-serif"/>
                  <w:b w:val="false"/>
                  <w:color w:val="0000FF"/>
                  <w:sz w:val="16"/>
                  <w:u w:val="single"/>
                </w:rPr>
                <w:t>Subsidiaries of Arteris, Inc.</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23.1</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fy2510-k.htm">
              <w:r>
                <w:rPr>
                  <w:rStyle w:val="InternetLink"/>
                  <w:rFonts w:ascii="Arial;sans-serif" w:hAnsi="Arial;sans-serif"/>
                  <w:b w:val="false"/>
                  <w:color w:val="0000FF"/>
                  <w:sz w:val="16"/>
                  <w:u w:val="single"/>
                </w:rPr>
                <w:t>Consent of Deloitte &amp; Touche LLP</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24.1</w:t>
            </w:r>
          </w:p>
        </w:tc>
        <w:tc>
          <w:tcPr>
            <w:tcW w:w="61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4d761cdf3a54f2da90a3e08445f2d7d_223">
              <w:r>
                <w:rPr>
                  <w:rStyle w:val="InternetLink"/>
                  <w:rFonts w:ascii="Arial;sans-serif" w:hAnsi="Arial;sans-serif"/>
                  <w:b w:val="false"/>
                  <w:color w:val="0000FF"/>
                  <w:sz w:val="16"/>
                  <w:u w:val="single"/>
                </w:rPr>
                <w:t>Power of Attorney (included on signature page).</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fy2510-k.htm">
              <w:r>
                <w:rPr>
                  <w:rStyle w:val="InternetLink"/>
                  <w:rFonts w:ascii="Arial;sans-serif" w:hAnsi="Arial;sans-serif"/>
                  <w:b w:val="false"/>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fy2510-k.htm">
              <w:r>
                <w:rPr>
                  <w:rStyle w:val="InternetLink"/>
                  <w:rFonts w:ascii="Arial;sans-serif" w:hAnsi="Arial;sans-serif"/>
                  <w:b w:val="false"/>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fy2510-k.htm">
              <w:r>
                <w:rPr>
                  <w:rStyle w:val="InternetLink"/>
                  <w:rFonts w:ascii="Arial;sans-serif" w:hAnsi="Arial;sans-serif"/>
                  <w:b w:val="false"/>
                  <w:color w:val="0000FF"/>
                  <w:sz w:val="16"/>
                  <w:u w:val="single"/>
                </w:rPr>
                <w:t>Certification of Principal Executive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fy2510-k.htm">
              <w:r>
                <w:rPr>
                  <w:rStyle w:val="InternetLink"/>
                  <w:rFonts w:ascii="Arial;sans-serif" w:hAnsi="Arial;sans-serif"/>
                  <w:b w:val="false"/>
                  <w:color w:val="0000FF"/>
                  <w:sz w:val="16"/>
                  <w:u w:val="single"/>
                </w:rPr>
                <w:t>Certification of Principal Financial Officer pursuant to 18 U.S.C. Section 1350, as adopted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97.1</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16"/>
                  <w:u w:val="single"/>
                </w:rPr>
                <w:t>Policy Relating to Recovery of Erroneously Awarded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10-K</w:t>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w:t>
            </w:r>
          </w:p>
        </w:tc>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02-20-2024</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101.INS</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Instance Document - the instance document does not appear in the Interactive Data File because its XBRL tags are embedded within the Inline XBRL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101.SCH</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Schema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101.CAL</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Calculation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101.DEF</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Definition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101.LAB</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Label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101.PRE</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XBRL Taxonomy Extension Presentation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6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Exhibits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bl>
    <w:p>
      <w:pPr>
        <w:pStyle w:val="TextBody"/>
        <w:bidi w:val="0"/>
        <w:spacing w:lineRule="auto" w:line="268" w:before="0" w:after="0"/>
        <w:ind w:left="0" w:right="0" w:hanging="360"/>
        <w:jc w:val="left"/>
        <w:rPr>
          <w:rFonts w:ascii="Arial;sans-serif" w:hAnsi="Arial;sans-serif"/>
          <w:b w:val="false"/>
          <w:color w:val="000000"/>
          <w:sz w:val="19"/>
        </w:rPr>
      </w:pPr>
      <w:r>
        <w:rPr>
          <w:rFonts w:ascii="Arial;sans-serif" w:hAnsi="Arial;sans-serif"/>
          <w:b w:val="false"/>
          <w:color w:val="000000"/>
          <w:sz w:val="19"/>
        </w:rPr>
        <w:t>*The certifications attached as Exhibits 32.1 and 32.2 that accompany this Annual Report on Form 10-K,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lineRule="auto" w:line="288" w:before="0" w:after="0"/>
        <w:ind w:left="0" w:right="0" w:hanging="360"/>
        <w:jc w:val="left"/>
        <w:rPr>
          <w:rFonts w:ascii="Arial;sans-serif" w:hAnsi="Arial;sans-serif"/>
          <w:b w:val="false"/>
          <w:color w:val="000000"/>
          <w:sz w:val="19"/>
        </w:rPr>
      </w:pPr>
      <w:r>
        <w:rPr>
          <w:rFonts w:ascii="Arial;sans-serif" w:hAnsi="Arial;sans-serif"/>
          <w:b w:val="false"/>
          <w:color w:val="000000"/>
          <w:sz w:val="19"/>
        </w:rPr>
        <w:t>#    Indicates a management contract or compensatory plan or arrangement.</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19"/>
        </w:rPr>
        <w:t>Portions of this exhibit (indicated by asterisks) have been omitted pursuant to Item 601(b)(10)(iv) of Regulation S-K under the Securities Act of 1933, as amended, because they are both (i) not material and (ii) the type of information that the registrant both customarily and actually treats as private and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14" name="Frame1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114</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5" name="Frame1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115</w:t>
                      </w:r>
                    </w:p>
                  </w:txbxContent>
                </v:textbox>
                <w10:wrap type="none"/>
              </v:rect>
            </w:pict>
          </mc:Fallback>
        </mc:AlternateContent>
      </w:r>
    </w:p>
    <w:p>
      <w:pPr>
        <w:pStyle w:val="TextBody"/>
        <w:bidi w:val="0"/>
        <w:spacing w:lineRule="auto" w:line="288" w:before="0" w:after="0"/>
        <w:jc w:val="left"/>
        <w:rPr/>
      </w:pPr>
      <w:hyperlink w:anchor="id4d761cdf3a54f2da90a3e08445f2d7d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shd w:fill="FFFFFF" w:val="clear"/>
        </w:rPr>
      </w:pPr>
      <w:r>
        <w:rPr>
          <w:rFonts w:ascii="Arial;sans-serif" w:hAnsi="Arial;sans-serif"/>
          <w:b/>
          <w:color w:val="000000"/>
          <w:sz w:val="20"/>
          <w:shd w:fill="FFFFFF" w:val="clear"/>
        </w:rPr>
        <w:t>SIGNATURES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Pursuant to the requirements of the Securities Act of 1933, as amended, Arteris, Inc. has duly caused this report to be signed on its behalf by the undersigned, thereunto duly authorized, in Campbell, California, on this 12th day of February, 2026.</w:t>
      </w:r>
    </w:p>
    <w:tbl>
      <w:tblPr>
        <w:tblW w:w="4512" w:type="dxa"/>
        <w:jc w:val="left"/>
        <w:tblInd w:w="0" w:type="dxa"/>
        <w:tblLayout w:type="fixed"/>
        <w:tblCellMar>
          <w:top w:w="28" w:type="dxa"/>
          <w:left w:w="28" w:type="dxa"/>
          <w:bottom w:w="28" w:type="dxa"/>
          <w:right w:w="28" w:type="dxa"/>
        </w:tblCellMar>
      </w:tblPr>
      <w:tblGrid>
        <w:gridCol w:w="124"/>
        <w:gridCol w:w="109"/>
        <w:gridCol w:w="109"/>
        <w:gridCol w:w="244"/>
        <w:gridCol w:w="244"/>
        <w:gridCol w:w="246"/>
        <w:gridCol w:w="995"/>
        <w:gridCol w:w="995"/>
        <w:gridCol w:w="14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Arteris,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By:</w:t>
            </w:r>
          </w:p>
        </w:tc>
        <w:tc>
          <w:tcPr>
            <w:tcW w:w="3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K. Charles Janac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Name: </w:t>
              <w:br/>
              <w:t>Title:</w:t>
            </w:r>
          </w:p>
        </w:tc>
        <w:tc>
          <w:tcPr>
            <w:tcW w:w="3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K. Charles Janac</w:t>
              <w:br/>
              <w:t>President and Chief Executive Officer</w:t>
            </w:r>
          </w:p>
          <w:p>
            <w:pPr>
              <w:pStyle w:val="TableContents"/>
              <w:bidi w:val="0"/>
              <w:spacing w:lineRule="auto" w:line="288" w:before="0" w:after="0"/>
              <w:jc w:val="left"/>
              <w:rPr>
                <w:rFonts w:ascii="Arial;sans-serif" w:hAnsi="Arial;sans-serif"/>
                <w:b w:val="false"/>
                <w:i/>
                <w:color w:val="000000"/>
                <w:sz w:val="19"/>
              </w:rPr>
            </w:pPr>
            <w:r>
              <w:rPr>
                <w:rFonts w:ascii="Arial;sans-serif" w:hAnsi="Arial;sans-serif"/>
                <w:b w:val="false"/>
                <w:i/>
                <w:color w:val="000000"/>
                <w:sz w:val="19"/>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color w:val="000000"/>
          <w:sz w:val="20"/>
          <w:shd w:fill="FFFFFF" w:val="clear"/>
        </w:rPr>
      </w:pPr>
      <w:r>
        <w:rPr>
          <w:rFonts w:ascii="Arial;sans-serif" w:hAnsi="Arial;sans-serif"/>
          <w:b/>
          <w:color w:val="000000"/>
          <w:sz w:val="20"/>
          <w:shd w:fill="FFFFFF" w:val="clear"/>
        </w:rPr>
        <w:t>POWER OF ATTORNEY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Each of the undersigned officers and directors of Arteris, Inc. hereby constitutes and appoints K. Charles Janac and Nicholas B. Hawkins, and each of them any of whom may act without joinder of the other, the individual’s true and lawful attorneys-in-fact and agents, each with full power of substitution and resubstitution, for the person and in his or her name, place and stead, in any and all capacities, to sign this Annual Report on Form 10-K,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Pursuant to the requirements of the Securities Act of 1933, as amended, this Annual Report on Form 10-K has been signed by the following persons in the capacities set forth opposite their names and on the date indicated.</w:t>
      </w:r>
    </w:p>
    <w:tbl>
      <w:tblPr>
        <w:tblW w:w="10205" w:type="dxa"/>
        <w:jc w:val="left"/>
        <w:tblInd w:w="0" w:type="dxa"/>
        <w:tblLayout w:type="fixed"/>
        <w:tblCellMar>
          <w:top w:w="28" w:type="dxa"/>
          <w:left w:w="28" w:type="dxa"/>
          <w:bottom w:w="28" w:type="dxa"/>
          <w:right w:w="28" w:type="dxa"/>
        </w:tblCellMar>
      </w:tblPr>
      <w:tblGrid>
        <w:gridCol w:w="675"/>
        <w:gridCol w:w="593"/>
        <w:gridCol w:w="594"/>
        <w:gridCol w:w="2281"/>
        <w:gridCol w:w="2281"/>
        <w:gridCol w:w="2303"/>
        <w:gridCol w:w="431"/>
        <w:gridCol w:w="431"/>
        <w:gridCol w:w="616"/>
      </w:tblGrid>
      <w:tr>
        <w:trPr/>
        <w:tc>
          <w:tcPr>
            <w:tcW w:w="6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SIGNATURE</w:t>
            </w:r>
          </w:p>
        </w:tc>
        <w:tc>
          <w:tcPr>
            <w:tcW w:w="6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K. Charles Janac</w:t>
            </w:r>
          </w:p>
        </w:tc>
        <w:tc>
          <w:tcPr>
            <w:tcW w:w="6865"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9"/>
              </w:rPr>
              <w:t xml:space="preserve">President and Chief Executive Officer </w:t>
            </w:r>
            <w:r>
              <w:rPr>
                <w:rFonts w:ascii="Arial;sans-serif" w:hAnsi="Arial;sans-serif"/>
                <w:b w:val="false"/>
                <w:i/>
                <w:color w:val="000000"/>
                <w:sz w:val="19"/>
              </w:rPr>
              <w:t>(Principal Executive Officer)</w:t>
            </w:r>
            <w:r>
              <w:rPr>
                <w:color w:val="000000"/>
              </w:rPr>
              <w:t xml:space="preserve"> </w:t>
            </w:r>
            <w:r>
              <w:rPr>
                <w:rFonts w:ascii="Arial;sans-serif" w:hAnsi="Arial;sans-serif"/>
                <w:b w:val="false"/>
                <w:color w:val="000000"/>
                <w:sz w:val="19"/>
              </w:rPr>
              <w:t>and Chairman of the Board of Directors</w:t>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12, 2026</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K. Charles Janac</w:t>
            </w:r>
          </w:p>
        </w:tc>
        <w:tc>
          <w:tcPr>
            <w:tcW w:w="6865" w:type="dxa"/>
            <w:gridSpan w:val="3"/>
            <w:vMerge w:val="continue"/>
            <w:tcBorders/>
            <w:tcMar>
              <w:top w:w="0" w:type="dxa"/>
              <w:left w:w="0" w:type="dxa"/>
              <w:bottom w:w="0" w:type="dxa"/>
              <w:right w:w="0" w:type="dxa"/>
            </w:tcMar>
            <w:vAlign w:val="center"/>
          </w:tcPr>
          <w:p>
            <w:pPr>
              <w:pStyle w:val="Normal"/>
              <w:bidi w:val="0"/>
              <w:jc w:val="left"/>
              <w:rPr/>
            </w:pPr>
            <w:r>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Nicholas B. Hawkins</w:t>
            </w:r>
          </w:p>
        </w:tc>
        <w:tc>
          <w:tcPr>
            <w:tcW w:w="6865"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9"/>
              </w:rPr>
              <w:t>Vice President and Chief Financial Officer</w:t>
              <w:br/>
            </w:r>
            <w:r>
              <w:rPr>
                <w:rFonts w:ascii="Arial;sans-serif" w:hAnsi="Arial;sans-serif"/>
                <w:b w:val="false"/>
                <w:i/>
                <w:color w:val="000000"/>
                <w:sz w:val="19"/>
              </w:rPr>
              <w:t>(Principal Financial and Accounting Officer)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12, 2026</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Nicholas B. Hawkins</w:t>
            </w:r>
          </w:p>
        </w:tc>
        <w:tc>
          <w:tcPr>
            <w:tcW w:w="6865" w:type="dxa"/>
            <w:gridSpan w:val="3"/>
            <w:vMerge w:val="continue"/>
            <w:tcBorders/>
            <w:tcMar>
              <w:top w:w="0" w:type="dxa"/>
              <w:left w:w="0" w:type="dxa"/>
              <w:bottom w:w="0" w:type="dxa"/>
              <w:right w:w="0" w:type="dxa"/>
            </w:tcMar>
            <w:vAlign w:val="center"/>
          </w:tcPr>
          <w:p>
            <w:pPr>
              <w:pStyle w:val="Normal"/>
              <w:bidi w:val="0"/>
              <w:jc w:val="left"/>
              <w:rPr/>
            </w:pPr>
            <w:r>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Wayne C. Cantwell</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12, 2026</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Wayne C. Cantwell</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Claudia Fan Munce</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12, 2026</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Claudia Fan Munce</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Raman K. Chitkara</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12, 2026</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Raman K. Chitkara</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S. Atiq Raza</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12, 2026</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S. Atiq Raza</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Antonio J. Viana</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12, 2026</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Antonio J. Viana</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/s/ Joachim Kunkel</w:t>
            </w:r>
          </w:p>
        </w:tc>
        <w:tc>
          <w:tcPr>
            <w:tcW w:w="6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Director</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February 12, 2026</w:t>
            </w:r>
          </w:p>
        </w:tc>
      </w:tr>
      <w:tr>
        <w:trPr/>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9"/>
              </w:rPr>
            </w:pPr>
            <w:r>
              <w:rPr>
                <w:rFonts w:ascii="Arial;sans-serif" w:hAnsi="Arial;sans-serif"/>
                <w:b w:val="false"/>
                <w:color w:val="000000"/>
                <w:sz w:val="19"/>
              </w:rPr>
              <w:t>Joachim Kunkel</w:t>
            </w:r>
          </w:p>
        </w:tc>
        <w:tc>
          <w:tcPr>
            <w:tcW w:w="6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16" name="Frame1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ARTERIS INC.</w:t>
        <w:br/>
        <w:t>2021 INCENTIVE AWARD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PERFORMANCE STOCK UNIT AWARD GRANT NOTICE</w:t>
      </w:r>
    </w:p>
    <w:p>
      <w:pPr>
        <w:pStyle w:val="TextBody"/>
        <w:bidi w:val="0"/>
        <w:spacing w:lineRule="auto" w:line="288" w:before="0" w:after="120"/>
        <w:ind w:left="0" w:right="0" w:firstLine="720"/>
        <w:jc w:val="both"/>
        <w:rPr/>
      </w:pPr>
      <w:r>
        <w:rPr>
          <w:rFonts w:ascii="Times New Roman;serif" w:hAnsi="Times New Roman;serif"/>
          <w:b w:val="false"/>
          <w:color w:val="000000"/>
          <w:sz w:val="22"/>
        </w:rPr>
        <w:t>Arteris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pursuant to its 2021 Incentive Award Plan, as may be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hereby grants to the holder listed below (“</w:t>
      </w:r>
      <w:r>
        <w:rPr>
          <w:rFonts w:ascii="Times New Roman;serif" w:hAnsi="Times New Roman;serif"/>
          <w:b/>
          <w:i/>
          <w:color w:val="000000"/>
          <w:sz w:val="22"/>
        </w:rPr>
        <w:t>Participant</w:t>
      </w:r>
      <w:r>
        <w:rPr>
          <w:color w:val="000000"/>
        </w:rPr>
        <w:t>”</w:t>
      </w:r>
      <w:r>
        <w:rPr>
          <w:rFonts w:ascii="Times New Roman;serif" w:hAnsi="Times New Roman;serif"/>
          <w:b w:val="false"/>
          <w:color w:val="000000"/>
          <w:sz w:val="22"/>
        </w:rPr>
        <w:t>), an award of performance stock units (“</w:t>
      </w:r>
      <w:r>
        <w:rPr>
          <w:rFonts w:ascii="Times New Roman;serif" w:hAnsi="Times New Roman;serif"/>
          <w:b/>
          <w:i/>
          <w:color w:val="000000"/>
          <w:sz w:val="22"/>
        </w:rPr>
        <w:t>Performance Stock Units</w:t>
      </w:r>
      <w:r>
        <w:rPr>
          <w:color w:val="000000"/>
        </w:rPr>
        <w:t xml:space="preserve">” </w:t>
      </w:r>
      <w:r>
        <w:rPr>
          <w:rFonts w:ascii="Times New Roman;serif" w:hAnsi="Times New Roman;serif"/>
          <w:b w:val="false"/>
          <w:color w:val="000000"/>
          <w:sz w:val="22"/>
        </w:rPr>
        <w:t>or</w:t>
      </w:r>
      <w:r>
        <w:rPr>
          <w:color w:val="000000"/>
        </w:rPr>
        <w:t xml:space="preserve"> “</w:t>
      </w:r>
      <w:r>
        <w:rPr>
          <w:rFonts w:ascii="Times New Roman;serif" w:hAnsi="Times New Roman;serif"/>
          <w:b/>
          <w:i/>
          <w:color w:val="000000"/>
          <w:sz w:val="22"/>
        </w:rPr>
        <w:t>PSUs</w:t>
      </w:r>
      <w:r>
        <w:rPr>
          <w:color w:val="000000"/>
        </w:rPr>
        <w:t>”</w:t>
      </w:r>
      <w:r>
        <w:rPr>
          <w:rFonts w:ascii="Times New Roman;serif" w:hAnsi="Times New Roman;serif"/>
          <w:b w:val="false"/>
          <w:color w:val="000000"/>
          <w:sz w:val="22"/>
        </w:rPr>
        <w:t>). Each vested Performance Stock Unit represents the right to receive one share of Common Stock (“</w:t>
      </w:r>
      <w:r>
        <w:rPr>
          <w:rFonts w:ascii="Times New Roman;serif" w:hAnsi="Times New Roman;serif"/>
          <w:b/>
          <w:i/>
          <w:color w:val="000000"/>
          <w:sz w:val="22"/>
        </w:rPr>
        <w:t>Share</w:t>
      </w:r>
      <w:r>
        <w:rPr>
          <w:color w:val="000000"/>
        </w:rPr>
        <w:t>”</w:t>
      </w:r>
      <w:r>
        <w:rPr>
          <w:rFonts w:ascii="Times New Roman;serif" w:hAnsi="Times New Roman;serif"/>
          <w:b w:val="false"/>
          <w:color w:val="000000"/>
          <w:sz w:val="22"/>
        </w:rPr>
        <w:t xml:space="preserve">) in accordance with (i) the Performance Stock Unit Award Agreement attached hereto as </w:t>
      </w:r>
      <w:r>
        <w:rPr>
          <w:rFonts w:ascii="Times New Roman;serif" w:hAnsi="Times New Roman;serif"/>
          <w:b/>
          <w:color w:val="000000"/>
          <w:sz w:val="22"/>
        </w:rPr>
        <w:t>Exhibit A</w:t>
      </w:r>
      <w:r>
        <w:rPr>
          <w:rFonts w:ascii="Times New Roman;serif" w:hAnsi="Times New Roman;serif"/>
          <w:b w:val="false"/>
          <w:color w:val="000000"/>
          <w:sz w:val="22"/>
        </w:rPr>
        <w:t>, including any special provisions for Participant’s country of residence, if any, set forth in the Appendix thereof for Participant’s Country (the “</w:t>
      </w:r>
      <w:r>
        <w:rPr>
          <w:rFonts w:ascii="Times New Roman;serif" w:hAnsi="Times New Roman;serif"/>
          <w:b/>
          <w:i/>
          <w:color w:val="000000"/>
          <w:sz w:val="22"/>
        </w:rPr>
        <w:t>Country Provisions</w:t>
      </w:r>
      <w:r>
        <w:rPr>
          <w:color w:val="000000"/>
        </w:rPr>
        <w:t>”</w:t>
      </w:r>
      <w:r>
        <w:rPr>
          <w:rFonts w:ascii="Times New Roman;serif" w:hAnsi="Times New Roman;serif"/>
          <w:b w:val="false"/>
          <w:color w:val="000000"/>
          <w:sz w:val="22"/>
        </w:rPr>
        <w:t xml:space="preserve">), and (ii) the Performance Vesting Terms attached hereto as </w:t>
      </w:r>
      <w:r>
        <w:rPr>
          <w:rFonts w:ascii="Times New Roman;serif" w:hAnsi="Times New Roman;serif"/>
          <w:b/>
          <w:color w:val="000000"/>
          <w:sz w:val="22"/>
        </w:rPr>
        <w:t xml:space="preserve">Exhibit B </w:t>
      </w:r>
      <w:r>
        <w:rPr>
          <w:rFonts w:ascii="Times New Roman;serif" w:hAnsi="Times New Roman;serif"/>
          <w:b w:val="false"/>
          <w:color w:val="000000"/>
          <w:sz w:val="22"/>
        </w:rPr>
        <w:t>(the “</w:t>
      </w:r>
      <w:r>
        <w:rPr>
          <w:rFonts w:ascii="Times New Roman;serif" w:hAnsi="Times New Roman;serif"/>
          <w:b/>
          <w:color w:val="000000"/>
          <w:sz w:val="22"/>
        </w:rPr>
        <w:t>Performance Vesting Terms</w:t>
      </w:r>
      <w:r>
        <w:rPr>
          <w:color w:val="000000"/>
        </w:rPr>
        <w:t xml:space="preserve">” </w:t>
      </w:r>
      <w:r>
        <w:rPr>
          <w:rFonts w:ascii="Times New Roman;serif" w:hAnsi="Times New Roman;serif"/>
          <w:b w:val="false"/>
          <w:color w:val="000000"/>
          <w:sz w:val="22"/>
        </w:rPr>
        <w:t>and, together with Exhibit A and the Country Provisions,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This award of Performance Stock Units is subject to all of the terms and conditions set forth herein and in the Agreement, the Country Provisions (if applicable) and the Plan, each of which are incorporated herein by reference. Unless otherwise defined herein, the terms defined in the Plan shall have the same defined meanings in this Performance Stock Unit Award Grant Notice, the Country Provisions and the Agreement.</w:t>
      </w:r>
    </w:p>
    <w:tbl>
      <w:tblPr>
        <w:tblW w:w="10205" w:type="dxa"/>
        <w:jc w:val="left"/>
        <w:tblInd w:w="0" w:type="dxa"/>
        <w:tblLayout w:type="fixed"/>
        <w:tblCellMar>
          <w:top w:w="28" w:type="dxa"/>
          <w:left w:w="28" w:type="dxa"/>
          <w:bottom w:w="28" w:type="dxa"/>
          <w:right w:w="28" w:type="dxa"/>
        </w:tblCellMar>
      </w:tblPr>
      <w:tblGrid>
        <w:gridCol w:w="692"/>
        <w:gridCol w:w="488"/>
        <w:gridCol w:w="490"/>
        <w:gridCol w:w="2498"/>
        <w:gridCol w:w="2498"/>
        <w:gridCol w:w="3539"/>
      </w:tblGrid>
      <w:tr>
        <w:trPr/>
        <w:tc>
          <w:tcPr>
            <w:tcW w:w="69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3539"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2"/>
              </w:rPr>
            </w:pPr>
            <w:r>
              <w:rPr>
                <w:rFonts w:ascii="Times New Roman;serif" w:hAnsi="Times New Roman;serif"/>
                <w:b/>
                <w:color w:val="000000"/>
                <w:sz w:val="22"/>
              </w:rPr>
              <w:t>Participant:</w:t>
            </w:r>
          </w:p>
        </w:tc>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###PARTICIPANT_NAME###</w:t>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Grant Date:</w:t>
            </w:r>
          </w:p>
        </w:tc>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###GRANT_DATE###</w:t>
            </w:r>
          </w:p>
        </w:tc>
      </w:tr>
      <w:tr>
        <w:trPr/>
        <w:tc>
          <w:tcPr>
            <w:tcW w:w="167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2"/>
              </w:rPr>
            </w:pPr>
            <w:r>
              <w:rPr>
                <w:rFonts w:ascii="Times New Roman;serif" w:hAnsi="Times New Roman;serif"/>
                <w:b/>
                <w:color w:val="000000"/>
                <w:sz w:val="22"/>
              </w:rPr>
              <w:t>Target Number of PSUs:</w:t>
            </w:r>
          </w:p>
        </w:tc>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###TOTAL_AWARDS###</w:t>
            </w:r>
          </w:p>
        </w:tc>
      </w:tr>
      <w:tr>
        <w:trPr/>
        <w:tc>
          <w:tcPr>
            <w:tcW w:w="167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2"/>
              </w:rPr>
            </w:pPr>
            <w:r>
              <w:rPr>
                <w:rFonts w:ascii="Times New Roman;serif" w:hAnsi="Times New Roman;serif"/>
                <w:b/>
                <w:color w:val="000000"/>
                <w:sz w:val="22"/>
              </w:rPr>
              <w:t>Performance Period:</w:t>
            </w:r>
          </w:p>
        </w:tc>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###BEGINNING_DATE### through ###ENDING_DATE###</w:t>
            </w:r>
          </w:p>
        </w:tc>
      </w:tr>
      <w:tr>
        <w:trPr/>
        <w:tc>
          <w:tcPr>
            <w:tcW w:w="167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2"/>
              </w:rPr>
            </w:pPr>
            <w:r>
              <w:rPr>
                <w:rFonts w:ascii="Times New Roman;serif" w:hAnsi="Times New Roman;serif"/>
                <w:b/>
                <w:color w:val="000000"/>
                <w:sz w:val="22"/>
              </w:rPr>
              <w:t>Vesting Schedule:</w:t>
            </w:r>
          </w:p>
        </w:tc>
        <w:tc>
          <w:tcPr>
            <w:tcW w:w="8535" w:type="dxa"/>
            <w:gridSpan w:val="3"/>
            <w:tcBorders/>
            <w:tcMar>
              <w:top w:w="0" w:type="dxa"/>
              <w:left w:w="0" w:type="dxa"/>
              <w:bottom w:w="0" w:type="dxa"/>
              <w:right w:w="0" w:type="dxa"/>
            </w:tcMar>
            <w:vAlign w:val="center"/>
          </w:tcPr>
          <w:p>
            <w:pPr>
              <w:pStyle w:val="TableContents"/>
              <w:bidi w:val="0"/>
              <w:spacing w:lineRule="auto" w:line="288" w:before="120" w:after="283"/>
              <w:jc w:val="both"/>
              <w:rPr/>
            </w:pPr>
            <w:r>
              <w:rPr>
                <w:rFonts w:ascii="Times New Roman;serif" w:hAnsi="Times New Roman;serif"/>
                <w:b w:val="false"/>
                <w:color w:val="000000"/>
                <w:sz w:val="22"/>
              </w:rPr>
              <w:t xml:space="preserve">The vesting terms are set forth in the Performance Vesting Terms, attached hereto as </w:t>
            </w:r>
            <w:r>
              <w:rPr>
                <w:rFonts w:ascii="Times New Roman;serif" w:hAnsi="Times New Roman;serif"/>
                <w:b/>
                <w:color w:val="000000"/>
                <w:sz w:val="22"/>
              </w:rPr>
              <w:t>Exhibit B</w:t>
            </w:r>
            <w:r>
              <w:rPr>
                <w:rFonts w:ascii="Times New Roman;serif" w:hAnsi="Times New Roman;serif"/>
                <w:b w:val="false"/>
                <w:color w:val="000000"/>
                <w:sz w:val="22"/>
              </w:rPr>
              <w:t>.</w:t>
            </w:r>
          </w:p>
        </w:tc>
      </w:tr>
      <w:tr>
        <w:trPr/>
        <w:tc>
          <w:tcPr>
            <w:tcW w:w="167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2"/>
              </w:rPr>
            </w:pPr>
            <w:r>
              <w:rPr>
                <w:rFonts w:ascii="Times New Roman;serif" w:hAnsi="Times New Roman;serif"/>
                <w:b/>
                <w:color w:val="000000"/>
                <w:sz w:val="22"/>
              </w:rPr>
              <w:t>Termination:</w:t>
            </w:r>
          </w:p>
        </w:tc>
        <w:tc>
          <w:tcPr>
            <w:tcW w:w="8535" w:type="dxa"/>
            <w:gridSpan w:val="3"/>
            <w:tcBorders/>
            <w:tcMar>
              <w:top w:w="0" w:type="dxa"/>
              <w:left w:w="0" w:type="dxa"/>
              <w:bottom w:w="0" w:type="dxa"/>
              <w:right w:w="0" w:type="dxa"/>
            </w:tcMar>
            <w:vAlign w:val="center"/>
          </w:tcPr>
          <w:p>
            <w:pPr>
              <w:pStyle w:val="TableContents"/>
              <w:bidi w:val="0"/>
              <w:spacing w:lineRule="auto" w:line="288" w:before="120" w:after="240"/>
              <w:ind w:left="0" w:right="0" w:hanging="4"/>
              <w:jc w:val="both"/>
              <w:rPr>
                <w:rFonts w:ascii="Times New Roman;serif" w:hAnsi="Times New Roman;serif"/>
                <w:b w:val="false"/>
                <w:color w:val="000000"/>
                <w:sz w:val="22"/>
              </w:rPr>
            </w:pPr>
            <w:r>
              <w:rPr>
                <w:rFonts w:ascii="Times New Roman;serif" w:hAnsi="Times New Roman;serif"/>
                <w:b w:val="false"/>
                <w:color w:val="000000"/>
                <w:sz w:val="22"/>
              </w:rPr>
              <w:t xml:space="preserve">If Participant experiences a Termination of Service as provided in the Plan or referenced in this Agreement, all PSUs that have not become vested on or prior to the date of such Termination of Service will thereupon be automatically forfeited by Participant without payment of any consideration therefor. </w:t>
            </w:r>
          </w:p>
        </w:tc>
      </w:tr>
    </w:tbl>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 Company uses an electronic capitalization table system (such as Shareworks, Carta or Equity Edge) and the fields in this Grant Notice are blank or the information is otherwise provided in a different format electronically, the blank fields and other information will be deemed to come from the electronic capitalization system and is considered part of this Grant Notice. In addition, the Company’s signature below shall be deemed to have occurred by the Company’s input of the PSUs in such electronic capitalization table system and the Participant’s signature below shall be deemed to have occurred by the Participant’s online acceptance of the PSUs through such electronic capitalization table system. </w:t>
      </w:r>
    </w:p>
    <w:p>
      <w:pPr>
        <w:pStyle w:val="TextBody"/>
        <w:bidi w:val="0"/>
        <w:spacing w:lineRule="auto" w:line="288" w:before="12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his or her signature and the Company’s signature below, Participant agrees to be bound by the terms and conditions of the Plan, the Agreement and this Grant Notice. Participant has reviewed the Plan, the Agreement and this Grant Notice in their entirety, has had an opportunity to obtain the advice of counsel prior to executing this Grant Notice and fully understands all provisions of the Plan, the Agreement and this Grant Notice. Participant hereby agrees to accept as binding, conclusive and final all decisions or interpretations of the Administrator upon any questions arising under the Plan, the Agreement or this Grant Notice. In addition, by signing below, Participant also agrees that the Company, in its sole discretion, may satisfy any withholding obligations in accordance with Section 2.6(b) of the Agreement by (i) withholding shares of Common Stock otherwise issuable to Participant upon vesting of the PSUs, (ii) instructing a broker on Participant’s behalf to sell shares of Common Stock otherwise issuable to Participant upon vesting of the PSUs and submit the proceeds of such sale to the Company, or (iii) using any other method permitted by Section 2.6(b) of the Agreement or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7"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ind w:left="0" w:right="0" w:firstLine="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ind w:left="0" w:right="0" w:firstLine="90"/>
                        <w:jc w:val="both"/>
                        <w:rPr/>
                      </w:pPr>
                      <w:r>
                        <w:rPr/>
                      </w:r>
                    </w:p>
                  </w:txbxContent>
                </v:textbox>
                <w10:wrap type="none"/>
              </v:rect>
            </w:pict>
          </mc:Fallback>
        </mc:AlternateContent>
      </w:r>
    </w:p>
    <w:tbl>
      <w:tblPr>
        <w:tblW w:w="9407" w:type="dxa"/>
        <w:jc w:val="left"/>
        <w:tblInd w:w="0" w:type="dxa"/>
        <w:tblLayout w:type="fixed"/>
        <w:tblCellMar>
          <w:top w:w="28" w:type="dxa"/>
          <w:left w:w="28" w:type="dxa"/>
          <w:bottom w:w="28" w:type="dxa"/>
          <w:right w:w="28" w:type="dxa"/>
        </w:tblCellMar>
      </w:tblPr>
      <w:tblGrid>
        <w:gridCol w:w="467"/>
        <w:gridCol w:w="411"/>
        <w:gridCol w:w="411"/>
        <w:gridCol w:w="1051"/>
        <w:gridCol w:w="1051"/>
        <w:gridCol w:w="1063"/>
        <w:gridCol w:w="109"/>
        <w:gridCol w:w="109"/>
        <w:gridCol w:w="109"/>
        <w:gridCol w:w="449"/>
        <w:gridCol w:w="449"/>
        <w:gridCol w:w="451"/>
        <w:gridCol w:w="874"/>
        <w:gridCol w:w="874"/>
        <w:gridCol w:w="876"/>
        <w:gridCol w:w="190"/>
        <w:gridCol w:w="190"/>
        <w:gridCol w:w="273"/>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454"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ARTERIS INC</w:t>
            </w:r>
            <w:r>
              <w:rPr>
                <w:rFonts w:ascii="Times New Roman;serif" w:hAnsi="Times New Roman;serif"/>
                <w:b/>
                <w:color w:val="000000"/>
                <w:sz w:val="22"/>
              </w:rPr>
              <w:t>.:</w:t>
            </w:r>
          </w:p>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2"/>
              </w:rPr>
              <w:t>Participant:</w:t>
            </w:r>
          </w:p>
          <w:p>
            <w:pPr>
              <w:pStyle w:val="TableContents"/>
              <w:bidi w:val="0"/>
              <w:spacing w:before="0" w:after="1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PARTICIPANT:</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Accepted on:</w:t>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color w:val="000000"/>
                <w:shd w:fill="FFFFFF" w:val="clear"/>
              </w:rPr>
            </w:pPr>
            <w:r>
              <w:rPr>
                <w:color w:val="000000"/>
                <w:shd w:fill="FFFFFF" w:val="clear"/>
              </w:rPr>
              <w:t> </w:t>
            </w:r>
            <w:r>
              <w:rPr>
                <w:rFonts w:ascii="Arial;sans-serif" w:hAnsi="Arial;sans-serif"/>
                <w:b w:val="false"/>
                <w:color w:val="000000"/>
                <w:sz w:val="18"/>
                <w:shd w:fill="FFFFFF" w:val="clear"/>
              </w:rPr>
              <w:t>###ACCEPTANCE_DATE###</w:t>
            </w:r>
          </w:p>
          <w:p>
            <w:pPr>
              <w:pStyle w:val="TableContents"/>
              <w:bidi w:val="0"/>
              <w:spacing w:before="0" w:after="0"/>
              <w:ind w:left="0" w:right="0" w:hanging="90"/>
              <w:jc w:val="left"/>
              <w:rPr/>
            </w:pPr>
            <w:r>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2"/>
              </w:rPr>
            </w:pPr>
            <w:r>
              <w:rPr>
                <w:rFonts w:ascii="Times New Roman;serif" w:hAnsi="Times New Roman;serif"/>
                <w:b w:val="false"/>
                <w:color w:val="000000"/>
                <w:sz w:val="22"/>
              </w:rPr>
              <w:t xml:space="preserve">Print Name: </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K. Charles Janac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Print Name: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###PARTICIPANT_NAME###</w:t>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2"/>
              </w:rPr>
            </w:pPr>
            <w:r>
              <w:rPr>
                <w:rFonts w:ascii="Times New Roman;serif" w:hAnsi="Times New Roman;serif"/>
                <w:b w:val="false"/>
                <w:color w:val="000000"/>
                <w:sz w:val="22"/>
              </w:rPr>
              <w:t>Title: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CEO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Address: </w:t>
            </w:r>
          </w:p>
        </w:tc>
        <w:tc>
          <w:tcPr>
            <w:tcW w:w="316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900 E. Hamilton Ave., Suite 300</w:t>
            </w:r>
          </w:p>
          <w:p>
            <w:pPr>
              <w:pStyle w:val="TableContents"/>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Campbell, CA 95008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Address: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###HOME_ADDRESS###</w:t>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8"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ind w:left="0" w:right="0" w:firstLine="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ind w:left="0" w:right="0" w:firstLine="9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EXHIBIT A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TO PERFORMANCE STOCK UNIT AWARD GRANT NOTICE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PERFORMANCE STOCK UNIT AWARD AGREEMENT</w:t>
      </w:r>
    </w:p>
    <w:p>
      <w:pPr>
        <w:pStyle w:val="TextBody"/>
        <w:bidi w:val="0"/>
        <w:spacing w:lineRule="auto" w:line="288" w:before="0" w:after="60"/>
        <w:ind w:left="0" w:right="0" w:firstLine="720"/>
        <w:jc w:val="both"/>
        <w:rPr/>
      </w:pPr>
      <w:r>
        <w:rPr>
          <w:rFonts w:ascii="Times New Roman;serif" w:hAnsi="Times New Roman;serif"/>
          <w:b w:val="false"/>
          <w:color w:val="000000"/>
          <w:sz w:val="22"/>
        </w:rPr>
        <w:t>Pursuant to the Performance Stock Unit Award Grant Notice (the “</w:t>
      </w:r>
      <w:r>
        <w:rPr>
          <w:rFonts w:ascii="Times New Roman;serif" w:hAnsi="Times New Roman;serif"/>
          <w:b/>
          <w:i/>
          <w:color w:val="000000"/>
          <w:sz w:val="22"/>
        </w:rPr>
        <w:t>Grant Notice</w:t>
      </w:r>
      <w:r>
        <w:rPr>
          <w:color w:val="000000"/>
        </w:rPr>
        <w:t>”</w:t>
      </w:r>
      <w:r>
        <w:rPr>
          <w:rFonts w:ascii="Times New Roman;serif" w:hAnsi="Times New Roman;serif"/>
          <w:b w:val="false"/>
          <w:color w:val="000000"/>
          <w:sz w:val="22"/>
        </w:rPr>
        <w:t>) to which this Performance Stock Unit Award Agreement (together with the attached Country Provisions and Performance Vesting Terms,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is attached, Arteris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has granted to Participant the number of performance stock units (“</w:t>
      </w:r>
      <w:r>
        <w:rPr>
          <w:rFonts w:ascii="Times New Roman;serif" w:hAnsi="Times New Roman;serif"/>
          <w:b/>
          <w:i/>
          <w:color w:val="000000"/>
          <w:sz w:val="22"/>
        </w:rPr>
        <w:t>Performance Stock</w:t>
      </w:r>
      <w:r>
        <w:rPr>
          <w:color w:val="000000"/>
        </w:rPr>
        <w:t xml:space="preserve"> </w:t>
      </w:r>
      <w:r>
        <w:rPr>
          <w:rFonts w:ascii="Times New Roman;serif" w:hAnsi="Times New Roman;serif"/>
          <w:b/>
          <w:i/>
          <w:color w:val="000000"/>
          <w:sz w:val="22"/>
        </w:rPr>
        <w:t>Units</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PSUs</w:t>
      </w:r>
      <w:r>
        <w:rPr>
          <w:color w:val="000000"/>
        </w:rPr>
        <w:t>”</w:t>
      </w:r>
      <w:r>
        <w:rPr>
          <w:rFonts w:ascii="Times New Roman;serif" w:hAnsi="Times New Roman;serif"/>
          <w:b w:val="false"/>
          <w:color w:val="000000"/>
          <w:sz w:val="22"/>
        </w:rPr>
        <w:t>) set forth in the Grant Notice under the Company’s 2021 Incentive Award Plan, as may be amended from time to time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Each Performance Stock Unit represents the right to receive one share of Common Stock (a “</w:t>
      </w:r>
      <w:r>
        <w:rPr>
          <w:rFonts w:ascii="Times New Roman;serif" w:hAnsi="Times New Roman;serif"/>
          <w:b/>
          <w:i/>
          <w:color w:val="000000"/>
          <w:sz w:val="22"/>
        </w:rPr>
        <w:t>Share</w:t>
      </w:r>
      <w:r>
        <w:rPr>
          <w:color w:val="000000"/>
        </w:rPr>
        <w:t>”</w:t>
      </w:r>
      <w:r>
        <w:rPr>
          <w:rFonts w:ascii="Times New Roman;serif" w:hAnsi="Times New Roman;serif"/>
          <w:b w:val="false"/>
          <w:color w:val="000000"/>
          <w:sz w:val="22"/>
        </w:rPr>
        <w:t>) upon vesting.</w:t>
      </w:r>
    </w:p>
    <w:p>
      <w:pPr>
        <w:pStyle w:val="TextBody"/>
        <w:bidi w:val="0"/>
        <w:spacing w:lineRule="auto" w:line="417" w:before="0" w:after="0"/>
        <w:ind w:left="0" w:right="0" w:firstLine="540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GENERAL</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1.1 </w:t>
      </w:r>
      <w:r>
        <w:rPr>
          <w:rFonts w:ascii="Times New Roman;serif" w:hAnsi="Times New Roman;serif"/>
          <w:b w:val="false"/>
          <w:color w:val="000000"/>
          <w:sz w:val="22"/>
          <w:u w:val="single"/>
        </w:rPr>
        <w:t>Defined Terms.</w:t>
      </w:r>
      <w:r>
        <w:rPr>
          <w:color w:val="000000"/>
        </w:rPr>
        <w:t xml:space="preserve"> </w:t>
      </w:r>
      <w:r>
        <w:rPr>
          <w:rFonts w:ascii="Times New Roman;serif" w:hAnsi="Times New Roman;serif"/>
          <w:b w:val="false"/>
          <w:color w:val="000000"/>
          <w:sz w:val="22"/>
        </w:rPr>
        <w:t>Capitalized terms not specifically defined herein shall have the meanings specified in the Plan and the Grant Notice.</w:t>
      </w:r>
    </w:p>
    <w:p>
      <w:pPr>
        <w:pStyle w:val="TextBody"/>
        <w:bidi w:val="0"/>
        <w:spacing w:lineRule="auto" w:line="288" w:before="0" w:after="60"/>
        <w:ind w:left="0" w:right="0" w:firstLine="720"/>
        <w:jc w:val="both"/>
        <w:rPr/>
      </w:pPr>
      <w:r>
        <w:rPr>
          <w:rFonts w:ascii="Times New Roman;serif" w:hAnsi="Times New Roman;serif"/>
          <w:b w:val="false"/>
          <w:color w:val="000000"/>
          <w:sz w:val="22"/>
        </w:rPr>
        <w:t xml:space="preserve">1.2 </w:t>
      </w:r>
      <w:r>
        <w:rPr>
          <w:rFonts w:ascii="Times New Roman;serif" w:hAnsi="Times New Roman;serif"/>
          <w:b w:val="false"/>
          <w:color w:val="000000"/>
          <w:sz w:val="22"/>
          <w:u w:val="single"/>
        </w:rPr>
        <w:t>Incorporation of Terms of Plan.</w:t>
      </w:r>
      <w:r>
        <w:rPr>
          <w:color w:val="000000"/>
        </w:rPr>
        <w:t xml:space="preserve"> </w:t>
      </w:r>
      <w:r>
        <w:rPr>
          <w:rFonts w:ascii="Times New Roman;serif" w:hAnsi="Times New Roman;serif"/>
          <w:b w:val="false"/>
          <w:color w:val="000000"/>
          <w:sz w:val="22"/>
        </w:rPr>
        <w:t>The PSUs are subject to the terms and conditions of the Plan and the Performance Vesting Terms, which are collectively incorporated herein by reference. In the event of any inconsistency between the Plan and this Agreement, the terms of the Plan shall control. If the Country Provisions apply to Participant, in the event of a conflict between the terms of this Agreement, the Grant Notice or the Plan and the Country Provisions, the terms of the Country Provisions shall control.</w:t>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ARTICLE II.</w:t>
      </w:r>
    </w:p>
    <w:p>
      <w:pPr>
        <w:pStyle w:val="TextBody"/>
        <w:bidi w:val="0"/>
        <w:spacing w:lineRule="auto" w:line="417" w:before="0" w:after="0"/>
        <w:jc w:val="center"/>
        <w:rPr>
          <w:rFonts w:ascii="Times New Roman;serif" w:hAnsi="Times New Roman;serif"/>
          <w:b/>
          <w:color w:val="000000"/>
          <w:sz w:val="22"/>
        </w:rPr>
      </w:pPr>
      <w:r>
        <w:rPr>
          <w:rFonts w:ascii="Times New Roman;serif" w:hAnsi="Times New Roman;serif"/>
          <w:b/>
          <w:color w:val="000000"/>
          <w:sz w:val="22"/>
        </w:rPr>
        <w:t>GRANT OF PERFORMANCE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2.1 </w:t>
      </w:r>
      <w:r>
        <w:rPr>
          <w:rFonts w:ascii="Times New Roman;serif" w:hAnsi="Times New Roman;serif"/>
          <w:b w:val="false"/>
          <w:color w:val="000000"/>
          <w:sz w:val="22"/>
          <w:u w:val="single"/>
        </w:rPr>
        <w:t>Grant of PSUs.</w:t>
      </w:r>
      <w:r>
        <w:rPr>
          <w:color w:val="000000"/>
        </w:rPr>
        <w:t xml:space="preserve"> </w:t>
      </w:r>
      <w:r>
        <w:rPr>
          <w:rFonts w:ascii="Times New Roman;serif" w:hAnsi="Times New Roman;serif"/>
          <w:b w:val="false"/>
          <w:color w:val="000000"/>
          <w:sz w:val="22"/>
        </w:rPr>
        <w:t xml:space="preserve">Pursuant to the Grant Notice and upon the terms and conditions set forth in the Plan, this Agreement and the Country Provisions (if applicable), effective as of the Grant Date set forth in the Grant Notice, the Company hereby grants to Participant an award of PSUs under the Plan in consideration of Participant’s past and/or continued employment with or service to the Company or any Subsidiary and for other good and valuable consideration, subject to adjustments as provided in Article IX of the Plan.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2.2 </w:t>
      </w:r>
      <w:r>
        <w:rPr>
          <w:rFonts w:ascii="Times New Roman;serif" w:hAnsi="Times New Roman;serif"/>
          <w:b w:val="false"/>
          <w:color w:val="000000"/>
          <w:sz w:val="22"/>
          <w:u w:val="single"/>
        </w:rPr>
        <w:t>Unsecured Obligation to PSUs.</w:t>
      </w:r>
      <w:r>
        <w:rPr>
          <w:color w:val="000000"/>
        </w:rPr>
        <w:t xml:space="preserve"> </w:t>
      </w:r>
      <w:r>
        <w:rPr>
          <w:rFonts w:ascii="Times New Roman;serif" w:hAnsi="Times New Roman;serif"/>
          <w:b w:val="false"/>
          <w:color w:val="000000"/>
          <w:sz w:val="22"/>
        </w:rPr>
        <w:t xml:space="preserve">Unless and until the PSUs have vested in the manner set forth in Article II hereof, Participant will have no right to receive Common Stock or other property under any such PSUs. Prior to actual payment of any vested PSUs, such PSUs will represent an unsecured obligation of the Company, payable (if at all) only from the general assets of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2.3 </w:t>
      </w:r>
      <w:r>
        <w:rPr>
          <w:rFonts w:ascii="Times New Roman;serif" w:hAnsi="Times New Roman;serif"/>
          <w:b w:val="false"/>
          <w:color w:val="000000"/>
          <w:sz w:val="22"/>
          <w:u w:val="single"/>
        </w:rPr>
        <w:t>Vesting Schedule.</w:t>
      </w:r>
      <w:r>
        <w:rPr>
          <w:color w:val="000000"/>
        </w:rPr>
        <w:t xml:space="preserve"> </w:t>
      </w:r>
      <w:r>
        <w:rPr>
          <w:rFonts w:ascii="Times New Roman;serif" w:hAnsi="Times New Roman;serif"/>
          <w:b w:val="false"/>
          <w:color w:val="000000"/>
          <w:sz w:val="22"/>
        </w:rPr>
        <w:t>Subject to Section 2.5 hereof, the PSUs shall vest and become nonforfeitable according to the Performance Vesting Terms (rounding down to the nearest whole Share). Notwithstanding the foregoing and the Grant Notice, but subject to Section 2.5 hereof and the Performance Vesting Terms, in the event of a Change in Control, the PSUs shall be treated as set forth in Section 9.2 and 9.3 of the Plan and Section 2.6 of Exhibit B.</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2.4 </w:t>
      </w:r>
      <w:r>
        <w:rPr>
          <w:rFonts w:ascii="Times New Roman;serif" w:hAnsi="Times New Roman;serif"/>
          <w:b w:val="false"/>
          <w:color w:val="000000"/>
          <w:sz w:val="22"/>
          <w:u w:val="single"/>
        </w:rPr>
        <w:t>Consideration to the Company.</w:t>
      </w:r>
      <w:r>
        <w:rPr>
          <w:color w:val="000000"/>
        </w:rPr>
        <w:t xml:space="preserve"> </w:t>
      </w:r>
      <w:r>
        <w:rPr>
          <w:rFonts w:ascii="Times New Roman;serif" w:hAnsi="Times New Roman;serif"/>
          <w:b w:val="false"/>
          <w:color w:val="000000"/>
          <w:sz w:val="22"/>
        </w:rPr>
        <w:t xml:space="preserve">In consideration of the grant of the award of PSUs pursuant hereto, Participant agrees to render faithful and efficient services to the Company and its Subsidiaries,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61695"/>
                <wp:effectExtent l="0" t="0" r="0" b="0"/>
                <wp:wrapNone/>
                <wp:docPr id="119" name="Frame119"/>
                <a:graphic xmlns:a="http://schemas.openxmlformats.org/drawingml/2006/main">
                  <a:graphicData uri="http://schemas.microsoft.com/office/word/2010/wordprocessingShape">
                    <wps:wsp>
                      <wps:cNvSpPr txBox="1"/>
                      <wps:spPr>
                        <a:xfrm>
                          <a:off x="0" y="0"/>
                          <a:ext cx="6480175" cy="86169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2.5 </w:t>
      </w:r>
      <w:r>
        <w:rPr>
          <w:rFonts w:ascii="Times New Roman;serif" w:hAnsi="Times New Roman;serif"/>
          <w:b w:val="false"/>
          <w:color w:val="000000"/>
          <w:sz w:val="22"/>
          <w:u w:val="single"/>
        </w:rPr>
        <w:t>Forfeiture, Termination and Cancellation upon Termination of Service.</w:t>
      </w:r>
      <w:r>
        <w:rPr>
          <w:color w:val="000000"/>
        </w:rPr>
        <w:t xml:space="preserve"> </w:t>
      </w:r>
      <w:r>
        <w:rPr>
          <w:rFonts w:ascii="Times New Roman;serif" w:hAnsi="Times New Roman;serif"/>
          <w:b w:val="false"/>
          <w:color w:val="000000"/>
          <w:sz w:val="22"/>
        </w:rPr>
        <w:t>Notwithstanding any contrary provision of this Agreement or the Plan, upon Participant’s Termination of Service for any or no reason, all Performance Stock Units which have not vested prior to or in connection with such Termination of Service shall thereupon automatically be forfeited, terminated and cancelled as of the applicable termination date without payment of any consideration by the Company, and Participant, or Participant’s beneficiary or personal representative, as the case may be, shall have no further rights hereunder. No portion of the PSUs which has not become vested as of the date on which Participant incurs a Termination of Service shall thereafter become vested, except as may otherwise be provided by the Administrator or as set forth in a written agreement between the Company (or any Subsidiary that is the employer of Participant) and Participant.</w:t>
      </w:r>
    </w:p>
    <w:p>
      <w:pPr>
        <w:pStyle w:val="TextBody"/>
        <w:bidi w:val="0"/>
        <w:spacing w:lineRule="auto" w:line="288" w:before="0" w:after="0"/>
        <w:ind w:left="0" w:right="0" w:firstLine="720"/>
        <w:jc w:val="left"/>
        <w:rPr/>
      </w:pPr>
      <w:r>
        <w:rPr>
          <w:rFonts w:ascii="Times New Roman;serif" w:hAnsi="Times New Roman;serif"/>
          <w:b w:val="false"/>
          <w:color w:val="000000"/>
          <w:sz w:val="22"/>
        </w:rPr>
        <w:t xml:space="preserve">2.6 </w:t>
      </w:r>
      <w:r>
        <w:rPr>
          <w:rFonts w:ascii="Times New Roman;serif" w:hAnsi="Times New Roman;serif"/>
          <w:b w:val="false"/>
          <w:color w:val="000000"/>
          <w:sz w:val="22"/>
          <w:u w:val="single"/>
        </w:rPr>
        <w:t>Issuance of Common Stock upon Vesting.</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As soon as administratively practicable following the vesting of any Performance Stock Units pursuant to Section 2.3 hereof, but in no event later than 30 days after such vesting date (for the avoidance of doubt, this deadline is intended to comply with the “short term deferral” exemption from Section 409A of the Code), the Company shall deliver to Participant (or any transferee permitted under Section 3.2 hereof) either, as determined by the Company, in its sole discretion, (i) a number of Shares or (ii) a cash payment in the amount equal to the Fair Market Value, as of the date of vesting, of a number of Shares equal to the number of PSUs subject to this Award that vest on the applicable vesting date. Notwithstanding the foregoing, in the event Shares are not issued pursuant to Section 10.7 of the Plan, the Shares shall be issued pursuant to the preceding sentence as soon as administratively practicable after the Administrator determines that Shares can again be issued in accordance with such Section.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As set forth in Section 10.5 of the Plan, the Company shall have the authority and the right to deduct or withhold, or to require Participant to remit to the Company, an amount sufficient to satisfy all applicable Tax-Related Items required by law to be withheld with respect to any taxable event arising in connection with the Performance Stock Units. The Company shall not be obligated to deliver any Shares to Participant or Participant’s legal representative unless and until Participant or Participant’s legal representative shall have paid or otherwise satisfied in full the amount of all Tax-Related Items applicable to the taxable income of Participant resulting from the grant or vesting of the Performance Stock Units or the issuance of Shares. </w: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2.7 </w:t>
      </w:r>
      <w:r>
        <w:rPr>
          <w:rFonts w:ascii="Times New Roman;serif" w:hAnsi="Times New Roman;serif"/>
          <w:b w:val="false"/>
          <w:color w:val="000000"/>
          <w:sz w:val="22"/>
          <w:u w:val="single"/>
        </w:rPr>
        <w:t>Conditions to Delivery of Shares.</w:t>
      </w:r>
      <w:r>
        <w:rPr>
          <w:color w:val="000000"/>
        </w:rPr>
        <w:t xml:space="preserve"> </w:t>
      </w:r>
      <w:r>
        <w:rPr>
          <w:rFonts w:ascii="Times New Roman;serif" w:hAnsi="Times New Roman;serif"/>
          <w:b w:val="false"/>
          <w:color w:val="000000"/>
          <w:sz w:val="22"/>
        </w:rPr>
        <w:t>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10.7 of the Plan.</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2.8 </w:t>
      </w:r>
      <w:r>
        <w:rPr>
          <w:rFonts w:ascii="Times New Roman;serif" w:hAnsi="Times New Roman;serif"/>
          <w:b w:val="false"/>
          <w:color w:val="000000"/>
          <w:sz w:val="22"/>
          <w:u w:val="single"/>
        </w:rPr>
        <w:t>Rights as Stockholder.</w:t>
      </w:r>
      <w:r>
        <w:rPr>
          <w:color w:val="000000"/>
        </w:rPr>
        <w:t xml:space="preserve"> </w:t>
      </w:r>
      <w:r>
        <w:rPr>
          <w:rFonts w:ascii="Times New Roman;serif" w:hAnsi="Times New Roman;serif"/>
          <w:b w:val="false"/>
          <w:color w:val="000000"/>
          <w:sz w:val="22"/>
        </w:rPr>
        <w:t>The holder of the PSUs shall not be, nor have any of the rights or privileges of, a stockholder of the Company, including, without limitation, voting rights and rights to dividends, in respect of the PSUs and any Shares underlying the PSUs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61695"/>
                <wp:effectExtent l="0" t="0" r="0" b="0"/>
                <wp:wrapNone/>
                <wp:docPr id="120" name="Frame120"/>
                <a:graphic xmlns:a="http://schemas.openxmlformats.org/drawingml/2006/main">
                  <a:graphicData uri="http://schemas.microsoft.com/office/word/2010/wordprocessingShape">
                    <wps:wsp>
                      <wps:cNvSpPr txBox="1"/>
                      <wps:spPr>
                        <a:xfrm>
                          <a:off x="0" y="0"/>
                          <a:ext cx="6480175" cy="86169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ARTICLE III</w:t>
      </w:r>
    </w:p>
    <w:p>
      <w:pPr>
        <w:pStyle w:val="TextBody"/>
        <w:bidi w:val="0"/>
        <w:spacing w:lineRule="auto" w:line="240"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OTHER PROVISIONS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3.1 </w:t>
      </w:r>
      <w:r>
        <w:rPr>
          <w:rFonts w:ascii="Times New Roman;serif" w:hAnsi="Times New Roman;serif"/>
          <w:b w:val="false"/>
          <w:color w:val="000000"/>
          <w:sz w:val="22"/>
          <w:u w:val="single"/>
        </w:rPr>
        <w:t>Administration.</w:t>
      </w:r>
      <w:r>
        <w:rPr>
          <w:color w:val="000000"/>
        </w:rPr>
        <w:t xml:space="preserve"> </w:t>
      </w:r>
      <w:r>
        <w:rPr>
          <w:rFonts w:ascii="Times New Roman;serif" w:hAnsi="Times New Roman;serif"/>
          <w:b w:val="false"/>
          <w:color w:val="000000"/>
          <w:sz w:val="22"/>
        </w:rPr>
        <w:t xml:space="preserve">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PSUs. </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3.2 </w:t>
      </w:r>
      <w:r>
        <w:rPr>
          <w:rFonts w:ascii="Times New Roman;serif" w:hAnsi="Times New Roman;serif"/>
          <w:b w:val="false"/>
          <w:color w:val="000000"/>
          <w:sz w:val="22"/>
          <w:u w:val="single"/>
        </w:rPr>
        <w:t>Transferability.</w:t>
      </w:r>
      <w:r>
        <w:rPr>
          <w:color w:val="000000"/>
        </w:rPr>
        <w:t xml:space="preserve"> </w:t>
      </w:r>
      <w:r>
        <w:rPr>
          <w:rFonts w:ascii="Times New Roman;serif" w:hAnsi="Times New Roman;serif"/>
          <w:b w:val="false"/>
          <w:color w:val="000000"/>
          <w:sz w:val="22"/>
        </w:rPr>
        <w:t>The PSUs shall be subject to the restrictions on transferability set forth in Section 10.1 of the Plan.</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3.3 </w:t>
      </w:r>
      <w:r>
        <w:rPr>
          <w:rFonts w:ascii="Times New Roman;serif" w:hAnsi="Times New Roman;serif"/>
          <w:b w:val="false"/>
          <w:color w:val="000000"/>
          <w:sz w:val="22"/>
          <w:u w:val="single"/>
        </w:rPr>
        <w:t>Tax Consultation.</w:t>
      </w:r>
      <w:r>
        <w:rPr>
          <w:color w:val="000000"/>
        </w:rPr>
        <w:t xml:space="preserve"> </w:t>
      </w:r>
      <w:r>
        <w:rPr>
          <w:rFonts w:ascii="Times New Roman;serif" w:hAnsi="Times New Roman;serif"/>
          <w:b w:val="false"/>
          <w:color w:val="000000"/>
          <w:sz w:val="22"/>
        </w:rPr>
        <w:t>Participant understands that Participant may suffer adverse tax consequences in connection with the PSUs granted pursuant to this Agreement (and the Shares issuable with respect thereto). Participant represents that Participant has consulted with any tax consultants Participant deems advisable in connection with the PSUs and the issuance of Shares with respect thereto and that Participant is not relying on the Company for any tax advice.</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3.4 </w:t>
      </w:r>
      <w:r>
        <w:rPr>
          <w:rFonts w:ascii="Times New Roman;serif" w:hAnsi="Times New Roman;serif"/>
          <w:b w:val="false"/>
          <w:color w:val="000000"/>
          <w:sz w:val="22"/>
          <w:u w:val="single"/>
        </w:rPr>
        <w:t>Binding Agreement.</w:t>
      </w:r>
      <w:r>
        <w:rPr>
          <w:color w:val="000000"/>
        </w:rPr>
        <w:t xml:space="preserve"> </w:t>
      </w:r>
      <w:r>
        <w:rPr>
          <w:rFonts w:ascii="Times New Roman;serif" w:hAnsi="Times New Roman;serif"/>
          <w:b w:val="false"/>
          <w:color w:val="000000"/>
          <w:sz w:val="22"/>
        </w:rPr>
        <w:t>Subject to the limitation on the transferability of the PSUs contained herein, this Agreement will be binding upon and inure to the benefit of the heirs, legatees, legal representatives, successors and assigns of the parties hereto.</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3.5 </w:t>
      </w:r>
      <w:r>
        <w:rPr>
          <w:rFonts w:ascii="Times New Roman;serif" w:hAnsi="Times New Roman;serif"/>
          <w:b w:val="false"/>
          <w:color w:val="000000"/>
          <w:sz w:val="22"/>
          <w:u w:val="single"/>
        </w:rPr>
        <w:t>Adjustments Upon Specified Events.</w:t>
      </w:r>
      <w:r>
        <w:rPr>
          <w:color w:val="000000"/>
        </w:rPr>
        <w:t xml:space="preserve"> </w:t>
      </w:r>
      <w:r>
        <w:rPr>
          <w:rFonts w:ascii="Times New Roman;serif" w:hAnsi="Times New Roman;serif"/>
          <w:b w:val="false"/>
          <w:color w:val="000000"/>
          <w:sz w:val="22"/>
        </w:rPr>
        <w:t>The Administrator may accelerate the vesting of the PSUs in such circumstances as it, in its sole discretion, may determine. Participant acknowledges that the PSUs are subject to adjustment, modification and termination in certain events as provided in this Agreement and Article IX of the Plan.</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3.6 </w:t>
      </w:r>
      <w:r>
        <w:rPr>
          <w:rFonts w:ascii="Times New Roman;serif" w:hAnsi="Times New Roman;serif"/>
          <w:b w:val="false"/>
          <w:color w:val="000000"/>
          <w:sz w:val="22"/>
          <w:u w:val="single"/>
        </w:rPr>
        <w:t>Notices.</w:t>
      </w:r>
      <w:r>
        <w:rPr>
          <w:color w:val="000000"/>
        </w:rPr>
        <w:t xml:space="preserve"> </w:t>
      </w:r>
      <w:r>
        <w:rPr>
          <w:rFonts w:ascii="Times New Roman;serif" w:hAnsi="Times New Roman;serif"/>
          <w:b w:val="false"/>
          <w:color w:val="000000"/>
          <w:sz w:val="22"/>
        </w:rPr>
        <w:t>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3.6, either party may hereafter designate a different address for notices to be given to that party. Any notice shall be deemed duly given when sent by certified mail (return receipt requested) and deposited (with postage prepaid) in a post office or branch post office regularly maintained by the United States Postal Service (or similar non-U.S. entity).</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3.7 </w:t>
      </w:r>
      <w:r>
        <w:rPr>
          <w:rFonts w:ascii="Times New Roman;serif" w:hAnsi="Times New Roman;serif"/>
          <w:b w:val="false"/>
          <w:color w:val="000000"/>
          <w:sz w:val="22"/>
          <w:u w:val="single"/>
        </w:rPr>
        <w:t>Participant’s Representations.</w:t>
      </w:r>
      <w:r>
        <w:rPr>
          <w:color w:val="000000"/>
        </w:rPr>
        <w:t xml:space="preserve"> </w:t>
      </w:r>
      <w:r>
        <w:rPr>
          <w:rFonts w:ascii="Times New Roman;serif" w:hAnsi="Times New Roman;serif"/>
          <w:b w:val="false"/>
          <w:color w:val="000000"/>
          <w:sz w:val="22"/>
        </w:rPr>
        <w:t>If the Shares issuable hereunder have not been registered under the Securities Act or any applicable state laws on an effective registration statement at the time of such issuance, Participant shall, if required by the Company, concurrently with such issuance, make such written representations as are deemed necessary or appropriate by the Company or its counsel.</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3.8 </w:t>
      </w:r>
      <w:r>
        <w:rPr>
          <w:rFonts w:ascii="Times New Roman;serif" w:hAnsi="Times New Roman;serif"/>
          <w:b w:val="false"/>
          <w:color w:val="000000"/>
          <w:sz w:val="22"/>
          <w:u w:val="single"/>
        </w:rPr>
        <w:t>Titles.</w:t>
      </w:r>
      <w:r>
        <w:rPr>
          <w:color w:val="000000"/>
        </w:rPr>
        <w:t xml:space="preserve"> </w:t>
      </w:r>
      <w:r>
        <w:rPr>
          <w:rFonts w:ascii="Times New Roman;serif" w:hAnsi="Times New Roman;serif"/>
          <w:b w:val="false"/>
          <w:color w:val="000000"/>
          <w:sz w:val="22"/>
        </w:rPr>
        <w:t>Titles are provided herein for convenience only and are not to serve as a basis for interpretation or construction of this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3.9 </w:t>
      </w:r>
      <w:r>
        <w:rPr>
          <w:rFonts w:ascii="Times New Roman;serif" w:hAnsi="Times New Roman;serif"/>
          <w:b w:val="false"/>
          <w:color w:val="000000"/>
          <w:sz w:val="22"/>
          <w:u w:val="single"/>
        </w:rPr>
        <w:t>Governing Law.</w:t>
      </w:r>
      <w:r>
        <w:rPr>
          <w:color w:val="000000"/>
        </w:rPr>
        <w:t xml:space="preserve"> </w:t>
      </w:r>
      <w:r>
        <w:rPr>
          <w:rFonts w:ascii="Times New Roman;serif" w:hAnsi="Times New Roman;serif"/>
          <w:b w:val="false"/>
          <w:color w:val="000000"/>
          <w:sz w:val="22"/>
        </w:rPr>
        <w:t xml:space="preserve">The laws of the State of Delaware shall govern the interpretation, validity, administration, enforcement and performance of the terms of this Agreement regardless of the law that might be applied under principles of conflicts of laws. By entering into this Agreement, Participant irrevocably and unconditionally consents to submit to the exclusive jurisdiction of the courts of the State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61695"/>
                <wp:effectExtent l="0" t="0" r="0" b="0"/>
                <wp:wrapNone/>
                <wp:docPr id="121" name="Frame121"/>
                <a:graphic xmlns:a="http://schemas.openxmlformats.org/drawingml/2006/main">
                  <a:graphicData uri="http://schemas.microsoft.com/office/word/2010/wordprocessingShape">
                    <wps:wsp>
                      <wps:cNvSpPr txBox="1"/>
                      <wps:spPr>
                        <a:xfrm>
                          <a:off x="0" y="0"/>
                          <a:ext cx="6480175" cy="86169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of Delaware and of the United States of America, in each case located in the State of Delaware, for any action arising out of or relating to this Agreement and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entering into this Agreement, Participant irrevocably and unconditionally waives any objection to the laying of venue of any litigation arising out of the Plan or this Agreement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entering into this Agreement, Participant irrevocably and unconditionally waives, to the fullest extent permitted by applicable law, any and all rights to trial by jury in connection with any litigation arising out of or relating to the Plan or this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3.10 </w:t>
      </w:r>
      <w:r>
        <w:rPr>
          <w:rFonts w:ascii="Times New Roman;serif" w:hAnsi="Times New Roman;serif"/>
          <w:b w:val="false"/>
          <w:color w:val="000000"/>
          <w:sz w:val="22"/>
          <w:u w:val="single"/>
        </w:rPr>
        <w:t>Conformity to Securities Laws.</w:t>
      </w:r>
      <w:r>
        <w:rPr>
          <w:color w:val="000000"/>
        </w:rPr>
        <w:t xml:space="preserve"> </w:t>
      </w:r>
      <w:r>
        <w:rPr>
          <w:rFonts w:ascii="Times New Roman;serif" w:hAnsi="Times New Roman;serif"/>
          <w:b w:val="false"/>
          <w:color w:val="000000"/>
          <w:sz w:val="22"/>
        </w:rPr>
        <w:t>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PSUs are granted, only in such a manner as to conform to Applicable Law. To the extent permitted by Applicable Law, the Plan and this Agreement shall be deemed amended to the extent necessary to conform to such Applicable Law.</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3.11 </w:t>
      </w:r>
      <w:r>
        <w:rPr>
          <w:rFonts w:ascii="Times New Roman;serif" w:hAnsi="Times New Roman;serif"/>
          <w:b w:val="false"/>
          <w:color w:val="000000"/>
          <w:sz w:val="22"/>
          <w:u w:val="single"/>
        </w:rPr>
        <w:t>Amendment, Suspension and Termination.</w:t>
      </w:r>
      <w:r>
        <w:rPr>
          <w:color w:val="000000"/>
        </w:rPr>
        <w:t xml:space="preserve"> </w:t>
      </w:r>
      <w:r>
        <w:rPr>
          <w:rFonts w:ascii="Times New Roman;serif" w:hAnsi="Times New Roman;serif"/>
          <w:b w:val="false"/>
          <w:color w:val="000000"/>
          <w:sz w:val="22"/>
        </w:rPr>
        <w:t xml:space="preserve">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adversely affect the PSUs in any material way without the prior written consent of Participant. </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3.12 </w:t>
      </w:r>
      <w:r>
        <w:rPr>
          <w:rFonts w:ascii="Times New Roman;serif" w:hAnsi="Times New Roman;serif"/>
          <w:b w:val="false"/>
          <w:color w:val="000000"/>
          <w:sz w:val="22"/>
          <w:u w:val="single"/>
        </w:rPr>
        <w:t>Successors and Assigns.</w:t>
      </w:r>
      <w:r>
        <w:rPr>
          <w:color w:val="000000"/>
        </w:rPr>
        <w:t xml:space="preserve"> </w:t>
      </w:r>
      <w:r>
        <w:rPr>
          <w:rFonts w:ascii="Times New Roman;serif" w:hAnsi="Times New Roman;serif"/>
          <w:b w:val="false"/>
          <w:color w:val="000000"/>
          <w:sz w:val="22"/>
        </w:rPr>
        <w:t>The Company may assign any of its rights and delegate any of its obligations under this Agreement to single or multiple assignees, and this Agreement shall inure to the benefit of the successors and assigns of the Company. Subject to the restrictions on transfer herein set forth in Section 3.2 hereof, this Agreement shall be binding upon Participant and his or her heirs, executors, administrators, successors and assigns.</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3.13 </w:t>
      </w:r>
      <w:r>
        <w:rPr>
          <w:rFonts w:ascii="Times New Roman;serif" w:hAnsi="Times New Roman;serif"/>
          <w:b w:val="false"/>
          <w:color w:val="000000"/>
          <w:sz w:val="22"/>
          <w:u w:val="single"/>
        </w:rPr>
        <w:t>Limitations Applicable to Section 16 Persons.</w:t>
      </w:r>
      <w:r>
        <w:rPr>
          <w:color w:val="000000"/>
        </w:rPr>
        <w:t xml:space="preserve"> </w:t>
      </w:r>
      <w:r>
        <w:rPr>
          <w:rFonts w:ascii="Times New Roman;serif" w:hAnsi="Times New Roman;serif"/>
          <w:b w:val="false"/>
          <w:color w:val="000000"/>
          <w:sz w:val="22"/>
        </w:rPr>
        <w:t>Notwithstanding any other provision of the Plan or this Agreement, if Participant is subject to Section 16 of the Exchange Act, then the Plan, the PSUs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3.14 </w:t>
      </w:r>
      <w:r>
        <w:rPr>
          <w:rFonts w:ascii="Times New Roman;serif" w:hAnsi="Times New Roman;serif"/>
          <w:b w:val="false"/>
          <w:color w:val="000000"/>
          <w:sz w:val="22"/>
          <w:u w:val="single"/>
        </w:rPr>
        <w:t>Not a Contract of Service Relationship.</w:t>
      </w:r>
      <w:r>
        <w:rPr>
          <w:color w:val="000000"/>
        </w:rPr>
        <w:t xml:space="preserve"> </w:t>
      </w:r>
      <w:r>
        <w:rPr>
          <w:rFonts w:ascii="Times New Roman;serif" w:hAnsi="Times New Roman;serif"/>
          <w:b w:val="false"/>
          <w:color w:val="000000"/>
          <w:sz w:val="22"/>
        </w:rPr>
        <w:t>Nothing in this Agreement or in the Plan shall confer upon Participant any right to commence or continue to serve as an Employee or other Service Provider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by Applicable Law or in a written agreement between the Company or a Subsidiary (as applicable) and Participant.</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61695"/>
                <wp:effectExtent l="0" t="0" r="0" b="0"/>
                <wp:wrapNone/>
                <wp:docPr id="122" name="Frame122"/>
                <a:graphic xmlns:a="http://schemas.openxmlformats.org/drawingml/2006/main">
                  <a:graphicData uri="http://schemas.microsoft.com/office/word/2010/wordprocessingShape">
                    <wps:wsp>
                      <wps:cNvSpPr txBox="1"/>
                      <wps:spPr>
                        <a:xfrm>
                          <a:off x="0" y="0"/>
                          <a:ext cx="6480175" cy="86169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3.15 </w:t>
      </w:r>
      <w:r>
        <w:rPr>
          <w:rFonts w:ascii="Times New Roman;serif" w:hAnsi="Times New Roman;serif"/>
          <w:b w:val="false"/>
          <w:color w:val="000000"/>
          <w:sz w:val="22"/>
          <w:u w:val="single"/>
        </w:rPr>
        <w:t>Entire Agreement.</w:t>
      </w:r>
      <w:r>
        <w:rPr>
          <w:color w:val="000000"/>
        </w:rPr>
        <w:t xml:space="preserve"> </w:t>
      </w:r>
      <w:r>
        <w:rPr>
          <w:rFonts w:ascii="Times New Roman;serif" w:hAnsi="Times New Roman;serif"/>
          <w:b w:val="false"/>
          <w:color w:val="000000"/>
          <w:sz w:val="22"/>
        </w:rPr>
        <w:t xml:space="preserve">The Plan, the Grant Notice and this Agreement (including the Country Provisions) constitute the entire agreement of the parties and supersede in their entirety all prior undertakings and agreements of the Company and Participant with respect to the subject matter hereof, provided that the PSUs shall be subject to any accelerated vesting provisions in any written agreement between Participant and the Company (or any Subsidiary who is the employer of Participant) or a Company plan pursuant to which Participant is eligible to participate, in each case, in accordance with the terms therein. </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3.16 </w:t>
      </w:r>
      <w:r>
        <w:rPr>
          <w:rFonts w:ascii="Times New Roman;serif" w:hAnsi="Times New Roman;serif"/>
          <w:b w:val="false"/>
          <w:color w:val="000000"/>
          <w:sz w:val="22"/>
          <w:u w:val="single"/>
        </w:rPr>
        <w:t>Section 409A.</w:t>
      </w:r>
      <w:r>
        <w:rPr>
          <w:color w:val="000000"/>
        </w:rPr>
        <w:t xml:space="preserve"> </w:t>
      </w:r>
      <w:r>
        <w:rPr>
          <w:rFonts w:ascii="Times New Roman;serif" w:hAnsi="Times New Roman;serif"/>
          <w:b w:val="false"/>
          <w:color w:val="000000"/>
          <w:sz w:val="22"/>
        </w:rPr>
        <w:t xml:space="preserve">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“Section 409A”).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w:t>
      </w:r>
    </w:p>
    <w:p>
      <w:pPr>
        <w:pStyle w:val="TextBody"/>
        <w:bidi w:val="0"/>
        <w:spacing w:lineRule="auto" w:line="288" w:before="0" w:after="180"/>
        <w:ind w:left="0" w:right="0" w:firstLine="720"/>
        <w:jc w:val="both"/>
        <w:rPr/>
      </w:pPr>
      <w:r>
        <w:rPr>
          <w:rFonts w:ascii="Times New Roman;serif" w:hAnsi="Times New Roman;serif"/>
          <w:b w:val="false"/>
          <w:color w:val="000000"/>
          <w:sz w:val="22"/>
        </w:rPr>
        <w:t xml:space="preserve">3.17 </w:t>
      </w:r>
      <w:r>
        <w:rPr>
          <w:rFonts w:ascii="Times New Roman;serif" w:hAnsi="Times New Roman;serif"/>
          <w:b w:val="false"/>
          <w:color w:val="000000"/>
          <w:sz w:val="22"/>
          <w:u w:val="single"/>
        </w:rPr>
        <w:t>Limitation on Participant’s Rights.</w:t>
      </w:r>
      <w:r>
        <w:rPr>
          <w:color w:val="000000"/>
        </w:rPr>
        <w:t xml:space="preserve"> </w:t>
      </w:r>
      <w:r>
        <w:rPr>
          <w:rFonts w:ascii="Times New Roman;serif" w:hAnsi="Times New Roman;serif"/>
          <w:b w:val="false"/>
          <w:color w:val="000000"/>
          <w:sz w:val="22"/>
        </w:rPr>
        <w:t xml:space="preserve">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PSUs, and rights no greater than the right to receive the Shares as a general unsecured creditor with respect to PSUs, as and when payable hereunder.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3.18 </w:t>
      </w:r>
      <w:r>
        <w:rPr>
          <w:rFonts w:ascii="Times New Roman;serif" w:hAnsi="Times New Roman;serif"/>
          <w:b w:val="false"/>
          <w:color w:val="000000"/>
          <w:sz w:val="22"/>
          <w:u w:val="single"/>
        </w:rPr>
        <w:t>Rules Particular To Specific Countries.</w:t>
      </w:r>
      <w:r>
        <w:rPr>
          <w:color w:val="000000"/>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i/>
          <w:color w:val="000000"/>
          <w:sz w:val="22"/>
        </w:rPr>
        <w:t>Generally</w:t>
      </w:r>
      <w:r>
        <w:rPr>
          <w:rFonts w:ascii="Times New Roman;serif" w:hAnsi="Times New Roman;serif"/>
          <w:b w:val="false"/>
          <w:color w:val="000000"/>
          <w:sz w:val="22"/>
        </w:rPr>
        <w:t>. Participant shall, if required by the Administrator, enter into an election with the Company or a Subsidiary (in a form approved by the Company) under which any liability to the Company’s (or a Subsidiary’s) Tax-Related Items, including, but not limited to, National Insurance Contributions (“</w:t>
      </w:r>
      <w:r>
        <w:rPr>
          <w:rFonts w:ascii="Times New Roman;serif" w:hAnsi="Times New Roman;serif"/>
          <w:b/>
          <w:i/>
          <w:color w:val="000000"/>
          <w:sz w:val="22"/>
        </w:rPr>
        <w:t>NICs</w:t>
      </w:r>
      <w:r>
        <w:rPr>
          <w:color w:val="000000"/>
        </w:rPr>
        <w:t>”</w:t>
      </w:r>
      <w:r>
        <w:rPr>
          <w:rFonts w:ascii="Times New Roman;serif" w:hAnsi="Times New Roman;serif"/>
          <w:b w:val="false"/>
          <w:color w:val="000000"/>
          <w:sz w:val="22"/>
        </w:rPr>
        <w:t xml:space="preserve">) and the Fringe Benefit Tax, is transferred to and met by Participant.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i/>
          <w:color w:val="000000"/>
          <w:sz w:val="22"/>
        </w:rPr>
        <w:t>Tax Indemnity</w:t>
      </w:r>
      <w:r>
        <w:rPr>
          <w:rFonts w:ascii="Times New Roman;serif" w:hAnsi="Times New Roman;serif"/>
          <w:b w:val="false"/>
          <w:color w:val="000000"/>
          <w:sz w:val="22"/>
        </w:rPr>
        <w:t>. Participant shall indemnify and keep indemnified the Company and any of its subsidiaries from and against any Tax-Related Items.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3.19 </w:t>
      </w:r>
      <w:r>
        <w:rPr>
          <w:rFonts w:ascii="Times New Roman;serif" w:hAnsi="Times New Roman;serif"/>
          <w:b w:val="false"/>
          <w:color w:val="000000"/>
          <w:sz w:val="22"/>
          <w:u w:val="single"/>
        </w:rPr>
        <w:t>Special Country Provisions for PSUs Granted to Participants.</w:t>
      </w:r>
      <w:r>
        <w:rPr>
          <w:color w:val="000000"/>
        </w:rPr>
        <w:t xml:space="preserve"> </w:t>
      </w:r>
      <w:r>
        <w:rPr>
          <w:rFonts w:ascii="Times New Roman;serif" w:hAnsi="Times New Roman;serif"/>
          <w:b w:val="false"/>
          <w:color w:val="000000"/>
          <w:sz w:val="22"/>
        </w:rPr>
        <w:t>The PSUs shall be subject to the Country Provisions, if any, for Participant’s country of residence, as set forth in the Country Provisions. If Participant relocates to one of the countries included in the Country Provisions during the life of the PSUs, the special provisions for such country shall apply to Participant, to the extent the Company determines that the application of such provisions is necessary or advisable in order to comply with local law or facilitate the administration of the Plan. The Company reserves the right to impose other requirements on the PSUs and the Shares issuable upon settlement of the PSUs,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61695"/>
                <wp:effectExtent l="0" t="0" r="0" b="0"/>
                <wp:wrapNone/>
                <wp:docPr id="123" name="Frame123"/>
                <a:graphic xmlns:a="http://schemas.openxmlformats.org/drawingml/2006/main">
                  <a:graphicData uri="http://schemas.microsoft.com/office/word/2010/wordprocessingShape">
                    <wps:wsp>
                      <wps:cNvSpPr txBox="1"/>
                      <wps:spPr>
                        <a:xfrm>
                          <a:off x="0" y="0"/>
                          <a:ext cx="6480175" cy="86169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APPENDIX A</w:t>
      </w:r>
    </w:p>
    <w:p>
      <w:pPr>
        <w:pStyle w:val="TextBody"/>
        <w:bidi w:val="0"/>
        <w:spacing w:lineRule="auto" w:line="240"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TO PERFORMANCE STOCK UNIT AWARD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Special Country Provisions for PSUs for Participants</w:t>
      </w:r>
    </w:p>
    <w:p>
      <w:pPr>
        <w:pStyle w:val="TextBody"/>
        <w:bidi w:val="0"/>
        <w:spacing w:lineRule="auto" w:line="288" w:before="0" w:after="240"/>
        <w:jc w:val="left"/>
        <w:rPr/>
      </w:pPr>
      <w:r>
        <w:rPr>
          <w:rFonts w:ascii="Times New Roman;serif" w:hAnsi="Times New Roman;serif"/>
          <w:b w:val="false"/>
          <w:color w:val="000000"/>
          <w:sz w:val="22"/>
        </w:rPr>
        <w:t>This Appendix includes special terms and conditions applicable to Participants in the countries below. These terms and conditions are in addition to those set forth in the Performance Stock Unit Agreement (the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xml:space="preserve">) and the Plan, and to the extent there are any inconsistencies between these terms and conditions and those set forth in the Agreement, these terms and conditions shall prevail. Any capitalized term used in this Appendix without definition shall have the meaning ascribed to such term in the Plan or the Agreement, as applicable.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 accepting the PSUs, Participant acknowledges, understands and agrees that:</w: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the Plan is established voluntarily by the Company, it is discretionary in nature, and may be amended, suspended or terminated by the Company at any time, to the extent permitted by the Plan;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the grant of the PSUs is voluntary and occasional and does not create any contractual or other right to receive future grants of restricted or performance stock units, or benefits in lieu of restricted or performance stock units, even if restricted or performance stock units have been granted in the past;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all decisions with respect to future restricted or performance stock units or other grants, if any, will be at the sole discretion of the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Participant is voluntarily participating in the Plan;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for labor law purposes, the PSUs and the Common Stock subject to the PSUs are an extraordinary item that does not constitute wages of any kind for services of any kind rendered to the Company or to Participant’s service entity, and the award of the PSUs is outside the scope of Participant’s service contract, if 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for labor law purposes, the PSUs and the Common Stock subject to the PSUs are not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any Subsidiary, Participant’s employer, its parent, or any affiliate of the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the PSUs and the Common Stock subject to the PSUs are not intended to replace any pension rights or compensation;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 xml:space="preserve">neither the PSUs nor any provision of this Agreement, the Plan or the policies adopted pursuant to the Plan confer upon Participant any right with respect to service or continuation of current service and shall not be interpreted to form a service contract or relationship with the Company or any subsidiary or affiliate;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the future value of the underlying Common Stock is unknown and cannot be predicted with certainty; and</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77850"/>
                <wp:effectExtent l="0" t="0" r="0" b="0"/>
                <wp:wrapNone/>
                <wp:docPr id="124" name="Frame124"/>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A-1</w:t>
                            </w:r>
                            <w:r>
                              <w:br w:type="page"/>
                            </w:r>
                          </w:p>
                          <w:p>
                            <w:pPr>
                              <w:pStyle w:val="TextBody"/>
                              <w:bidi w:val="0"/>
                              <w:spacing w:lineRule="auto" w:line="288" w:before="0" w:after="0"/>
                              <w:jc w:val="left"/>
                              <w:rPr>
                                <w:color w:val="000000"/>
                              </w:rPr>
                            </w:pPr>
                            <w:r>
                              <w:rPr>
                                <w:color w:val="000000"/>
                              </w:rPr>
                              <w:t>    </w:t>
                            </w:r>
                          </w:p>
                          <w:p>
                            <w:pPr>
                              <w:pStyle w:val="TextBody"/>
                              <w:bidi w:val="0"/>
                              <w:spacing w:before="0" w:after="0"/>
                              <w:ind w:left="0" w:right="0" w:firstLine="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A-1</w:t>
                      </w:r>
                    </w:p>
                    <w:p>
                      <w:pPr>
                        <w:pStyle w:val="TextBody"/>
                        <w:bidi w:val="0"/>
                        <w:spacing w:lineRule="auto" w:line="288" w:before="0" w:after="0"/>
                        <w:jc w:val="left"/>
                        <w:rPr>
                          <w:color w:val="000000"/>
                        </w:rPr>
                      </w:pPr>
                      <w:r>
                        <w:rPr>
                          <w:color w:val="000000"/>
                        </w:rPr>
                        <w:t>    </w:t>
                      </w:r>
                    </w:p>
                    <w:p>
                      <w:pPr>
                        <w:pStyle w:val="TextBody"/>
                        <w:bidi w:val="0"/>
                        <w:spacing w:before="0" w:after="0"/>
                        <w:ind w:left="0" w:right="0" w:firstLine="90"/>
                        <w:jc w:val="both"/>
                        <w:rPr/>
                      </w:pPr>
                      <w:r>
                        <w:rPr/>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the value of the Common Stock acquired upon vesting of the PSUs may increase or decrease in value.</w:t>
      </w:r>
    </w:p>
    <w:p>
      <w:pPr>
        <w:pStyle w:val="TextBody"/>
        <w:bidi w:val="0"/>
        <w:spacing w:lineRule="auto" w:line="288" w:before="0" w:after="0"/>
        <w:jc w:val="both"/>
        <w:rPr/>
      </w:pPr>
      <w:r>
        <w:rPr>
          <w:rFonts w:ascii="Times New Roman;serif" w:hAnsi="Times New Roman;serif"/>
          <w:b/>
          <w:color w:val="000000"/>
          <w:sz w:val="22"/>
          <w:u w:val="single"/>
        </w:rPr>
        <w:t>Securities Law Notice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Unless otherwise noted, neither the Company nor the Shares are registered with any local stock exchange or under the control of any local securities regulator outside the United States. The Agreement (of which this Appendix is a part), the Plan, and any other communications or materials that Participant may receive regarding participation in the Plan do not constitute advertising or an offering of securities outside the United States, and the issuance of securities described in any Plan-related documents is not intended for public offering or circulation in Participant’s jurisdiction.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General Provisions</w:t>
      </w:r>
    </w:p>
    <w:p>
      <w:pPr>
        <w:pStyle w:val="TextBody"/>
        <w:bidi w:val="0"/>
        <w:spacing w:before="0" w:after="0"/>
        <w:jc w:val="center"/>
        <w:rPr/>
      </w:pPr>
      <w:r>
        <w:rPr/>
      </w:r>
    </w:p>
    <w:p>
      <w:pPr>
        <w:pStyle w:val="TextBody"/>
        <w:bidi w:val="0"/>
        <w:spacing w:lineRule="auto" w:line="288" w:before="0" w:after="180"/>
        <w:jc w:val="both"/>
        <w:rPr/>
      </w:pPr>
      <w:r>
        <w:rPr>
          <w:rFonts w:ascii="Times New Roman;serif" w:hAnsi="Times New Roman;serif"/>
          <w:b/>
          <w:color w:val="000000"/>
          <w:sz w:val="22"/>
          <w:u w:val="single"/>
        </w:rPr>
        <w:t>Data Privacy</w:t>
      </w:r>
      <w:r>
        <w:rPr>
          <w:rFonts w:ascii="Times New Roman;serif" w:hAnsi="Times New Roman;serif"/>
          <w:b/>
          <w:color w:val="000000"/>
          <w:sz w:val="22"/>
        </w:rPr>
        <w:t>. Participant acknowledges and agrees to the data privacy provisions set forth in Section 11.8 of the Plan.</w:t>
      </w:r>
    </w:p>
    <w:p>
      <w:pPr>
        <w:pStyle w:val="TextBody"/>
        <w:bidi w:val="0"/>
        <w:spacing w:lineRule="auto" w:line="288" w:before="0" w:after="180"/>
        <w:jc w:val="both"/>
        <w:rPr/>
      </w:pPr>
      <w:r>
        <w:rPr>
          <w:rFonts w:ascii="Times New Roman;serif" w:hAnsi="Times New Roman;serif"/>
          <w:b/>
          <w:color w:val="000000"/>
          <w:sz w:val="22"/>
          <w:u w:val="single"/>
        </w:rPr>
        <w:t>Notifications.</w:t>
      </w:r>
      <w:r>
        <w:rPr>
          <w:color w:val="000000"/>
        </w:rPr>
        <w:t xml:space="preserve"> </w:t>
      </w:r>
      <w:r>
        <w:rPr>
          <w:rFonts w:ascii="Times New Roman;serif" w:hAnsi="Times New Roman;serif"/>
          <w:b w:val="false"/>
          <w:color w:val="000000"/>
          <w:sz w:val="22"/>
        </w:rPr>
        <w:t>This Appendix also includes information relating to exchange control and other issues of which Participant should be aware with respect to his or her participation in the Plan. The information is based on the exchange control, securities and other laws in effect in the respective countries as of September, 2021. Such laws are often complex and change frequently. As a result, the Company strongly recommends that Participant not rely on the information herein as the only source of information relating to the consequences of participation in the Plan because the information may be out of date at the time the PSUs vest or Shares acquired under the Plan are sold. 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Participant understands that if Participant is a citizen or resident of a country other than the one in which he or she is currently residing or working, the information contained herein may not be applicable to Participant.</w:t>
      </w:r>
    </w:p>
    <w:p>
      <w:pPr>
        <w:pStyle w:val="TextBody"/>
        <w:bidi w:val="0"/>
        <w:spacing w:lineRule="auto" w:line="288" w:before="0" w:after="180"/>
        <w:jc w:val="both"/>
        <w:rPr/>
      </w:pPr>
      <w:r>
        <w:rPr>
          <w:rFonts w:ascii="Times New Roman;serif" w:hAnsi="Times New Roman;serif"/>
          <w:b/>
          <w:color w:val="000000"/>
          <w:sz w:val="22"/>
          <w:u w:val="single"/>
        </w:rPr>
        <w:t>English Language</w:t>
      </w:r>
      <w:r>
        <w:rPr>
          <w:rFonts w:ascii="Times New Roman;serif" w:hAnsi="Times New Roman;serif"/>
          <w:b w:val="false"/>
          <w:color w:val="000000"/>
          <w:sz w:val="22"/>
        </w:rPr>
        <w:t>. By participating in the Plan, Participant acknowledges that Participant is proficient in the English language, or has consulted with an advisor who is sufficiently proficient in English, so as to allow him or her to understand the terms and conditions of the Plan and the Agreement applicable to Participant’s country of residence. If Participant has received the Agreement and the Plan applicably to his or her country of residence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180"/>
        <w:jc w:val="both"/>
        <w:rPr/>
      </w:pPr>
      <w:r>
        <w:rPr>
          <w:rFonts w:ascii="Times New Roman;serif" w:hAnsi="Times New Roman;serif"/>
          <w:b/>
          <w:color w:val="000000"/>
          <w:sz w:val="22"/>
          <w:u w:val="single"/>
        </w:rPr>
        <w:t>Currency</w:t>
      </w:r>
      <w:r>
        <w:rPr>
          <w:rFonts w:ascii="Times New Roman;serif" w:hAnsi="Times New Roman;serif"/>
          <w:b w:val="false"/>
          <w:color w:val="000000"/>
          <w:sz w:val="22"/>
        </w:rPr>
        <w:t>. Participant understands that, any amounts related to the PSUs will be denominated in U.S. dollars and will be converted to any local currency using a prevailing exchange rate in effect at the time such conversion is performed, as determined by the Company. Participant understands and agrees that neither the Company nor any affiliate shall be liable for any foreign exchange rate fluctuation between Participant’s local currency and the U.S. dollar that may affect the value of the PSUs, or of any amounts due to Participant or as a result of the subsequent sale of any Shares acquired under the PSUs.</w:t>
      </w:r>
    </w:p>
    <w:p>
      <w:pPr>
        <w:pStyle w:val="TextBody"/>
        <w:bidi w:val="0"/>
        <w:spacing w:lineRule="auto" w:line="288"/>
        <w:jc w:val="both"/>
        <w:rPr/>
      </w:pPr>
      <w:r>
        <w:rPr>
          <w:rFonts w:ascii="Times New Roman;serif" w:hAnsi="Times New Roman;serif"/>
          <w:b/>
          <w:color w:val="000000"/>
          <w:sz w:val="22"/>
          <w:u w:val="single"/>
        </w:rPr>
        <w:t>Foreign Asset/Account Reporting; Exchange Controls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Participant’s country of residence may have certain foreign asset and/or account reporting or exchange control requirements which may affect his or her ability to acquire or hold Shares under the Agreement or cash received (including proceeds arising from the sale of Shares) in a brokerage or bank account outside Participant’s country. Participant may be required to report such accounts, assets or transactions to the tax or other authorities in his or her country. Participant may also be required to repatriate sale proceeds or other funds received as a result of his/her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77850"/>
                <wp:effectExtent l="0" t="0" r="0" b="0"/>
                <wp:wrapNone/>
                <wp:docPr id="125" name="Frame125"/>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A-2</w:t>
                            </w:r>
                            <w:r>
                              <w:br w:type="page"/>
                            </w:r>
                          </w:p>
                          <w:p>
                            <w:pPr>
                              <w:pStyle w:val="TextBody"/>
                              <w:bidi w:val="0"/>
                              <w:spacing w:lineRule="auto" w:line="288" w:before="0" w:after="0"/>
                              <w:jc w:val="left"/>
                              <w:rPr>
                                <w:color w:val="000000"/>
                              </w:rPr>
                            </w:pPr>
                            <w:r>
                              <w:rPr>
                                <w:color w:val="000000"/>
                              </w:rPr>
                              <w:t>    </w:t>
                            </w:r>
                          </w:p>
                          <w:p>
                            <w:pPr>
                              <w:pStyle w:val="TextBody"/>
                              <w:bidi w:val="0"/>
                              <w:spacing w:before="0" w:after="0"/>
                              <w:ind w:left="0" w:right="0" w:firstLine="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A-2</w:t>
                      </w:r>
                    </w:p>
                    <w:p>
                      <w:pPr>
                        <w:pStyle w:val="TextBody"/>
                        <w:bidi w:val="0"/>
                        <w:spacing w:lineRule="auto" w:line="288" w:before="0" w:after="0"/>
                        <w:jc w:val="left"/>
                        <w:rPr>
                          <w:color w:val="000000"/>
                        </w:rPr>
                      </w:pPr>
                      <w:r>
                        <w:rPr>
                          <w:color w:val="000000"/>
                        </w:rPr>
                        <w:t>    </w:t>
                      </w:r>
                    </w:p>
                    <w:p>
                      <w:pPr>
                        <w:pStyle w:val="TextBody"/>
                        <w:bidi w:val="0"/>
                        <w:spacing w:before="0" w:after="0"/>
                        <w:ind w:left="0" w:right="0" w:firstLine="9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participation in the Plan to his or her country through a designated broker or bank and/or within a certain time after receipt. Participant is responsible for ensuring compliance with such regulations and should consult with his or her personal legal advisor for any details.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u w:val="single"/>
        </w:rPr>
        <w:t>No Advice Regarding Grant</w:t>
      </w:r>
      <w:r>
        <w:rPr>
          <w:rFonts w:ascii="Times New Roman;serif" w:hAnsi="Times New Roman;serif"/>
          <w:b w:val="false"/>
          <w:color w:val="000000"/>
          <w:sz w:val="22"/>
        </w:rPr>
        <w:t>. The Company is not providing any tax, legal or financial advice, nor is the Company making any recommendations regarding Participant’s participation in the Plan or the Agreement or any receipt of the PSUs or sale of Shares acquired upon settlement of the PSUs. Participant should consult his or her own personal tax, legal and financial advisors regarding his or her participation in the Plan and the Agreement before taking any action related to the PSUs or the Shares.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u w:val="single"/>
        </w:rPr>
        <w:t>Imposition of Other Requirements</w:t>
      </w:r>
      <w:r>
        <w:rPr>
          <w:rFonts w:ascii="Times New Roman;serif" w:hAnsi="Times New Roman;serif"/>
          <w:b w:val="false"/>
          <w:color w:val="000000"/>
          <w:sz w:val="22"/>
        </w:rPr>
        <w:t>. The Company reserves the right to impose other requirements on Participant, on the PSUs and/or any Shares issuable upon settlement of the PSUs,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Countries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77850"/>
                <wp:effectExtent l="0" t="0" r="0" b="0"/>
                <wp:wrapNone/>
                <wp:docPr id="126" name="Frame126"/>
                <a:graphic xmlns:a="http://schemas.openxmlformats.org/drawingml/2006/main">
                  <a:graphicData uri="http://schemas.microsoft.com/office/word/2010/wordprocessingShape">
                    <wps:wsp>
                      <wps:cNvSpPr txBox="1"/>
                      <wps:spPr>
                        <a:xfrm>
                          <a:off x="0" y="0"/>
                          <a:ext cx="6480175" cy="57785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A-3</w:t>
                            </w:r>
                            <w:r>
                              <w:br w:type="page"/>
                            </w:r>
                          </w:p>
                          <w:p>
                            <w:pPr>
                              <w:pStyle w:val="TextBody"/>
                              <w:bidi w:val="0"/>
                              <w:spacing w:lineRule="auto" w:line="288" w:before="0" w:after="0"/>
                              <w:jc w:val="left"/>
                              <w:rPr>
                                <w:color w:val="000000"/>
                              </w:rPr>
                            </w:pPr>
                            <w:r>
                              <w:rPr>
                                <w:color w:val="000000"/>
                              </w:rPr>
                              <w:t>    </w:t>
                            </w:r>
                          </w:p>
                          <w:p>
                            <w:pPr>
                              <w:pStyle w:val="TextBody"/>
                              <w:bidi w:val="0"/>
                              <w:spacing w:before="0" w:after="0"/>
                              <w:ind w:left="0" w:right="0" w:firstLine="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A-3</w:t>
                      </w:r>
                    </w:p>
                    <w:p>
                      <w:pPr>
                        <w:pStyle w:val="TextBody"/>
                        <w:bidi w:val="0"/>
                        <w:spacing w:lineRule="auto" w:line="288" w:before="0" w:after="0"/>
                        <w:jc w:val="left"/>
                        <w:rPr>
                          <w:color w:val="000000"/>
                        </w:rPr>
                      </w:pPr>
                      <w:r>
                        <w:rPr>
                          <w:color w:val="000000"/>
                        </w:rPr>
                        <w:t>    </w:t>
                      </w:r>
                    </w:p>
                    <w:p>
                      <w:pPr>
                        <w:pStyle w:val="TextBody"/>
                        <w:bidi w:val="0"/>
                        <w:spacing w:before="0" w:after="0"/>
                        <w:ind w:left="0" w:right="0" w:firstLine="9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B</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TO PERFORMANCE STOCK UNIT AWARD GRANT NOTICE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PERFORMANCE VESTING TERMS</w:t>
      </w:r>
    </w:p>
    <w:p>
      <w:pPr>
        <w:pStyle w:val="TextBody"/>
        <w:bidi w:val="0"/>
        <w:spacing w:lineRule="auto" w:line="288" w:before="0" w:after="180"/>
        <w:ind w:left="0" w:right="0" w:firstLine="720"/>
        <w:jc w:val="both"/>
        <w:rPr/>
      </w:pPr>
      <w:r>
        <w:rPr>
          <w:rFonts w:ascii="Times New Roman;serif" w:hAnsi="Times New Roman;serif"/>
          <w:b w:val="false"/>
          <w:color w:val="000000"/>
          <w:sz w:val="22"/>
        </w:rPr>
        <w:t>This Exhibit B is incorporated by reference in the attached Performance Stock Unit Agreement (collectively,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Capitalized terms not defined this Exhibit B shall have the meanings as provided in the Plan, the Agreement or, if none, the Grant Notice.</w:t>
      </w:r>
    </w:p>
    <w:p>
      <w:pPr>
        <w:pStyle w:val="TextBody"/>
        <w:bidi w:val="0"/>
        <w:spacing w:lineRule="auto" w:line="288" w:before="0" w:after="180"/>
        <w:ind w:left="0" w:right="0" w:firstLine="720"/>
        <w:jc w:val="both"/>
        <w:rPr/>
      </w:pPr>
      <w:r>
        <w:rPr>
          <w:rFonts w:ascii="Times New Roman;serif" w:hAnsi="Times New Roman;serif"/>
          <w:b w:val="false"/>
          <w:color w:val="000000"/>
          <w:sz w:val="22"/>
        </w:rPr>
        <w:t>The number of target PSUs is set forth on the first page of the Grant Notice (the “</w:t>
      </w:r>
      <w:r>
        <w:rPr>
          <w:rFonts w:ascii="Times New Roman;serif" w:hAnsi="Times New Roman;serif"/>
          <w:b/>
          <w:color w:val="000000"/>
          <w:sz w:val="22"/>
        </w:rPr>
        <w:t>Target PSUs</w:t>
      </w:r>
      <w:r>
        <w:rPr>
          <w:color w:val="000000"/>
        </w:rPr>
        <w:t>”</w:t>
      </w:r>
      <w:r>
        <w:rPr>
          <w:rFonts w:ascii="Times New Roman;serif" w:hAnsi="Times New Roman;serif"/>
          <w:b w:val="false"/>
          <w:color w:val="000000"/>
          <w:sz w:val="22"/>
        </w:rPr>
        <w:t xml:space="preserve">). The actual number of PSUs that are eligible to vest shall be based on the Target PSUs, and the Company’s relative total shareholder return compared to the Russell 2000 Index (RUT) over the Performance Period as provided in this Exhibit B. </w:t>
      </w:r>
    </w:p>
    <w:p>
      <w:pPr>
        <w:pStyle w:val="TextBody"/>
        <w:bidi w:val="0"/>
        <w:spacing w:lineRule="auto" w:line="288" w:before="0" w:after="180"/>
        <w:ind w:left="0" w:right="0" w:hanging="720"/>
        <w:jc w:val="both"/>
        <w:rPr/>
      </w:pPr>
      <w:r>
        <w:rPr>
          <w:rFonts w:ascii="Times New Roman;serif" w:hAnsi="Times New Roman;serif"/>
          <w:b w:val="false"/>
          <w:color w:val="000000"/>
          <w:sz w:val="22"/>
        </w:rPr>
        <w:t>1.</w:t>
      </w:r>
      <w:r>
        <w:rPr>
          <w:rFonts w:ascii="Times New Roman;serif" w:hAnsi="Times New Roman;serif"/>
          <w:b/>
          <w:color w:val="000000"/>
          <w:sz w:val="22"/>
        </w:rPr>
        <w:t>Vesting</w:t>
      </w:r>
      <w:r>
        <w:rPr>
          <w:rFonts w:ascii="Times New Roman;serif" w:hAnsi="Times New Roman;serif"/>
          <w:b w:val="false"/>
          <w:color w:val="000000"/>
          <w:sz w:val="22"/>
        </w:rPr>
        <w:t>. Subject to Sections 2.2 and 2.4 of the Performance Stock Unit Agreement, the number of PSUs eligible to vest and become non-forfeitable shall equal the number of Target PSUs multiplied by the Vesting Percentage (rounding down to the nearest whole Share). Such PSUs eligible to vest shall become vested on the Vesting Date, provided that Participant has not had a Termination of Service during the period from the Grant Date to the Vesting Date. Any PSUs not vested in accordance with this Section 1 shall be forfeited for no consideration as of the Vesting Date or, if earlier, Participant’s Termination of Service.</w:t>
      </w:r>
    </w:p>
    <w:p>
      <w:pPr>
        <w:pStyle w:val="TextBody"/>
        <w:bidi w:val="0"/>
        <w:spacing w:lineRule="auto" w:line="288" w:before="0" w:after="180"/>
        <w:ind w:left="0" w:right="0" w:hanging="720"/>
        <w:jc w:val="both"/>
        <w:rPr/>
      </w:pPr>
      <w:r>
        <w:rPr>
          <w:rFonts w:ascii="Times New Roman;serif" w:hAnsi="Times New Roman;serif"/>
          <w:b w:val="false"/>
          <w:color w:val="000000"/>
          <w:sz w:val="22"/>
        </w:rPr>
        <w:t>2.</w:t>
      </w:r>
      <w:r>
        <w:rPr>
          <w:rFonts w:ascii="Times New Roman;serif" w:hAnsi="Times New Roman;serif"/>
          <w:b/>
          <w:color w:val="000000"/>
          <w:sz w:val="22"/>
        </w:rPr>
        <w:t>Definitions</w:t>
      </w:r>
      <w:r>
        <w:rPr>
          <w:rFonts w:ascii="Times New Roman;serif" w:hAnsi="Times New Roman;serif"/>
          <w:b w:val="false"/>
          <w:color w:val="000000"/>
          <w:sz w:val="22"/>
        </w:rPr>
        <w:t>.</w:t>
      </w:r>
    </w:p>
    <w:p>
      <w:pPr>
        <w:pStyle w:val="TextBody"/>
        <w:bidi w:val="0"/>
        <w:spacing w:lineRule="auto" w:line="288" w:before="0" w:after="180"/>
        <w:ind w:left="0" w:right="0" w:hanging="720"/>
        <w:jc w:val="both"/>
        <w:rPr/>
      </w:pPr>
      <w:r>
        <w:rPr>
          <w:rFonts w:ascii="Times New Roman;serif" w:hAnsi="Times New Roman;serif"/>
          <w:b w:val="false"/>
          <w:color w:val="000000"/>
          <w:sz w:val="22"/>
        </w:rPr>
        <w:t>2.1</w:t>
      </w:r>
      <w:r>
        <w:rPr>
          <w:color w:val="000000"/>
        </w:rPr>
        <w:t>“</w:t>
      </w:r>
      <w:r>
        <w:rPr>
          <w:rFonts w:ascii="Times New Roman;serif" w:hAnsi="Times New Roman;serif"/>
          <w:b/>
          <w:color w:val="000000"/>
          <w:sz w:val="22"/>
        </w:rPr>
        <w:t>Vesting Percentage</w:t>
      </w:r>
      <w:r>
        <w:rPr>
          <w:color w:val="000000"/>
        </w:rPr>
        <w:t xml:space="preserve">” </w:t>
      </w:r>
      <w:r>
        <w:rPr>
          <w:rFonts w:ascii="Times New Roman;serif" w:hAnsi="Times New Roman;serif"/>
          <w:b w:val="false"/>
          <w:color w:val="000000"/>
          <w:sz w:val="22"/>
        </w:rPr>
        <w:t>means the percentage determined as follows based on the Company’s Relative TSR:</w:t>
      </w:r>
    </w:p>
    <w:tbl>
      <w:tblPr>
        <w:tblW w:w="7590" w:type="dxa"/>
        <w:jc w:val="left"/>
        <w:tblInd w:w="0" w:type="dxa"/>
        <w:tblLayout w:type="fixed"/>
        <w:tblCellMar>
          <w:top w:w="28" w:type="dxa"/>
          <w:left w:w="28" w:type="dxa"/>
          <w:bottom w:w="28" w:type="dxa"/>
          <w:right w:w="28" w:type="dxa"/>
        </w:tblCellMar>
      </w:tblPr>
      <w:tblGrid>
        <w:gridCol w:w="788"/>
        <w:gridCol w:w="693"/>
        <w:gridCol w:w="694"/>
        <w:gridCol w:w="1124"/>
        <w:gridCol w:w="1124"/>
        <w:gridCol w:w="1127"/>
        <w:gridCol w:w="208"/>
        <w:gridCol w:w="208"/>
        <w:gridCol w:w="1624"/>
      </w:tblGrid>
      <w:tr>
        <w:trPr/>
        <w:tc>
          <w:tcPr>
            <w:tcW w:w="7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17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ind w:left="0" w:right="0" w:firstLine="720"/>
              <w:jc w:val="center"/>
              <w:rPr>
                <w:rFonts w:ascii="Times New Roman;serif" w:hAnsi="Times New Roman;serif"/>
                <w:b/>
                <w:color w:val="000000"/>
                <w:sz w:val="22"/>
              </w:rPr>
            </w:pPr>
            <w:r>
              <w:rPr>
                <w:rFonts w:ascii="Times New Roman;serif" w:hAnsi="Times New Roman;serif"/>
                <w:b/>
                <w:color w:val="000000"/>
                <w:sz w:val="22"/>
              </w:rPr>
              <w:t>Vesting Level</w:t>
            </w:r>
          </w:p>
        </w:tc>
        <w:tc>
          <w:tcPr>
            <w:tcW w:w="3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Relative TSR (Percentage Points)</w:t>
            </w:r>
          </w:p>
        </w:tc>
        <w:tc>
          <w:tcPr>
            <w:tcW w:w="204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22"/>
              </w:rPr>
            </w:pPr>
            <w:r>
              <w:rPr>
                <w:rFonts w:ascii="Times New Roman;serif" w:hAnsi="Times New Roman;serif"/>
                <w:b/>
                <w:color w:val="000000"/>
                <w:sz w:val="22"/>
              </w:rPr>
              <w:t>Vesting Percentage</w:t>
            </w:r>
          </w:p>
        </w:tc>
      </w:tr>
      <w:tr>
        <w:trPr/>
        <w:tc>
          <w:tcPr>
            <w:tcW w:w="21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Threshold</w:t>
            </w:r>
          </w:p>
        </w:tc>
        <w:tc>
          <w:tcPr>
            <w:tcW w:w="3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Less than or equal to -30 </w:t>
            </w:r>
          </w:p>
        </w:tc>
        <w:tc>
          <w:tcPr>
            <w:tcW w:w="20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21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Target</w:t>
            </w:r>
          </w:p>
        </w:tc>
        <w:tc>
          <w:tcPr>
            <w:tcW w:w="3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0</w:t>
            </w:r>
          </w:p>
        </w:tc>
        <w:tc>
          <w:tcPr>
            <w:tcW w:w="20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21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2"/>
              </w:rPr>
            </w:pPr>
            <w:r>
              <w:rPr>
                <w:rFonts w:ascii="Times New Roman;serif" w:hAnsi="Times New Roman;serif"/>
                <w:b w:val="false"/>
                <w:color w:val="000000"/>
                <w:sz w:val="22"/>
              </w:rPr>
              <w:t>Maximum</w:t>
            </w:r>
          </w:p>
        </w:tc>
        <w:tc>
          <w:tcPr>
            <w:tcW w:w="33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Greater than or equal to +30 </w:t>
            </w:r>
          </w:p>
        </w:tc>
        <w:tc>
          <w:tcPr>
            <w:tcW w:w="20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200%</w:t>
            </w:r>
          </w:p>
        </w:tc>
      </w:tr>
    </w:tbl>
    <w:p>
      <w:pPr>
        <w:pStyle w:val="TextBody"/>
        <w:bidi w:val="0"/>
        <w:spacing w:lineRule="auto" w:line="288" w:before="180" w:after="180"/>
        <w:jc w:val="both"/>
        <w:rPr>
          <w:rFonts w:ascii="Times New Roman;serif" w:hAnsi="Times New Roman;serif"/>
          <w:b w:val="false"/>
          <w:color w:val="000000"/>
          <w:sz w:val="22"/>
        </w:rPr>
      </w:pPr>
      <w:r>
        <w:rPr>
          <w:rFonts w:ascii="Times New Roman;serif" w:hAnsi="Times New Roman;serif"/>
          <w:b w:val="false"/>
          <w:color w:val="000000"/>
          <w:sz w:val="22"/>
        </w:rPr>
        <w:t>The Vesting Percentage shall be interpolated, on a mathematical straight-line basis between each of the Relative TSR levels set forth above. In no event will the Vesting Percentage exceed 200%. Further, notwithstanding the above table, if the Company TSR for the Performance Period is negative then the maximum Vesting Percentage that may be earned will be capped at 100%.</w:t>
      </w:r>
    </w:p>
    <w:p>
      <w:pPr>
        <w:pStyle w:val="TextBody"/>
        <w:bidi w:val="0"/>
        <w:spacing w:lineRule="auto" w:line="288" w:before="0" w:after="180"/>
        <w:ind w:left="0" w:right="0" w:hanging="720"/>
        <w:jc w:val="both"/>
        <w:rPr/>
      </w:pPr>
      <w:r>
        <w:rPr>
          <w:rFonts w:ascii="Times New Roman;serif" w:hAnsi="Times New Roman;serif"/>
          <w:b w:val="false"/>
          <w:color w:val="000000"/>
          <w:sz w:val="22"/>
        </w:rPr>
        <w:t>2.2</w:t>
      </w:r>
      <w:r>
        <w:rPr>
          <w:color w:val="000000"/>
        </w:rPr>
        <w:t>“</w:t>
      </w:r>
      <w:r>
        <w:rPr>
          <w:rFonts w:ascii="Times New Roman;serif" w:hAnsi="Times New Roman;serif"/>
          <w:b/>
          <w:color w:val="000000"/>
          <w:sz w:val="22"/>
        </w:rPr>
        <w:t>Vesting Date</w:t>
      </w:r>
      <w:r>
        <w:rPr>
          <w:color w:val="000000"/>
        </w:rPr>
        <w:t xml:space="preserve">” </w:t>
      </w:r>
      <w:r>
        <w:rPr>
          <w:rFonts w:ascii="Times New Roman;serif" w:hAnsi="Times New Roman;serif"/>
          <w:b w:val="false"/>
          <w:color w:val="000000"/>
          <w:sz w:val="22"/>
        </w:rPr>
        <w:t>means the third (3</w:t>
      </w:r>
      <w:r>
        <w:rPr>
          <w:rFonts w:ascii="Times New Roman;serif" w:hAnsi="Times New Roman;serif"/>
          <w:b w:val="false"/>
          <w:color w:val="000000"/>
          <w:sz w:val="14"/>
        </w:rPr>
        <w:t>rd</w:t>
      </w:r>
      <w:r>
        <w:rPr>
          <w:rFonts w:ascii="Times New Roman;serif" w:hAnsi="Times New Roman;serif"/>
          <w:b w:val="false"/>
          <w:color w:val="000000"/>
          <w:sz w:val="22"/>
        </w:rPr>
        <w:t>) anniversary of the Grant Date.</w:t>
      </w:r>
    </w:p>
    <w:p>
      <w:pPr>
        <w:pStyle w:val="TextBody"/>
        <w:bidi w:val="0"/>
        <w:spacing w:lineRule="auto" w:line="288" w:before="0" w:after="180"/>
        <w:ind w:left="0" w:right="0" w:hanging="720"/>
        <w:jc w:val="both"/>
        <w:rPr/>
      </w:pPr>
      <w:r>
        <w:rPr>
          <w:rFonts w:ascii="Times New Roman;serif" w:hAnsi="Times New Roman;serif"/>
          <w:b w:val="false"/>
          <w:color w:val="000000"/>
          <w:sz w:val="22"/>
        </w:rPr>
        <w:t>2.3</w:t>
      </w:r>
      <w:r>
        <w:rPr>
          <w:color w:val="000000"/>
        </w:rPr>
        <w:t>“</w:t>
      </w:r>
      <w:r>
        <w:rPr>
          <w:rFonts w:ascii="Times New Roman;serif" w:hAnsi="Times New Roman;serif"/>
          <w:b/>
          <w:color w:val="000000"/>
          <w:sz w:val="22"/>
        </w:rPr>
        <w:t>Relative TSR</w:t>
      </w:r>
      <w:r>
        <w:rPr>
          <w:color w:val="000000"/>
        </w:rPr>
        <w:t xml:space="preserve">” </w:t>
      </w:r>
      <w:r>
        <w:rPr>
          <w:rFonts w:ascii="Times New Roman;serif" w:hAnsi="Times New Roman;serif"/>
          <w:b w:val="false"/>
          <w:color w:val="000000"/>
          <w:sz w:val="22"/>
        </w:rPr>
        <w:t xml:space="preserve">means the percentage equal to the Company’s TSR minus the TSR for the Russell 2000 Index (RUT.) </w:t>
      </w:r>
    </w:p>
    <w:p>
      <w:pPr>
        <w:pStyle w:val="TextBody"/>
        <w:bidi w:val="0"/>
        <w:spacing w:lineRule="auto" w:line="288" w:before="0" w:after="180"/>
        <w:ind w:left="0" w:right="0" w:hanging="720"/>
        <w:jc w:val="both"/>
        <w:rPr/>
      </w:pPr>
      <w:r>
        <w:rPr>
          <w:rFonts w:ascii="Times New Roman;serif" w:hAnsi="Times New Roman;serif"/>
          <w:b w:val="false"/>
          <w:color w:val="000000"/>
          <w:sz w:val="22"/>
        </w:rPr>
        <w:t>2.4</w:t>
      </w:r>
      <w:r>
        <w:rPr>
          <w:color w:val="000000"/>
        </w:rPr>
        <w:t>“</w:t>
      </w:r>
      <w:r>
        <w:rPr>
          <w:rFonts w:ascii="Times New Roman;serif" w:hAnsi="Times New Roman;serif"/>
          <w:b/>
          <w:color w:val="000000"/>
          <w:sz w:val="22"/>
        </w:rPr>
        <w:t>TSR</w:t>
      </w:r>
      <w:r>
        <w:rPr>
          <w:color w:val="000000"/>
        </w:rPr>
        <w:t xml:space="preserve">” </w:t>
      </w:r>
      <w:r>
        <w:rPr>
          <w:rFonts w:ascii="Times New Roman;serif" w:hAnsi="Times New Roman;serif"/>
          <w:b w:val="false"/>
          <w:color w:val="000000"/>
          <w:sz w:val="22"/>
        </w:rPr>
        <w:t>means total shareholder return and shall be determined with respect to the Company and the Russell 2000 Index (RUT) by dividing the applicable Ending Price by the applicable Beginning Price. For purposes of determining TSR, the value of dividends and other distributions shall be determined by treating them as reinvested in additional shares at the closing market price on the ex-dividend date. Any non-cash distributions shall be valued at fair market value.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44015"/>
                <wp:effectExtent l="0" t="0" r="0" b="0"/>
                <wp:wrapNone/>
                <wp:docPr id="127" name="Frame127"/>
                <a:graphic xmlns:a="http://schemas.openxmlformats.org/drawingml/2006/main">
                  <a:graphicData uri="http://schemas.microsoft.com/office/word/2010/wordprocessingShape">
                    <wps:wsp>
                      <wps:cNvSpPr txBox="1"/>
                      <wps:spPr>
                        <a:xfrm>
                          <a:off x="0" y="0"/>
                          <a:ext cx="6480175" cy="164401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180" w:after="283"/>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B-1</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180" w:after="283"/>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B-1</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ind w:left="0" w:right="0" w:hanging="720"/>
        <w:jc w:val="both"/>
        <w:rPr/>
      </w:pPr>
      <w:r>
        <w:rPr>
          <w:rFonts w:ascii="Times New Roman;serif" w:hAnsi="Times New Roman;serif"/>
          <w:b w:val="false"/>
          <w:color w:val="000000"/>
          <w:sz w:val="22"/>
        </w:rPr>
        <w:t>2.5</w:t>
      </w:r>
      <w:r>
        <w:rPr>
          <w:color w:val="000000"/>
        </w:rPr>
        <w:t>“</w:t>
      </w:r>
      <w:r>
        <w:rPr>
          <w:rFonts w:ascii="Times New Roman;serif" w:hAnsi="Times New Roman;serif"/>
          <w:b/>
          <w:color w:val="000000"/>
          <w:sz w:val="22"/>
        </w:rPr>
        <w:t>Beginning Price</w:t>
      </w:r>
      <w:r>
        <w:rPr>
          <w:color w:val="000000"/>
        </w:rPr>
        <w:t xml:space="preserve">” </w:t>
      </w:r>
      <w:r>
        <w:rPr>
          <w:rFonts w:ascii="Times New Roman;serif" w:hAnsi="Times New Roman;serif"/>
          <w:b w:val="false"/>
          <w:color w:val="000000"/>
          <w:sz w:val="22"/>
        </w:rPr>
        <w:t>means, with respect to the Company and the Russell 2000 Index (RUT,) the average of the closing market price of the Company’s common stock on the principal exchange on which it is traded and the average closing market price of the Russell 2000 Index (RUT,) respectively, for the period of thirty (30) consecutive trading days ending with the last trading day immediately prior to the beginning of the applicable Performance Period. As to a stock which goes ex-dividend during such 30-day period, the closing market prices as to such stock for the portion of the 30-day period preceding the ex-dividend date shall be equitably adjusted to exclude the amount of the related dividend.</w:t>
      </w:r>
    </w:p>
    <w:p>
      <w:pPr>
        <w:pStyle w:val="TextBody"/>
        <w:bidi w:val="0"/>
        <w:spacing w:lineRule="auto" w:line="288" w:before="0" w:after="180"/>
        <w:ind w:left="0" w:right="0" w:hanging="720"/>
        <w:jc w:val="both"/>
        <w:rPr/>
      </w:pPr>
      <w:r>
        <w:rPr>
          <w:rFonts w:ascii="Times New Roman;serif" w:hAnsi="Times New Roman;serif"/>
          <w:b w:val="false"/>
          <w:color w:val="000000"/>
          <w:sz w:val="22"/>
        </w:rPr>
        <w:t>2.6</w:t>
      </w:r>
      <w:r>
        <w:rPr>
          <w:color w:val="000000"/>
        </w:rPr>
        <w:t>“</w:t>
      </w:r>
      <w:r>
        <w:rPr>
          <w:rFonts w:ascii="Times New Roman;serif" w:hAnsi="Times New Roman;serif"/>
          <w:b/>
          <w:color w:val="000000"/>
          <w:sz w:val="22"/>
        </w:rPr>
        <w:t>Ending Price</w:t>
      </w:r>
      <w:r>
        <w:rPr>
          <w:color w:val="000000"/>
        </w:rPr>
        <w:t xml:space="preserve">” </w:t>
      </w:r>
      <w:r>
        <w:rPr>
          <w:rFonts w:ascii="Times New Roman;serif" w:hAnsi="Times New Roman;serif"/>
          <w:b w:val="false"/>
          <w:color w:val="000000"/>
          <w:sz w:val="22"/>
        </w:rPr>
        <w:t xml:space="preserve">means, with respect to the Company and the Russell 2000 Index (RUT,) the average of the closing market price of the Company’s common stock on the principal exchange on which it is traded and the average closing market price of the Russell 2000 Index (RUT,) respectively, for the thirty (30) consecutive trading days ending with the last day of the applicable Performance Period. As to a stock which goes ex-dividend during such 30-day period, the closing market prices as to such stock for the portion of the 30-day period preceding the ex-dividend date shall be equitably adjusted to exclude the amount of the related dividend. </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in the event of a Change in Control consummated on or prior to the last day of the applicable Performance Period, the Performance Period will be truncated and deemed completed as of the date immediately preceding the Change in Control and the Ending Price with respect to the Company shall equal the total value of the cash and non-cash consideration per Share pursuant to such Change in Control, without affecting the Vesting Date as defined in Section 2.2 above. Unless provided otherwise in an employment agreement or severance arrangement between the Company and Participant, the number of PSUs vesting (determined as provided in Sections 1 and 2, including the immediately preceding sentence) shall vest on the Vesting Date only if Participant has not had a Termination of Service prior thereto. </w:t>
      </w:r>
    </w:p>
    <w:p>
      <w:pPr>
        <w:pStyle w:val="TextBody"/>
        <w:bidi w:val="0"/>
        <w:spacing w:lineRule="auto" w:line="288" w:before="0" w:after="180"/>
        <w:ind w:left="0" w:right="0" w:hanging="432"/>
        <w:jc w:val="both"/>
        <w:rPr/>
      </w:pPr>
      <w:r>
        <w:rPr>
          <w:rFonts w:ascii="Times New Roman;serif" w:hAnsi="Times New Roman;serif"/>
          <w:b w:val="false"/>
          <w:color w:val="000000"/>
          <w:sz w:val="22"/>
        </w:rPr>
        <w:t>3.</w:t>
      </w:r>
      <w:r>
        <w:rPr>
          <w:rFonts w:ascii="Times New Roman;serif" w:hAnsi="Times New Roman;serif"/>
          <w:b/>
          <w:color w:val="000000"/>
          <w:sz w:val="22"/>
        </w:rPr>
        <w:t xml:space="preserve">Administration. </w:t>
      </w:r>
      <w:r>
        <w:rPr>
          <w:rFonts w:ascii="Times New Roman;serif" w:hAnsi="Times New Roman;serif"/>
          <w:b w:val="false"/>
          <w:color w:val="000000"/>
          <w:sz w:val="22"/>
        </w:rPr>
        <w:t>The Administrator shall have the exclusive power, authority and sole discretion to make all determinations that it deems necessary or appropriate to administer this PSU Award, including without limitation the determination of items defined in Section 2. Vesting of the PSUs is subject to the Administrator’s certification of the applicable Vesting Percentage and determination that all conditions for vesting have been met.</w:t>
      </w:r>
    </w:p>
    <w:p>
      <w:pPr>
        <w:pStyle w:val="TextBody"/>
        <w:bidi w:val="0"/>
        <w:spacing w:before="24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44015"/>
                <wp:effectExtent l="0" t="0" r="0" b="0"/>
                <wp:wrapNone/>
                <wp:docPr id="128" name="Frame128"/>
                <a:graphic xmlns:a="http://schemas.openxmlformats.org/drawingml/2006/main">
                  <a:graphicData uri="http://schemas.microsoft.com/office/word/2010/wordprocessingShape">
                    <wps:wsp>
                      <wps:cNvSpPr txBox="1"/>
                      <wps:spPr>
                        <a:xfrm>
                          <a:off x="0" y="0"/>
                          <a:ext cx="6480175" cy="1644015"/>
                        </a:xfrm>
                        <a:prstGeom prst="rect"/>
                        <a:solidFill>
                          <a:srgbClr val="FFFFFF"/>
                        </a:solidFill>
                      </wps:spPr>
                      <wps:txbx>
                        <w:txbxContent>
                          <w:p>
                            <w:pPr>
                              <w:pStyle w:val="TextBody"/>
                              <w:bidi w:val="0"/>
                              <w:spacing w:before="0" w:after="0"/>
                              <w:jc w:val="center"/>
                              <w:rPr/>
                            </w:pPr>
                            <w:r>
                              <w:rPr/>
                            </w:r>
                          </w:p>
                          <w:p>
                            <w:pPr>
                              <w:pStyle w:val="TextBody"/>
                              <w:bidi w:val="0"/>
                              <w:spacing w:before="180" w:after="283"/>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B-2</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180" w:after="283"/>
                        <w:jc w:val="center"/>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 B-2</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ARTERIS INC.</w:t>
      </w:r>
    </w:p>
    <w:p>
      <w:pPr>
        <w:pStyle w:val="TextBody"/>
        <w:bidi w:val="0"/>
        <w:spacing w:lineRule="auto" w:line="288" w:before="0" w:after="240"/>
        <w:jc w:val="center"/>
        <w:rPr>
          <w:rFonts w:ascii="Times New Roman;serif" w:hAnsi="Times New Roman;serif"/>
          <w:b/>
          <w:color w:val="000000"/>
          <w:sz w:val="21"/>
        </w:rPr>
      </w:pPr>
      <w:r>
        <w:rPr>
          <w:rFonts w:ascii="Times New Roman;serif" w:hAnsi="Times New Roman;serif"/>
          <w:b/>
          <w:color w:val="000000"/>
          <w:sz w:val="21"/>
        </w:rPr>
        <w:t>AMENDED AND RESTATED</w:t>
        <w:br/>
        <w:t>2022 EMPLOYMENT INDUCEMENT INCENTIVE PLAN</w:t>
      </w:r>
    </w:p>
    <w:p>
      <w:pPr>
        <w:pStyle w:val="TextBody"/>
        <w:bidi w:val="0"/>
        <w:spacing w:lineRule="auto" w:line="288" w:before="0" w:after="0"/>
        <w:ind w:left="0" w:right="0" w:firstLine="90"/>
        <w:jc w:val="center"/>
        <w:rPr>
          <w:rFonts w:ascii="Times New Roman;serif" w:hAnsi="Times New Roman;serif"/>
          <w:b/>
          <w:color w:val="000000"/>
          <w:sz w:val="21"/>
        </w:rPr>
      </w:pPr>
      <w:r>
        <w:rPr>
          <w:rFonts w:ascii="Times New Roman;serif" w:hAnsi="Times New Roman;serif"/>
          <w:b/>
          <w:color w:val="000000"/>
          <w:sz w:val="21"/>
        </w:rPr>
        <w:t>ARTICLE 1</w:t>
      </w:r>
    </w:p>
    <w:p>
      <w:pPr>
        <w:pStyle w:val="TextBody"/>
        <w:bidi w:val="0"/>
        <w:spacing w:lineRule="auto" w:line="288" w:before="0" w:after="240"/>
        <w:jc w:val="center"/>
        <w:rPr>
          <w:rFonts w:ascii="Times New Roman;serif" w:hAnsi="Times New Roman;serif"/>
          <w:b/>
          <w:color w:val="000000"/>
          <w:sz w:val="21"/>
        </w:rPr>
      </w:pPr>
      <w:r>
        <w:rPr>
          <w:rFonts w:ascii="Times New Roman;serif" w:hAnsi="Times New Roman;serif"/>
          <w:b/>
          <w:color w:val="000000"/>
          <w:sz w:val="21"/>
        </w:rPr>
        <w:t>PURPOSE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1"/>
        </w:rPr>
        <w:t>The purpose of the Plan, as amended on February 10, 2026, is to enhance the Company’s ability to attract, retain and motivate eligible employees, who are expected to make important contributions to the Company or any Subsidiaries, by providing these individuals with equity ownership opportunities.</w:t>
      </w:r>
    </w:p>
    <w:p>
      <w:pPr>
        <w:pStyle w:val="TextBody"/>
        <w:bidi w:val="0"/>
        <w:spacing w:lineRule="auto" w:line="288" w:before="0" w:after="240"/>
        <w:ind w:left="0" w:right="0" w:firstLine="180"/>
        <w:jc w:val="center"/>
        <w:rPr/>
      </w:pPr>
      <w:r>
        <w:rPr>
          <w:rFonts w:ascii="Times New Roman;serif" w:hAnsi="Times New Roman;serif"/>
          <w:b/>
          <w:color w:val="000000"/>
          <w:sz w:val="21"/>
        </w:rPr>
        <w:t>ARTICLE 2</w:t>
      </w:r>
      <w:r>
        <w:rPr>
          <w:rFonts w:ascii="Times New Roman;serif" w:hAnsi="Times New Roman;serif"/>
          <w:b/>
          <w:color w:val="000000"/>
          <w:sz w:val="21"/>
        </w:rPr>
        <w:br/>
        <w:t>DEFINITIONS</w:t>
      </w:r>
    </w:p>
    <w:p>
      <w:pPr>
        <w:pStyle w:val="TextBody"/>
        <w:bidi w:val="0"/>
        <w:spacing w:lineRule="auto" w:line="288" w:before="0" w:after="24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As used in the Plan, the following words and phrases have the meanings specified below, unless the context clearly indicates otherwise:</w:t>
      </w:r>
    </w:p>
    <w:p>
      <w:pPr>
        <w:pStyle w:val="TextBody"/>
        <w:bidi w:val="0"/>
        <w:spacing w:lineRule="auto" w:line="288" w:before="240" w:after="283"/>
        <w:ind w:left="0" w:right="0" w:firstLine="720"/>
        <w:jc w:val="both"/>
        <w:rPr/>
      </w:pPr>
      <w:r>
        <w:rPr>
          <w:rFonts w:ascii="Times New Roman;serif" w:hAnsi="Times New Roman;serif"/>
          <w:b w:val="false"/>
          <w:color w:val="000000"/>
          <w:sz w:val="21"/>
        </w:rPr>
        <w:t>2.1</w:t>
      </w:r>
      <w:r>
        <w:rPr>
          <w:color w:val="000000"/>
        </w:rPr>
        <w:t>“</w:t>
      </w:r>
      <w:r>
        <w:rPr>
          <w:rFonts w:ascii="Times New Roman;serif" w:hAnsi="Times New Roman;serif"/>
          <w:b/>
          <w:i/>
          <w:color w:val="000000"/>
          <w:sz w:val="21"/>
        </w:rPr>
        <w:t>Administrator</w:t>
      </w:r>
      <w:r>
        <w:rPr>
          <w:color w:val="000000"/>
        </w:rPr>
        <w:t xml:space="preserve">” </w:t>
      </w:r>
      <w:r>
        <w:rPr>
          <w:rFonts w:ascii="Times New Roman;serif" w:hAnsi="Times New Roman;serif"/>
          <w:b w:val="false"/>
          <w:color w:val="000000"/>
          <w:sz w:val="21"/>
        </w:rPr>
        <w:t xml:space="preserve">means the Board or the Committee. Any action taken by the Board as the Administrator in connection with the administration of the Plan shall not be deemed approved by the Board unless such actions are approved by a majority of the Non-Employee Directors of the Board.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2.2</w:t>
      </w:r>
      <w:r>
        <w:rPr>
          <w:color w:val="000000"/>
        </w:rPr>
        <w:t>“</w:t>
      </w:r>
      <w:r>
        <w:rPr>
          <w:rFonts w:ascii="Times New Roman;serif" w:hAnsi="Times New Roman;serif"/>
          <w:b/>
          <w:i/>
          <w:color w:val="000000"/>
          <w:sz w:val="21"/>
        </w:rPr>
        <w:t>Applicable Law</w:t>
      </w:r>
      <w:r>
        <w:rPr>
          <w:color w:val="000000"/>
        </w:rPr>
        <w:t xml:space="preserve">” </w:t>
      </w:r>
      <w:r>
        <w:rPr>
          <w:rFonts w:ascii="Times New Roman;serif" w:hAnsi="Times New Roman;serif"/>
          <w:b w:val="false"/>
          <w:color w:val="000000"/>
          <w:sz w:val="21"/>
        </w:rPr>
        <w:t>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2.3</w:t>
      </w:r>
      <w:r>
        <w:rPr>
          <w:color w:val="000000"/>
        </w:rPr>
        <w:t>“</w:t>
      </w:r>
      <w:r>
        <w:rPr>
          <w:rFonts w:ascii="Times New Roman;serif" w:hAnsi="Times New Roman;serif"/>
          <w:b/>
          <w:i/>
          <w:color w:val="000000"/>
          <w:sz w:val="21"/>
        </w:rPr>
        <w:t>Award</w:t>
      </w:r>
      <w:r>
        <w:rPr>
          <w:color w:val="000000"/>
        </w:rPr>
        <w:t xml:space="preserve">” </w:t>
      </w:r>
      <w:r>
        <w:rPr>
          <w:rFonts w:ascii="Times New Roman;serif" w:hAnsi="Times New Roman;serif"/>
          <w:b w:val="false"/>
          <w:color w:val="000000"/>
          <w:sz w:val="21"/>
        </w:rPr>
        <w:t>means an Option award, Stock Appreciation Right award, Restricted Stock award, Restricted Stock Unit award, Performance Bonus Award, Performance Stock Unit award, Dividend Equivalents award or Other Stock or Cash Based Award granted to a Participant under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2.4</w:t>
      </w:r>
      <w:r>
        <w:rPr>
          <w:color w:val="000000"/>
        </w:rPr>
        <w:t>“</w:t>
      </w:r>
      <w:r>
        <w:rPr>
          <w:rFonts w:ascii="Times New Roman;serif" w:hAnsi="Times New Roman;serif"/>
          <w:b/>
          <w:i/>
          <w:color w:val="000000"/>
          <w:sz w:val="21"/>
        </w:rPr>
        <w:t>Award Agreement</w:t>
      </w:r>
      <w:r>
        <w:rPr>
          <w:color w:val="000000"/>
        </w:rPr>
        <w:t xml:space="preserve">” </w:t>
      </w:r>
      <w:r>
        <w:rPr>
          <w:rFonts w:ascii="Times New Roman;serif" w:hAnsi="Times New Roman;serif"/>
          <w:b w:val="false"/>
          <w:color w:val="000000"/>
          <w:sz w:val="21"/>
        </w:rPr>
        <w:t>means an agreement evidencing an Award, which may be written or electronic, that contains such terms and conditions as the Administrator determines, consistent with and subject to the terms and conditions of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2.5</w:t>
      </w:r>
      <w:r>
        <w:rPr>
          <w:color w:val="000000"/>
        </w:rPr>
        <w:t>“</w:t>
      </w:r>
      <w:r>
        <w:rPr>
          <w:rFonts w:ascii="Times New Roman;serif" w:hAnsi="Times New Roman;serif"/>
          <w:b/>
          <w:i/>
          <w:color w:val="000000"/>
          <w:sz w:val="21"/>
        </w:rPr>
        <w:t>Board</w:t>
      </w:r>
      <w:r>
        <w:rPr>
          <w:color w:val="000000"/>
        </w:rPr>
        <w:t xml:space="preserve">” </w:t>
      </w:r>
      <w:r>
        <w:rPr>
          <w:rFonts w:ascii="Times New Roman;serif" w:hAnsi="Times New Roman;serif"/>
          <w:b w:val="false"/>
          <w:color w:val="000000"/>
          <w:sz w:val="21"/>
        </w:rPr>
        <w:t>means the Board of Directors of the Company.</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1"/>
        </w:rPr>
        <w:t>2.6</w:t>
      </w:r>
      <w:r>
        <w:rPr>
          <w:color w:val="000000"/>
        </w:rPr>
        <w:t>“</w:t>
      </w:r>
      <w:r>
        <w:rPr>
          <w:rFonts w:ascii="Times New Roman;serif" w:hAnsi="Times New Roman;serif"/>
          <w:b/>
          <w:i/>
          <w:color w:val="000000"/>
          <w:sz w:val="21"/>
        </w:rPr>
        <w:t>Cause</w:t>
      </w:r>
      <w:r>
        <w:rPr>
          <w:color w:val="000000"/>
        </w:rPr>
        <w:t xml:space="preserve">” </w:t>
      </w:r>
      <w:r>
        <w:rPr>
          <w:rFonts w:ascii="Times New Roman;serif" w:hAnsi="Times New Roman;serif"/>
          <w:b w:val="false"/>
          <w:color w:val="000000"/>
          <w:sz w:val="21"/>
        </w:rPr>
        <w:t xml:space="preserve">shall have the meaning ascribed to such term, or term of similar effect, in any offer letter, employment, severance or similar agreement, including any Award Agreement, between the Participant and the Company; provided, that in the absence of an offer letter, employment, severance or similar agreement containing such definition, “Cause” means, with respect to a Participant, the occurrence of any of the following: (a) the Participant’s commission of any crime involving fraud, dishonesty or moral turpitude; (b) the Participant’s attempted commission of or participation in a fraud or act of dishonesty against the Company that results in (or might have reasonably resulted in) material harm to the business of the Company; (c) the Participant’s material violation of any contract or agreement between the Participant and the Company or any Subsidiary or any statutory duty the Participant owes to the Company or any Subsidiary; (d) the Participant’s conduct that constitutes gross insubordination, incompetence or habitual neglect of duties and that results in (or might have reasonably resulted in) material harm to the business of the Company; or (e) the Participant’s failure to perform his/her assigned duties and responsibilities to the reasonable satisfaction of the Company which failure continues, in the reasonable judgment of the Company, after written notice given to the Participant by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72"/>
        <w:jc w:val="both"/>
        <w:rPr/>
      </w:pPr>
      <w:r>
        <w:rPr>
          <w:rFonts w:ascii="Times New Roman;serif" w:hAnsi="Times New Roman;serif"/>
          <w:b w:val="false"/>
          <w:color w:val="000000"/>
          <w:sz w:val="21"/>
        </w:rPr>
        <w:t>2.7</w:t>
      </w:r>
      <w:r>
        <w:rPr>
          <w:color w:val="000000"/>
        </w:rPr>
        <w:t>“</w:t>
      </w:r>
      <w:r>
        <w:rPr>
          <w:rFonts w:ascii="Times New Roman;serif" w:hAnsi="Times New Roman;serif"/>
          <w:b/>
          <w:i/>
          <w:color w:val="000000"/>
          <w:sz w:val="21"/>
        </w:rPr>
        <w:t>Change in Control</w:t>
      </w:r>
      <w:r>
        <w:rPr>
          <w:color w:val="000000"/>
        </w:rPr>
        <w:t xml:space="preserve">” </w:t>
      </w:r>
      <w:r>
        <w:rPr>
          <w:rFonts w:ascii="Times New Roman;serif" w:hAnsi="Times New Roman;serif"/>
          <w:b w:val="false"/>
          <w:color w:val="000000"/>
          <w:sz w:val="21"/>
        </w:rPr>
        <w:t>means any of the following:</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(a)</w:t>
      </w:r>
      <w:r>
        <w:rPr>
          <w:rFonts w:ascii="Times New Roman;serif" w:hAnsi="Times New Roman;serif"/>
          <w:b w:val="false"/>
          <w:color w:val="000000"/>
          <w:sz w:val="21"/>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2.7(c)(i), 2.7(c)(ii) and 2.7(c)(iii); or (iv) in respect of an Award held by a particular Participant, any acquisition by the Participant or any group of persons including the Participant (or any entity controlled by the Participant or any group of persons including the Participant);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(b)</w:t>
      </w:r>
      <w:r>
        <w:rPr>
          <w:rFonts w:ascii="Times New Roman;serif" w:hAnsi="Times New Roman;serif"/>
          <w:b w:val="false"/>
          <w:color w:val="000000"/>
          <w:sz w:val="21"/>
        </w:rPr>
        <w:t xml:space="preserve">The Incumbent Directors cease for any reason to constitute a majority of the Board;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(c)</w:t>
      </w:r>
      <w:r>
        <w:rPr>
          <w:rFonts w:ascii="Times New Roman;serif" w:hAnsi="Times New Roman;serif"/>
          <w:b w:val="false"/>
          <w:color w:val="000000"/>
          <w:sz w:val="21"/>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(i)which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serif" w:hAnsi="Times New Roman;serif"/>
          <w:b/>
          <w:i/>
          <w:color w:val="000000"/>
          <w:sz w:val="21"/>
        </w:rPr>
        <w:t>Successor Entity</w:t>
      </w:r>
      <w:r>
        <w:rPr>
          <w:color w:val="000000"/>
        </w:rPr>
        <w:t>”</w:t>
      </w:r>
      <w:r>
        <w:rPr>
          <w:rFonts w:ascii="Times New Roman;serif" w:hAnsi="Times New Roman;serif"/>
          <w:b w:val="false"/>
          <w:color w:val="000000"/>
          <w:sz w:val="21"/>
        </w:rPr>
        <w:t>)) directly or indirectly, at least a majority of the combined voting power of the Successor Entity’s outstanding voting securities immediately after the transaction;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(ii)after which no person or group beneficially owns voting securities representing 50% or more of the combined voting power of the Successor Entity; provided</w:t>
      </w:r>
      <w:r>
        <w:rPr>
          <w:rFonts w:ascii="Times New Roman;serif" w:hAnsi="Times New Roman;serif"/>
          <w:b w:val="false"/>
          <w:i/>
          <w:color w:val="000000"/>
          <w:sz w:val="21"/>
        </w:rPr>
        <w:t xml:space="preserve">, </w:t>
      </w:r>
      <w:r>
        <w:rPr>
          <w:rFonts w:ascii="Times New Roman;serif" w:hAnsi="Times New Roman;serif"/>
          <w:b w:val="false"/>
          <w:color w:val="000000"/>
          <w:sz w:val="21"/>
        </w:rPr>
        <w:t xml:space="preserve">however, that no person or group shall be treated for purposes of this Section 2.7.(c)(ii) as beneficially owning 50% or more of the combined voting power of the Successor Entity solely as a result of the voting power held in the Company prior to the consummation of the transaction; and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(iii)after which at least a majority of the members of the board of directors (or the analogous governing body) of the Successor Entity were Board members at the time of the Board’s approval of the execution of the initial agreement providing for such transaction; or</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1"/>
        </w:rPr>
        <w:t>(d)</w:t>
      </w:r>
      <w:r>
        <w:rPr>
          <w:rFonts w:ascii="Times New Roman;serif" w:hAnsi="Times New Roman;serif"/>
          <w:b w:val="false"/>
          <w:color w:val="000000"/>
          <w:sz w:val="21"/>
        </w:rPr>
        <w:t>The completion of a liquidation or dissolution of the Company.</w:t>
      </w:r>
    </w:p>
    <w:p>
      <w:pPr>
        <w:pStyle w:val="TextBody"/>
        <w:bidi w:val="0"/>
        <w:spacing w:lineRule="auto" w:line="288" w:before="0" w:after="240"/>
        <w:jc w:val="both"/>
        <w:rPr>
          <w:rFonts w:ascii="Times New Roman;serif" w:hAnsi="Times New Roman;serif"/>
          <w:b w:val="false"/>
          <w:color w:val="000000"/>
          <w:sz w:val="21"/>
        </w:rPr>
      </w:pPr>
      <w:r>
        <w:rPr>
          <w:rFonts w:ascii="Times New Roman;serif" w:hAnsi="Times New Roman;serif"/>
          <w:b w:val="false"/>
          <w:color w:val="000000"/>
          <w:sz w:val="21"/>
        </w:rPr>
        <w:t xml:space="preserve">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of this Section 2.7 with respect to such Award (or portion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1"/>
        </w:rPr>
      </w:pPr>
      <w:r>
        <w:rPr>
          <w:rFonts w:ascii="Times New Roman;serif" w:hAnsi="Times New Roman;serif"/>
          <w:b w:val="false"/>
          <w:color w:val="000000"/>
          <w:sz w:val="21"/>
        </w:rPr>
        <w:t>shall only constitute a Change in Control for purposes of the payment timing of such Award if such transaction also constitutes a “change in control event,” as defined in Treasury Regulation Section 1.409A-3(i)(5).</w:t>
      </w:r>
    </w:p>
    <w:p>
      <w:pPr>
        <w:pStyle w:val="TextBody"/>
        <w:bidi w:val="0"/>
        <w:spacing w:lineRule="auto" w:line="288" w:before="0" w:after="240"/>
        <w:jc w:val="both"/>
        <w:rPr>
          <w:rFonts w:ascii="Times New Roman;serif" w:hAnsi="Times New Roman;serif"/>
          <w:b w:val="false"/>
          <w:color w:val="000000"/>
          <w:sz w:val="21"/>
        </w:rPr>
      </w:pPr>
      <w:r>
        <w:rPr>
          <w:rFonts w:ascii="Times New Roman;serif" w:hAnsi="Times New Roman;serif"/>
          <w:b w:val="false"/>
          <w:color w:val="000000"/>
          <w:sz w:val="21"/>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lineRule="auto" w:line="288" w:before="0" w:after="0"/>
        <w:ind w:left="0" w:right="0" w:firstLine="720"/>
        <w:jc w:val="both"/>
        <w:rPr/>
      </w:pPr>
      <w:r>
        <w:rPr>
          <w:rFonts w:ascii="Times New Roman;serif" w:hAnsi="Times New Roman;serif"/>
          <w:b w:val="false"/>
          <w:color w:val="000000"/>
          <w:sz w:val="21"/>
        </w:rPr>
        <w:t>2.8</w:t>
      </w:r>
      <w:r>
        <w:rPr>
          <w:color w:val="000000"/>
        </w:rPr>
        <w:t>“</w:t>
      </w:r>
      <w:r>
        <w:rPr>
          <w:rFonts w:ascii="Times New Roman;serif" w:hAnsi="Times New Roman;serif"/>
          <w:b/>
          <w:i/>
          <w:color w:val="000000"/>
          <w:sz w:val="21"/>
        </w:rPr>
        <w:t>Code</w:t>
      </w:r>
      <w:r>
        <w:rPr>
          <w:color w:val="000000"/>
        </w:rPr>
        <w:t xml:space="preserve">” </w:t>
      </w:r>
      <w:r>
        <w:rPr>
          <w:rFonts w:ascii="Times New Roman;serif" w:hAnsi="Times New Roman;serif"/>
          <w:b w:val="false"/>
          <w:color w:val="000000"/>
          <w:sz w:val="21"/>
        </w:rPr>
        <w:t>means the U.S. Internal Revenue Code of 1986, as amended, and all regulations, guidance, compliance programs and other interpretative authority issued thereunder.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2.9</w:t>
      </w:r>
      <w:r>
        <w:rPr>
          <w:color w:val="000000"/>
        </w:rPr>
        <w:t>”</w:t>
      </w:r>
      <w:r>
        <w:rPr>
          <w:rFonts w:ascii="Times New Roman;serif" w:hAnsi="Times New Roman;serif"/>
          <w:b/>
          <w:i/>
          <w:color w:val="000000"/>
          <w:sz w:val="21"/>
        </w:rPr>
        <w:t>Committee</w:t>
      </w:r>
      <w:r>
        <w:rPr>
          <w:color w:val="000000"/>
        </w:rPr>
        <w:t xml:space="preserve">” </w:t>
      </w:r>
      <w:r>
        <w:rPr>
          <w:rFonts w:ascii="Times New Roman;serif" w:hAnsi="Times New Roman;serif"/>
          <w:b w:val="false"/>
          <w:color w:val="000000"/>
          <w:sz w:val="21"/>
        </w:rPr>
        <w:t xml:space="preserve">means the Compensation Committee of the Board.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2.10</w:t>
      </w:r>
      <w:r>
        <w:rPr>
          <w:color w:val="000000"/>
        </w:rPr>
        <w:t>“</w:t>
      </w:r>
      <w:r>
        <w:rPr>
          <w:rFonts w:ascii="Times New Roman;serif" w:hAnsi="Times New Roman;serif"/>
          <w:b/>
          <w:i/>
          <w:color w:val="000000"/>
          <w:sz w:val="21"/>
        </w:rPr>
        <w:t>Common Stock</w:t>
      </w:r>
      <w:r>
        <w:rPr>
          <w:color w:val="000000"/>
        </w:rPr>
        <w:t xml:space="preserve">” </w:t>
      </w:r>
      <w:r>
        <w:rPr>
          <w:rFonts w:ascii="Times New Roman;serif" w:hAnsi="Times New Roman;serif"/>
          <w:b w:val="false"/>
          <w:color w:val="000000"/>
          <w:sz w:val="21"/>
        </w:rPr>
        <w:t xml:space="preserve">means the common stock of the Company.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2.11</w:t>
      </w:r>
      <w:r>
        <w:rPr>
          <w:color w:val="000000"/>
        </w:rPr>
        <w:t>“</w:t>
      </w:r>
      <w:r>
        <w:rPr>
          <w:rFonts w:ascii="Times New Roman;serif" w:hAnsi="Times New Roman;serif"/>
          <w:b/>
          <w:i/>
          <w:color w:val="000000"/>
          <w:sz w:val="21"/>
        </w:rPr>
        <w:t>Company</w:t>
      </w:r>
      <w:r>
        <w:rPr>
          <w:color w:val="000000"/>
        </w:rPr>
        <w:t xml:space="preserve">” </w:t>
      </w:r>
      <w:r>
        <w:rPr>
          <w:rFonts w:ascii="Times New Roman;serif" w:hAnsi="Times New Roman;serif"/>
          <w:b w:val="false"/>
          <w:color w:val="000000"/>
          <w:sz w:val="21"/>
        </w:rPr>
        <w:t>means Arteris Inc., a Delaware corporation, or any successor.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2.12</w:t>
      </w:r>
      <w:r>
        <w:rPr>
          <w:color w:val="000000"/>
        </w:rPr>
        <w:t xml:space="preserve"> “</w:t>
      </w:r>
      <w:r>
        <w:rPr>
          <w:rFonts w:ascii="Times New Roman;serif" w:hAnsi="Times New Roman;serif"/>
          <w:b/>
          <w:i/>
          <w:color w:val="000000"/>
          <w:sz w:val="21"/>
        </w:rPr>
        <w:t>Designated Beneficiary</w:t>
      </w:r>
      <w:r>
        <w:rPr>
          <w:color w:val="000000"/>
        </w:rPr>
        <w:t xml:space="preserve">” </w:t>
      </w:r>
      <w:r>
        <w:rPr>
          <w:rFonts w:ascii="Times New Roman;serif" w:hAnsi="Times New Roman;serif"/>
          <w:b w:val="false"/>
          <w:color w:val="000000"/>
          <w:sz w:val="21"/>
        </w:rPr>
        <w:t>means, if permitted by the Company,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 or legal heirs.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2.13</w:t>
      </w:r>
      <w:r>
        <w:rPr>
          <w:color w:val="000000"/>
        </w:rPr>
        <w:t xml:space="preserve"> “</w:t>
      </w:r>
      <w:r>
        <w:rPr>
          <w:rFonts w:ascii="Times New Roman;serif" w:hAnsi="Times New Roman;serif"/>
          <w:b/>
          <w:i/>
          <w:color w:val="000000"/>
          <w:sz w:val="21"/>
        </w:rPr>
        <w:t>Disability</w:t>
      </w:r>
      <w:r>
        <w:rPr>
          <w:color w:val="000000"/>
        </w:rPr>
        <w:t xml:space="preserve">” </w:t>
      </w:r>
      <w:r>
        <w:rPr>
          <w:rFonts w:ascii="Times New Roman;serif" w:hAnsi="Times New Roman;serif"/>
          <w:b w:val="false"/>
          <w:color w:val="000000"/>
          <w:sz w:val="21"/>
        </w:rPr>
        <w:t>means a permanent and total disability under Section 22(e)(3) of the Code.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2.14</w:t>
      </w:r>
      <w:r>
        <w:rPr>
          <w:color w:val="000000"/>
        </w:rPr>
        <w:t>“</w:t>
      </w:r>
      <w:r>
        <w:rPr>
          <w:rFonts w:ascii="Times New Roman;serif" w:hAnsi="Times New Roman;serif"/>
          <w:b/>
          <w:i/>
          <w:color w:val="000000"/>
          <w:sz w:val="21"/>
        </w:rPr>
        <w:t>Dividend Equivalents</w:t>
      </w:r>
      <w:r>
        <w:rPr>
          <w:color w:val="000000"/>
        </w:rPr>
        <w:t xml:space="preserve">” </w:t>
      </w:r>
      <w:r>
        <w:rPr>
          <w:rFonts w:ascii="Times New Roman;serif" w:hAnsi="Times New Roman;serif"/>
          <w:b w:val="false"/>
          <w:color w:val="000000"/>
          <w:sz w:val="21"/>
        </w:rPr>
        <w:t>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2.15</w:t>
      </w:r>
      <w:r>
        <w:rPr>
          <w:color w:val="000000"/>
        </w:rPr>
        <w:t>“</w:t>
      </w:r>
      <w:r>
        <w:rPr>
          <w:rFonts w:ascii="Times New Roman;serif" w:hAnsi="Times New Roman;serif"/>
          <w:b/>
          <w:i/>
          <w:color w:val="000000"/>
          <w:sz w:val="21"/>
        </w:rPr>
        <w:t>DRO</w:t>
      </w:r>
      <w:r>
        <w:rPr>
          <w:color w:val="000000"/>
        </w:rPr>
        <w:t xml:space="preserve">” </w:t>
      </w:r>
      <w:r>
        <w:rPr>
          <w:rFonts w:ascii="Times New Roman;serif" w:hAnsi="Times New Roman;serif"/>
          <w:b w:val="false"/>
          <w:color w:val="000000"/>
          <w:sz w:val="21"/>
        </w:rPr>
        <w:t>means a “domestic relations order” as defined by the Code or Title I of the Employee Retirement Income Security Act of 1974, as amended, or the rules thereunder.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2.16</w:t>
      </w:r>
      <w:r>
        <w:rPr>
          <w:color w:val="000000"/>
        </w:rPr>
        <w:t>“</w:t>
      </w:r>
      <w:r>
        <w:rPr>
          <w:rFonts w:ascii="Times New Roman;serif" w:hAnsi="Times New Roman;serif"/>
          <w:b/>
          <w:i/>
          <w:color w:val="000000"/>
          <w:sz w:val="21"/>
        </w:rPr>
        <w:t>Eligible</w:t>
      </w:r>
      <w:r>
        <w:rPr>
          <w:color w:val="000000"/>
        </w:rPr>
        <w:t xml:space="preserve"> </w:t>
      </w:r>
      <w:r>
        <w:rPr>
          <w:rFonts w:ascii="Times New Roman;serif" w:hAnsi="Times New Roman;serif"/>
          <w:b/>
          <w:i/>
          <w:color w:val="000000"/>
          <w:sz w:val="21"/>
        </w:rPr>
        <w:t>Employee</w:t>
      </w:r>
      <w:r>
        <w:rPr>
          <w:color w:val="000000"/>
        </w:rPr>
        <w:t xml:space="preserve">” </w:t>
      </w:r>
      <w:r>
        <w:rPr>
          <w:rFonts w:ascii="Times New Roman;serif" w:hAnsi="Times New Roman;serif"/>
          <w:b w:val="false"/>
          <w:color w:val="000000"/>
          <w:sz w:val="21"/>
        </w:rPr>
        <w:t>means any Employee who has not previously been an employee or director of the Company or any of its Subsidiaries, or is commencing employment with the Company or a Subsidiary following a bona fide period of non-employment by the Company or a Subsidiary, if he or she is granted an award in connection with his or her commencement of employment with the Company or a Subsidiary and such grant is an inducement material to his or her entering into employment with the Company or a Subsidiary. The Administrator may in its discretion adopt procedures from time to time to ensure that an Employee is eligible to participate in the Plan prior to the granting of any awards to such Employee under the Plan (including, without limitation, a requirement, that each such Employee certify to the Company prior to the receipt of an award under the Plan that he or she has not been previously employed by the Company or a Subsidiary, or if previously employed, has had a bona fide period of non-employment, and that the grant of an award under the Plan is an inducement material to her or her agreement to enter into employment with the Company or a Subsidiary).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2.17</w:t>
      </w:r>
      <w:r>
        <w:rPr>
          <w:color w:val="000000"/>
        </w:rPr>
        <w:t>“</w:t>
      </w:r>
      <w:r>
        <w:rPr>
          <w:rFonts w:ascii="Times New Roman;serif" w:hAnsi="Times New Roman;serif"/>
          <w:b/>
          <w:i/>
          <w:color w:val="000000"/>
          <w:sz w:val="21"/>
        </w:rPr>
        <w:t>Employee</w:t>
      </w:r>
      <w:r>
        <w:rPr>
          <w:color w:val="000000"/>
        </w:rPr>
        <w:t xml:space="preserve">” </w:t>
      </w:r>
      <w:r>
        <w:rPr>
          <w:rFonts w:ascii="Times New Roman;serif" w:hAnsi="Times New Roman;serif"/>
          <w:b w:val="false"/>
          <w:color w:val="000000"/>
          <w:sz w:val="21"/>
        </w:rPr>
        <w:t>means any person, including officers, providing services as an employee to the Company or any of its Subsidiaries. Neither service as a Non-Employee Director nor payment of a director’s fee by the Company will be sufficient to constitute “employment” by the Company.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1"/>
        </w:rPr>
        <w:t>2.18</w:t>
      </w:r>
      <w:r>
        <w:rPr>
          <w:color w:val="000000"/>
        </w:rPr>
        <w:t>“</w:t>
      </w:r>
      <w:r>
        <w:rPr>
          <w:rFonts w:ascii="Times New Roman;serif" w:hAnsi="Times New Roman;serif"/>
          <w:b/>
          <w:i/>
          <w:color w:val="000000"/>
          <w:sz w:val="21"/>
        </w:rPr>
        <w:t>Equity Restructuring</w:t>
      </w:r>
      <w:r>
        <w:rPr>
          <w:color w:val="000000"/>
        </w:rPr>
        <w:t xml:space="preserve">” </w:t>
      </w:r>
      <w:r>
        <w:rPr>
          <w:rFonts w:ascii="Times New Roman;serif" w:hAnsi="Times New Roman;serif"/>
          <w:b w:val="false"/>
          <w:color w:val="000000"/>
          <w:sz w:val="21"/>
        </w:rPr>
        <w:t>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2.19</w:t>
      </w:r>
      <w:r>
        <w:rPr>
          <w:color w:val="000000"/>
        </w:rPr>
        <w:t>“</w:t>
      </w:r>
      <w:r>
        <w:rPr>
          <w:rFonts w:ascii="Times New Roman;serif" w:hAnsi="Times New Roman;serif"/>
          <w:b/>
          <w:i/>
          <w:color w:val="000000"/>
          <w:sz w:val="21"/>
        </w:rPr>
        <w:t>Exchange Act</w:t>
      </w:r>
      <w:r>
        <w:rPr>
          <w:color w:val="000000"/>
        </w:rPr>
        <w:t xml:space="preserve">” </w:t>
      </w:r>
      <w:r>
        <w:rPr>
          <w:rFonts w:ascii="Times New Roman;serif" w:hAnsi="Times New Roman;serif"/>
          <w:b w:val="false"/>
          <w:color w:val="000000"/>
          <w:sz w:val="21"/>
        </w:rPr>
        <w:t>means the U.S. Securities Exchange Act of 1934, as amended, and all regulations, guidance and other interpretative authority issued thereunder.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2.20</w:t>
      </w:r>
      <w:r>
        <w:rPr>
          <w:color w:val="000000"/>
        </w:rPr>
        <w:t>“</w:t>
      </w:r>
      <w:r>
        <w:rPr>
          <w:rFonts w:ascii="Times New Roman;serif" w:hAnsi="Times New Roman;serif"/>
          <w:b/>
          <w:i/>
          <w:color w:val="000000"/>
          <w:sz w:val="21"/>
        </w:rPr>
        <w:t>Fair Market Value</w:t>
      </w:r>
      <w:r>
        <w:rPr>
          <w:color w:val="000000"/>
        </w:rPr>
        <w:t xml:space="preserve">” </w:t>
      </w:r>
      <w:r>
        <w:rPr>
          <w:rFonts w:ascii="Times New Roman;serif" w:hAnsi="Times New Roman;serif"/>
          <w:b w:val="false"/>
          <w:color w:val="000000"/>
          <w:sz w:val="21"/>
        </w:rPr>
        <w:t xml:space="preserve">means, as of any date, the value of a Share determined as follows: (i) if the Common Stock is listed on any established stock exchange, the value of a Share will be the closing sales price for a Share as quoted on such exchange for such date, or if no sale occurred on such date, the last day preceding such date during which a sale occurred, as reported in </w:t>
      </w:r>
      <w:r>
        <w:rPr>
          <w:rFonts w:ascii="Times New Roman;serif" w:hAnsi="Times New Roman;serif"/>
          <w:b w:val="false"/>
          <w:i/>
          <w:color w:val="000000"/>
          <w:sz w:val="21"/>
        </w:rPr>
        <w:t>The Wall Street Journal</w:t>
      </w:r>
      <w:r>
        <w:rPr>
          <w:color w:val="000000"/>
        </w:rPr>
        <w:t xml:space="preserve"> </w:t>
      </w:r>
      <w:r>
        <w:rPr>
          <w:rFonts w:ascii="Times New Roman;serif" w:hAnsi="Times New Roman;serif"/>
          <w:b w:val="false"/>
          <w:color w:val="000000"/>
          <w:sz w:val="21"/>
        </w:rPr>
        <w:t xml:space="preserve">or another source the Administrator deems reliable; (ii) if the Common Stock is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w:t>
      </w:r>
      <w:r>
        <w:rPr>
          <w:rFonts w:ascii="Times New Roman;serif" w:hAnsi="Times New Roman;serif"/>
          <w:b w:val="false"/>
          <w:i/>
          <w:color w:val="000000"/>
          <w:sz w:val="21"/>
        </w:rPr>
        <w:t>The Wall Street Journal</w:t>
      </w:r>
      <w:r>
        <w:rPr>
          <w:color w:val="000000"/>
        </w:rPr>
        <w:t xml:space="preserve"> </w:t>
      </w:r>
      <w:r>
        <w:rPr>
          <w:rFonts w:ascii="Times New Roman;serif" w:hAnsi="Times New Roman;serif"/>
          <w:b w:val="false"/>
          <w:color w:val="000000"/>
          <w:sz w:val="21"/>
        </w:rPr>
        <w:t xml:space="preserve">or another source the Administrator deems reliable; or (iii) if the Common Stock is not listed on any established stock exchange or quoted on a national market or other quotation system, the value established by the Administrator in its sole discretion.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2.21</w:t>
      </w:r>
      <w:r>
        <w:rPr>
          <w:color w:val="000000"/>
        </w:rPr>
        <w:t>“</w:t>
      </w:r>
      <w:r>
        <w:rPr>
          <w:rFonts w:ascii="Times New Roman;serif" w:hAnsi="Times New Roman;serif"/>
          <w:b/>
          <w:i/>
          <w:color w:val="000000"/>
          <w:sz w:val="21"/>
        </w:rPr>
        <w:t>Good Reason</w:t>
      </w:r>
      <w:r>
        <w:rPr>
          <w:color w:val="000000"/>
        </w:rPr>
        <w:t xml:space="preserve">” </w:t>
      </w:r>
      <w:r>
        <w:rPr>
          <w:rFonts w:ascii="Times New Roman;serif" w:hAnsi="Times New Roman;serif"/>
          <w:b w:val="false"/>
          <w:color w:val="000000"/>
          <w:sz w:val="21"/>
        </w:rPr>
        <w:t>shall have the meaning ascribed to such term, or term of similar effect, in any offer letter, employment, severance or similar agreement, including any Award Agreement, between the Participant and the Company or any Subsidiary; provided, that in the absence of an offer letter, employment, severance or similar agreement containing such definition, Good Reason means the occurrence of one or more of the following without the Participant’s consent: (i) a material diminution in the Participant’s base salary, except for across-the-board salary reductions similarly affecting all or substantially all similarly situated employees of the Company or any Subsidiary, or (ii) a change of more than 50 miles in the geographic location at which the Participant provides services to the Company, except for such reasonable travel as required to perform the Participant’s duties to the Company or any Subsidiary and unless such change or relocation is set forth in an offer letter, employment agreement or similar agreement entered into between Participant and the Company or any Subsidiary prior to a Change in Control, or otherwise agreed by the Company (or any Subsidiary) and the Participant. In order to establish Good Reason, the Participant must provide the Administrator with notice of the event giving rise to Good Reason within 90 days of the initial occurrence of such event, the event shall remain uncured 30 days thereafter and the Participant must actually terminate services within 30 days following the end of such cure period.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2.22</w:t>
      </w:r>
      <w:r>
        <w:rPr>
          <w:color w:val="000000"/>
        </w:rPr>
        <w:t>“</w:t>
      </w:r>
      <w:r>
        <w:rPr>
          <w:rFonts w:ascii="Times New Roman;serif" w:hAnsi="Times New Roman;serif"/>
          <w:b/>
          <w:i/>
          <w:color w:val="000000"/>
          <w:sz w:val="21"/>
        </w:rPr>
        <w:t>Incumbent Directors”</w:t>
      </w:r>
      <w:r>
        <w:rPr>
          <w:color w:val="000000"/>
        </w:rPr>
        <w:t xml:space="preserve"> </w:t>
      </w:r>
      <w:r>
        <w:rPr>
          <w:rFonts w:ascii="Times New Roman;serif" w:hAnsi="Times New Roman;serif"/>
          <w:b w:val="false"/>
          <w:color w:val="000000"/>
          <w:sz w:val="21"/>
        </w:rPr>
        <w:t>means,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clause (a) or (c) of the Change in Control definition)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2.23</w:t>
      </w:r>
      <w:r>
        <w:rPr>
          <w:color w:val="000000"/>
        </w:rPr>
        <w:t>“</w:t>
      </w:r>
      <w:r>
        <w:rPr>
          <w:rFonts w:ascii="Times New Roman;serif" w:hAnsi="Times New Roman;serif"/>
          <w:b/>
          <w:i/>
          <w:color w:val="000000"/>
          <w:sz w:val="21"/>
        </w:rPr>
        <w:t>Non-Employee</w:t>
      </w:r>
      <w:r>
        <w:rPr>
          <w:color w:val="000000"/>
        </w:rPr>
        <w:t xml:space="preserve"> </w:t>
      </w:r>
      <w:r>
        <w:rPr>
          <w:rFonts w:ascii="Times New Roman;serif" w:hAnsi="Times New Roman;serif"/>
          <w:b/>
          <w:i/>
          <w:color w:val="000000"/>
          <w:sz w:val="21"/>
        </w:rPr>
        <w:t>Directo</w:t>
      </w:r>
      <w:r>
        <w:rPr>
          <w:rFonts w:ascii="Times New Roman;serif" w:hAnsi="Times New Roman;serif"/>
          <w:b w:val="false"/>
          <w:i/>
          <w:color w:val="000000"/>
          <w:sz w:val="21"/>
        </w:rPr>
        <w:t>r</w:t>
      </w:r>
      <w:r>
        <w:rPr>
          <w:color w:val="000000"/>
        </w:rPr>
        <w:t xml:space="preserve">” </w:t>
      </w:r>
      <w:r>
        <w:rPr>
          <w:rFonts w:ascii="Times New Roman;serif" w:hAnsi="Times New Roman;serif"/>
          <w:b w:val="false"/>
          <w:color w:val="000000"/>
          <w:sz w:val="21"/>
        </w:rPr>
        <w:t xml:space="preserve">means a member of the Board who is not an Employee.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1"/>
        </w:rPr>
        <w:t>2.24</w:t>
      </w:r>
      <w:r>
        <w:rPr>
          <w:color w:val="000000"/>
        </w:rPr>
        <w:t>“</w:t>
      </w:r>
      <w:r>
        <w:rPr>
          <w:rFonts w:ascii="Times New Roman;serif" w:hAnsi="Times New Roman;serif"/>
          <w:b/>
          <w:i/>
          <w:color w:val="000000"/>
          <w:sz w:val="21"/>
        </w:rPr>
        <w:t>Nonqualified Stock Option</w:t>
      </w:r>
      <w:r>
        <w:rPr>
          <w:color w:val="000000"/>
        </w:rPr>
        <w:t xml:space="preserve">” </w:t>
      </w:r>
      <w:r>
        <w:rPr>
          <w:rFonts w:ascii="Times New Roman;serif" w:hAnsi="Times New Roman;serif"/>
          <w:b w:val="false"/>
          <w:color w:val="000000"/>
          <w:sz w:val="21"/>
        </w:rPr>
        <w:t xml:space="preserve">means an Option that is not an Incentive Stock Option.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2.25</w:t>
      </w:r>
      <w:r>
        <w:rPr>
          <w:color w:val="000000"/>
        </w:rPr>
        <w:t>“</w:t>
      </w:r>
      <w:r>
        <w:rPr>
          <w:rFonts w:ascii="Times New Roman;serif" w:hAnsi="Times New Roman;serif"/>
          <w:b/>
          <w:i/>
          <w:color w:val="000000"/>
          <w:sz w:val="21"/>
        </w:rPr>
        <w:t>Option</w:t>
      </w:r>
      <w:r>
        <w:rPr>
          <w:color w:val="000000"/>
        </w:rPr>
        <w:t xml:space="preserve">” </w:t>
      </w:r>
      <w:r>
        <w:rPr>
          <w:rFonts w:ascii="Times New Roman;serif" w:hAnsi="Times New Roman;serif"/>
          <w:b w:val="false"/>
          <w:color w:val="000000"/>
          <w:sz w:val="21"/>
        </w:rPr>
        <w:t>means a right granted under Article VI to purchase a specified number of Shares at a specified price per Share during a specified time period. An Option shall be a Nonqualified Stock Option.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2.26</w:t>
      </w:r>
      <w:r>
        <w:rPr>
          <w:color w:val="000000"/>
        </w:rPr>
        <w:t>“</w:t>
      </w:r>
      <w:r>
        <w:rPr>
          <w:rFonts w:ascii="Times New Roman;serif" w:hAnsi="Times New Roman;serif"/>
          <w:b/>
          <w:i/>
          <w:color w:val="000000"/>
          <w:sz w:val="21"/>
        </w:rPr>
        <w:t>Other Stock or Cash Based Awards</w:t>
      </w:r>
      <w:r>
        <w:rPr>
          <w:color w:val="000000"/>
        </w:rPr>
        <w:t xml:space="preserve">” </w:t>
      </w:r>
      <w:r>
        <w:rPr>
          <w:rFonts w:ascii="Times New Roman;serif" w:hAnsi="Times New Roman;serif"/>
          <w:b w:val="false"/>
          <w:color w:val="000000"/>
          <w:sz w:val="21"/>
        </w:rPr>
        <w:t>means cash awards, awards of Shares, and other awards valued wholly or partially by referring to, or are otherwise based on, Shares or other property.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2.27</w:t>
      </w:r>
      <w:r>
        <w:rPr>
          <w:color w:val="000000"/>
        </w:rPr>
        <w:t>“</w:t>
      </w:r>
      <w:r>
        <w:rPr>
          <w:rFonts w:ascii="Times New Roman;serif" w:hAnsi="Times New Roman;serif"/>
          <w:b/>
          <w:i/>
          <w:color w:val="000000"/>
          <w:sz w:val="21"/>
        </w:rPr>
        <w:t>Participant</w:t>
      </w:r>
      <w:r>
        <w:rPr>
          <w:color w:val="000000"/>
        </w:rPr>
        <w:t xml:space="preserve">” </w:t>
      </w:r>
      <w:r>
        <w:rPr>
          <w:rFonts w:ascii="Times New Roman;serif" w:hAnsi="Times New Roman;serif"/>
          <w:b w:val="false"/>
          <w:color w:val="000000"/>
          <w:sz w:val="21"/>
        </w:rPr>
        <w:t>means an Eligible Employee who has been granted an Award.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2.28</w:t>
      </w:r>
      <w:r>
        <w:rPr>
          <w:color w:val="000000"/>
        </w:rPr>
        <w:t>“</w:t>
      </w:r>
      <w:r>
        <w:rPr>
          <w:rFonts w:ascii="Times New Roman;serif" w:hAnsi="Times New Roman;serif"/>
          <w:b/>
          <w:i/>
          <w:color w:val="000000"/>
          <w:sz w:val="21"/>
        </w:rPr>
        <w:t>Performance Bonus Award</w:t>
      </w:r>
      <w:r>
        <w:rPr>
          <w:color w:val="000000"/>
        </w:rPr>
        <w:t xml:space="preserve">” </w:t>
      </w:r>
      <w:r>
        <w:rPr>
          <w:rFonts w:ascii="Times New Roman;serif" w:hAnsi="Times New Roman;serif"/>
          <w:b w:val="false"/>
          <w:color w:val="000000"/>
          <w:sz w:val="21"/>
        </w:rPr>
        <w:t>has the meaning set forth in Section 8.3.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2.29</w:t>
      </w:r>
      <w:r>
        <w:rPr>
          <w:color w:val="000000"/>
        </w:rPr>
        <w:t>“</w:t>
      </w:r>
      <w:r>
        <w:rPr>
          <w:rFonts w:ascii="Times New Roman;serif" w:hAnsi="Times New Roman;serif"/>
          <w:b/>
          <w:i/>
          <w:color w:val="000000"/>
          <w:sz w:val="21"/>
        </w:rPr>
        <w:t>Performance Stock Unit</w:t>
      </w:r>
      <w:r>
        <w:rPr>
          <w:color w:val="000000"/>
        </w:rPr>
        <w:t xml:space="preserve">” </w:t>
      </w:r>
      <w:r>
        <w:rPr>
          <w:rFonts w:ascii="Times New Roman;serif" w:hAnsi="Times New Roman;serif"/>
          <w:b w:val="false"/>
          <w:color w:val="000000"/>
          <w:sz w:val="21"/>
        </w:rPr>
        <w:t>means a right granted to a Participant pursuant to Section 8.1 and subject to Section 8.2, to receive cash or Shares, the payment of which is contingent upon achieving certain performance goals or other performance-based targets established by the Administrator.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2.30</w:t>
      </w:r>
      <w:r>
        <w:rPr>
          <w:color w:val="000000"/>
        </w:rPr>
        <w:t>“</w:t>
      </w:r>
      <w:r>
        <w:rPr>
          <w:rFonts w:ascii="Times New Roman;serif" w:hAnsi="Times New Roman;serif"/>
          <w:b/>
          <w:i/>
          <w:color w:val="000000"/>
          <w:sz w:val="21"/>
        </w:rPr>
        <w:t>Permitted Transferee</w:t>
      </w:r>
      <w:r>
        <w:rPr>
          <w:color w:val="000000"/>
        </w:rPr>
        <w:t xml:space="preserve">” </w:t>
      </w:r>
      <w:r>
        <w:rPr>
          <w:rFonts w:ascii="Times New Roman;serif" w:hAnsi="Times New Roman;serif"/>
          <w:b w:val="false"/>
          <w:color w:val="000000"/>
          <w:sz w:val="21"/>
        </w:rPr>
        <w:t>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2.31</w:t>
      </w:r>
      <w:r>
        <w:rPr>
          <w:color w:val="000000"/>
        </w:rPr>
        <w:t>“</w:t>
      </w:r>
      <w:r>
        <w:rPr>
          <w:rFonts w:ascii="Times New Roman;serif" w:hAnsi="Times New Roman;serif"/>
          <w:b/>
          <w:i/>
          <w:color w:val="000000"/>
          <w:sz w:val="21"/>
        </w:rPr>
        <w:t>Plan</w:t>
      </w:r>
      <w:r>
        <w:rPr>
          <w:color w:val="000000"/>
        </w:rPr>
        <w:t xml:space="preserve">” </w:t>
      </w:r>
      <w:r>
        <w:rPr>
          <w:rFonts w:ascii="Times New Roman;serif" w:hAnsi="Times New Roman;serif"/>
          <w:b w:val="false"/>
          <w:color w:val="000000"/>
          <w:sz w:val="21"/>
        </w:rPr>
        <w:t>means this Amended and Restated 2022 Employment Inducement Incentive Plan, as amended on February 10, 2026.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2.32</w:t>
      </w:r>
      <w:r>
        <w:rPr>
          <w:color w:val="000000"/>
        </w:rPr>
        <w:t>“</w:t>
      </w:r>
      <w:r>
        <w:rPr>
          <w:rFonts w:ascii="Times New Roman;serif" w:hAnsi="Times New Roman;serif"/>
          <w:b/>
          <w:i/>
          <w:color w:val="000000"/>
          <w:sz w:val="21"/>
        </w:rPr>
        <w:t>Restricted Stock</w:t>
      </w:r>
      <w:r>
        <w:rPr>
          <w:color w:val="000000"/>
        </w:rPr>
        <w:t xml:space="preserve">” </w:t>
      </w:r>
      <w:r>
        <w:rPr>
          <w:rFonts w:ascii="Times New Roman;serif" w:hAnsi="Times New Roman;serif"/>
          <w:b w:val="false"/>
          <w:color w:val="000000"/>
          <w:sz w:val="21"/>
        </w:rPr>
        <w:t>means Shares awarded to a Participant under Article VII, subject to certain vesting conditions and other restrictions.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2.33</w:t>
      </w:r>
      <w:r>
        <w:rPr>
          <w:color w:val="000000"/>
        </w:rPr>
        <w:t>“</w:t>
      </w:r>
      <w:r>
        <w:rPr>
          <w:rFonts w:ascii="Times New Roman;serif" w:hAnsi="Times New Roman;serif"/>
          <w:b/>
          <w:i/>
          <w:color w:val="000000"/>
          <w:sz w:val="21"/>
        </w:rPr>
        <w:t>Restricted Stock Unit</w:t>
      </w:r>
      <w:r>
        <w:rPr>
          <w:color w:val="000000"/>
        </w:rPr>
        <w:t xml:space="preserve">” </w:t>
      </w:r>
      <w:r>
        <w:rPr>
          <w:rFonts w:ascii="Times New Roman;serif" w:hAnsi="Times New Roman;serif"/>
          <w:b w:val="false"/>
          <w:color w:val="000000"/>
          <w:sz w:val="21"/>
        </w:rPr>
        <w:t>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2.34</w:t>
      </w:r>
      <w:r>
        <w:rPr>
          <w:color w:val="000000"/>
        </w:rPr>
        <w:t>“</w:t>
      </w:r>
      <w:r>
        <w:rPr>
          <w:rFonts w:ascii="Times New Roman;serif" w:hAnsi="Times New Roman;serif"/>
          <w:b/>
          <w:i/>
          <w:color w:val="000000"/>
          <w:sz w:val="21"/>
        </w:rPr>
        <w:t>Section 409A</w:t>
      </w:r>
      <w:r>
        <w:rPr>
          <w:color w:val="000000"/>
        </w:rPr>
        <w:t xml:space="preserve">” </w:t>
      </w:r>
      <w:r>
        <w:rPr>
          <w:rFonts w:ascii="Times New Roman;serif" w:hAnsi="Times New Roman;serif"/>
          <w:b w:val="false"/>
          <w:color w:val="000000"/>
          <w:sz w:val="21"/>
        </w:rPr>
        <w:t>means Section 409A of the Code and the regulations promulgated thereunder by the United States Treasury Department, as amended or as may be amended from time to time.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2.35</w:t>
      </w:r>
      <w:r>
        <w:rPr>
          <w:color w:val="000000"/>
        </w:rPr>
        <w:t>“</w:t>
      </w:r>
      <w:r>
        <w:rPr>
          <w:rFonts w:ascii="Times New Roman;serif" w:hAnsi="Times New Roman;serif"/>
          <w:b/>
          <w:i/>
          <w:color w:val="000000"/>
          <w:sz w:val="21"/>
        </w:rPr>
        <w:t>Securities Act</w:t>
      </w:r>
      <w:r>
        <w:rPr>
          <w:color w:val="000000"/>
        </w:rPr>
        <w:t xml:space="preserve">” </w:t>
      </w:r>
      <w:r>
        <w:rPr>
          <w:rFonts w:ascii="Times New Roman;serif" w:hAnsi="Times New Roman;serif"/>
          <w:b w:val="false"/>
          <w:color w:val="000000"/>
          <w:sz w:val="21"/>
        </w:rPr>
        <w:t>means the Securities Act of 1933, as amended, and all regulations, guidance and other interpretative authority issued thereunder.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2.36</w:t>
      </w:r>
      <w:r>
        <w:rPr>
          <w:color w:val="000000"/>
        </w:rPr>
        <w:t>“</w:t>
      </w:r>
      <w:r>
        <w:rPr>
          <w:rFonts w:ascii="Times New Roman;serif" w:hAnsi="Times New Roman;serif"/>
          <w:b/>
          <w:i/>
          <w:color w:val="000000"/>
          <w:sz w:val="21"/>
        </w:rPr>
        <w:t>Shares</w:t>
      </w:r>
      <w:r>
        <w:rPr>
          <w:color w:val="000000"/>
        </w:rPr>
        <w:t xml:space="preserve">” </w:t>
      </w:r>
      <w:r>
        <w:rPr>
          <w:rFonts w:ascii="Times New Roman;serif" w:hAnsi="Times New Roman;serif"/>
          <w:b w:val="false"/>
          <w:color w:val="000000"/>
          <w:sz w:val="21"/>
        </w:rPr>
        <w:t>means shares of Common Stock.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2.37</w:t>
      </w:r>
      <w:r>
        <w:rPr>
          <w:color w:val="000000"/>
        </w:rPr>
        <w:t>“</w:t>
      </w:r>
      <w:r>
        <w:rPr>
          <w:rFonts w:ascii="Times New Roman;serif" w:hAnsi="Times New Roman;serif"/>
          <w:b/>
          <w:i/>
          <w:color w:val="000000"/>
          <w:sz w:val="21"/>
        </w:rPr>
        <w:t>Stock Appreciation Right</w:t>
      </w:r>
      <w:r>
        <w:rPr>
          <w:color w:val="000000"/>
        </w:rPr>
        <w:t xml:space="preserve">” </w:t>
      </w:r>
      <w:r>
        <w:rPr>
          <w:rFonts w:ascii="Times New Roman;serif" w:hAnsi="Times New Roman;serif"/>
          <w:b w:val="false"/>
          <w:color w:val="000000"/>
          <w:sz w:val="21"/>
        </w:rPr>
        <w:t>or “</w:t>
      </w:r>
      <w:r>
        <w:rPr>
          <w:rFonts w:ascii="Times New Roman;serif" w:hAnsi="Times New Roman;serif"/>
          <w:b/>
          <w:i/>
          <w:color w:val="000000"/>
          <w:sz w:val="21"/>
        </w:rPr>
        <w:t>SAR</w:t>
      </w:r>
      <w:r>
        <w:rPr>
          <w:color w:val="000000"/>
        </w:rPr>
        <w:t xml:space="preserve">” </w:t>
      </w:r>
      <w:r>
        <w:rPr>
          <w:rFonts w:ascii="Times New Roman;serif" w:hAnsi="Times New Roman;serif"/>
          <w:b w:val="false"/>
          <w:color w:val="000000"/>
          <w:sz w:val="21"/>
        </w:rPr>
        <w:t>means a right granted under Article VI to receive a payment equal to the excess of the Fair Market Value of a specified number of Shares on the date the right is exercised over the exercise price set forth in the applicable Award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2.38</w:t>
      </w:r>
      <w:r>
        <w:rPr>
          <w:color w:val="000000"/>
        </w:rPr>
        <w:t>“</w:t>
      </w:r>
      <w:r>
        <w:rPr>
          <w:rFonts w:ascii="Times New Roman;serif" w:hAnsi="Times New Roman;serif"/>
          <w:b/>
          <w:i/>
          <w:color w:val="000000"/>
          <w:sz w:val="21"/>
        </w:rPr>
        <w:t>Subsidiary</w:t>
      </w:r>
      <w:r>
        <w:rPr>
          <w:color w:val="000000"/>
        </w:rPr>
        <w:t xml:space="preserve">” </w:t>
      </w:r>
      <w:r>
        <w:rPr>
          <w:rFonts w:ascii="Times New Roman;serif" w:hAnsi="Times New Roman;serif"/>
          <w:b w:val="false"/>
          <w:color w:val="000000"/>
          <w:sz w:val="21"/>
        </w:rPr>
        <w:t>means any entity (other than the Company), whether U.S. or non-U.S.,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1"/>
        </w:rPr>
        <w:t>2.39</w:t>
      </w:r>
      <w:r>
        <w:rPr>
          <w:color w:val="000000"/>
        </w:rPr>
        <w:t xml:space="preserve"> “</w:t>
      </w:r>
      <w:r>
        <w:rPr>
          <w:rFonts w:ascii="Times New Roman;serif" w:hAnsi="Times New Roman;serif"/>
          <w:b/>
          <w:i/>
          <w:color w:val="000000"/>
          <w:sz w:val="21"/>
        </w:rPr>
        <w:t>Substitute Awards</w:t>
      </w:r>
      <w:r>
        <w:rPr>
          <w:color w:val="000000"/>
        </w:rPr>
        <w:t xml:space="preserve">” </w:t>
      </w:r>
      <w:r>
        <w:rPr>
          <w:rFonts w:ascii="Times New Roman;serif" w:hAnsi="Times New Roman;serif"/>
          <w:b w:val="false"/>
          <w:color w:val="000000"/>
          <w:sz w:val="21"/>
        </w:rPr>
        <w:t>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2.40</w:t>
      </w:r>
      <w:r>
        <w:rPr>
          <w:color w:val="000000"/>
        </w:rPr>
        <w:t xml:space="preserve"> “</w:t>
      </w:r>
      <w:r>
        <w:rPr>
          <w:rFonts w:ascii="Times New Roman;serif" w:hAnsi="Times New Roman;serif"/>
          <w:b/>
          <w:i/>
          <w:color w:val="000000"/>
          <w:sz w:val="21"/>
        </w:rPr>
        <w:t>Tax-Related Items</w:t>
      </w:r>
      <w:r>
        <w:rPr>
          <w:color w:val="000000"/>
        </w:rPr>
        <w:t xml:space="preserve">” </w:t>
      </w:r>
      <w:r>
        <w:rPr>
          <w:rFonts w:ascii="Times New Roman;serif" w:hAnsi="Times New Roman;serif"/>
          <w:b w:val="false"/>
          <w:color w:val="000000"/>
          <w:sz w:val="21"/>
        </w:rPr>
        <w:t>means any U.S. and non-U.S. federal, state and/or local taxes (including, without limitation, income tax, social insurance contributions, fringe benefit tax, employment tax, stamp tax and any employer tax liability which has been transferred to a Participant) for which a Participant is liable in connection with Awards and/or Shares.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2.41</w:t>
      </w:r>
      <w:r>
        <w:rPr>
          <w:color w:val="000000"/>
        </w:rPr>
        <w:t xml:space="preserve"> “</w:t>
      </w:r>
      <w:r>
        <w:rPr>
          <w:rFonts w:ascii="Times New Roman;serif" w:hAnsi="Times New Roman;serif"/>
          <w:b/>
          <w:i/>
          <w:color w:val="000000"/>
          <w:sz w:val="21"/>
        </w:rPr>
        <w:t>Termination of Service</w:t>
      </w:r>
      <w:r>
        <w:rPr>
          <w:color w:val="000000"/>
        </w:rPr>
        <w:t xml:space="preserve">” </w:t>
      </w:r>
      <w:r>
        <w:rPr>
          <w:rFonts w:ascii="Times New Roman;serif" w:hAnsi="Times New Roman;serif"/>
          <w:b w:val="false"/>
          <w:color w:val="000000"/>
          <w:sz w:val="21"/>
        </w:rPr>
        <w:t xml:space="preserve">means 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 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ARTICLE 3</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ELIGIBILITY</w:t>
      </w:r>
    </w:p>
    <w:p>
      <w:pPr>
        <w:pStyle w:val="TextBody"/>
        <w:bidi w:val="0"/>
        <w:spacing w:lineRule="auto" w:line="288" w:before="0" w:after="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All Awards may be granted only to Eligible Employees, subject to the limitations described herein. No Eligible Employee shall have any right to be granted an Award pursuant to the Plan and neither the Company nor the Administrator is obligated to treat Eligible Employees, Participants or any other persons uniformly.</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1"/>
        </w:rPr>
        <w:t>ARTICLE 4</w:t>
      </w:r>
      <w:r>
        <w:rPr>
          <w:rFonts w:ascii="Times New Roman;serif" w:hAnsi="Times New Roman;serif"/>
          <w:b/>
          <w:color w:val="000000"/>
          <w:sz w:val="21"/>
        </w:rPr>
        <w:br/>
        <w:t>ADMINISTRATION AND DELEGATION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4.1</w:t>
      </w:r>
      <w:r>
        <w:rPr>
          <w:rFonts w:ascii="Times New Roman;serif" w:hAnsi="Times New Roman;serif"/>
          <w:b w:val="false"/>
          <w:color w:val="000000"/>
          <w:sz w:val="21"/>
          <w:u w:val="single"/>
        </w:rPr>
        <w:t>Administration</w:t>
      </w:r>
      <w:r>
        <w:rPr>
          <w:rFonts w:ascii="Times New Roman;serif" w:hAnsi="Times New Roman;serif"/>
          <w:b w:val="false"/>
          <w:color w:val="000000"/>
          <w:sz w:val="21"/>
        </w:rPr>
        <w:t xml:space="preserve">. The Plan is administered by the Administrator. The Administrator has authority to determine which Eligible Employees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is entitled to, in good faith, rely or act upon any report or other information furnished to it, him or her by any officer or other Employee,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1"/>
        </w:rPr>
        <w:t>4.2</w:t>
      </w:r>
      <w:r>
        <w:rPr>
          <w:rFonts w:ascii="Times New Roman;serif" w:hAnsi="Times New Roman;serif"/>
          <w:b w:val="false"/>
          <w:color w:val="000000"/>
          <w:sz w:val="21"/>
        </w:rPr>
        <w:t xml:space="preserve">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 xml:space="preserve">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canceled, forfeited, or surrendered; and (vi) make all other determinations necessary or advisable for the administration of this Plan, including imposing, incidental to the grant of an Award, conditions with respect to the Award, including procedures to ensure that an Employee is eligible to participate in the Plan prior to the granting of any awards to such Employee under the Plan (including, without limitation, a requirement, if any, that each such Employee certify to the Company prior to the receipt of an award under the Plan that he or she has not been previously employed by the Company or a Subsidiary, or if previously employed, has had a bona fide period of non-employment, and that the grant of an award under the Plan is an inducement material to his or her agreement to enter into employment with the Company or a Subsidiary).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ARTICLE 5</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STOCK AVAILABLE FOR AWARDS</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5.1</w:t>
      </w:r>
      <w:r>
        <w:rPr>
          <w:rFonts w:ascii="Times New Roman;serif" w:hAnsi="Times New Roman;serif"/>
          <w:b w:val="false"/>
          <w:color w:val="000000"/>
          <w:sz w:val="21"/>
          <w:u w:val="single"/>
        </w:rPr>
        <w:t>Number of Shares</w:t>
      </w:r>
      <w:r>
        <w:rPr>
          <w:rFonts w:ascii="Times New Roman;serif" w:hAnsi="Times New Roman;serif"/>
          <w:b w:val="false"/>
          <w:color w:val="000000"/>
          <w:sz w:val="21"/>
        </w:rPr>
        <w:t xml:space="preserve">. Subject to adjustment under Article IX and the terms of this Article V, Awards may be made under the Plan with the total number of Shares reserved and available for grant and issuance pursuant to this Plan as of the date of adoption of the Plan by the Board is 3,603,403 Shares.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5.2</w:t>
      </w:r>
      <w:r>
        <w:rPr>
          <w:rFonts w:ascii="Times New Roman;serif" w:hAnsi="Times New Roman;serif"/>
          <w:b w:val="false"/>
          <w:color w:val="000000"/>
          <w:sz w:val="21"/>
          <w:u w:val="single"/>
        </w:rPr>
        <w:t>Share Recycling</w:t>
      </w:r>
      <w:r>
        <w:rPr>
          <w:rFonts w:ascii="Times New Roman;serif" w:hAnsi="Times New Roman;serif"/>
          <w:b w:val="false"/>
          <w:color w:val="000000"/>
          <w:sz w:val="21"/>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(a)</w:t>
      </w:r>
      <w:r>
        <w:rPr>
          <w:rFonts w:ascii="Times New Roman;serif" w:hAnsi="Times New Roman;serif"/>
          <w:b w:val="false"/>
          <w:color w:val="000000"/>
          <w:sz w:val="21"/>
        </w:rPr>
        <w:t xml:space="preserve">If all or any part of 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become or again be available, in each case, as Common Stock for Awards under the Plan. The payment of Dividend Equivalents in cash in conjunction with any outstanding Awards shall not count against the number of Shares available for issuance under the Plan.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(b)</w:t>
      </w:r>
      <w:r>
        <w:rPr>
          <w:rFonts w:ascii="Times New Roman;serif" w:hAnsi="Times New Roman;serif"/>
          <w:b w:val="false"/>
          <w:color w:val="000000"/>
          <w:sz w:val="21"/>
        </w:rPr>
        <w:t xml:space="preserve">In addition, the following Shares shall be available for future grants of Awards: (i) Shares tendered by a Participant or withheld by the Company in payment of the exercise price of an Option; (ii) Shares tendered by the Participant or withheld by the Company to satisfy any tax withholding obligation with respect to an Award; and (iii) Shares subject to a Stock Appreciation Right that are not issued in connection with the stock settlement of the Stock Appreciation Right on exercise thereof.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1"/>
        </w:rPr>
        <w:t>5.3</w:t>
      </w:r>
      <w:r>
        <w:rPr>
          <w:rFonts w:ascii="Times New Roman;serif" w:hAnsi="Times New Roman;serif"/>
          <w:b w:val="false"/>
          <w:color w:val="000000"/>
          <w:sz w:val="21"/>
          <w:u w:val="single"/>
        </w:rPr>
        <w:t>Substitute Awards</w:t>
      </w:r>
      <w:r>
        <w:rPr>
          <w:rFonts w:ascii="Times New Roman;serif" w:hAnsi="Times New Roman;serif"/>
          <w:b w:val="false"/>
          <w:color w:val="000000"/>
          <w:sz w:val="21"/>
        </w:rPr>
        <w:t xml:space="preserve">. In connection with an entity’s merger or consolidation with the Company or any Subsidiary or the Company’s or any Subsidiary’s acquisition of an entity’s property or stock, the Administrator may grant Substitute Awards in respect of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reduce the number of Shares available for issuance under the Plan (nor shall Shares subject to a Substitute Award be added to the Shares available for Awards under the Plan as provided under Section 5.2 above). Additionally, in the event that a company acquired by the Company or any Subsidiary or with which the Company or any Subsidiary combines has shares available under a pre-existing plan and not adopted in contemplation of such acquisition or combination, the shares available for grant pursuant to the terms of such pre-existing plan (as appropriately adjusted to reflect the transaction) may be used for Awards under the Plan and shall not reduce the number of Shares available for issuance under the Plan (and Shares subject to such Awards may again become available for Awards under the Plan as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under Section 5.2 above); provided that Awards using such available shares shall not be made after the date awards or grants could have been made under the terms of the pre-existing plan, absent the acquisition or combination, and shall only be made to individuals who were not Employees prior to such acquisition or combination.</w:t>
      </w:r>
    </w:p>
    <w:p>
      <w:pPr>
        <w:pStyle w:val="TextBody"/>
        <w:bidi w:val="0"/>
        <w:spacing w:before="0" w:after="0"/>
        <w:jc w:val="both"/>
        <w:rPr/>
      </w:pPr>
      <w:r>
        <w:rPr/>
      </w:r>
    </w:p>
    <w:p>
      <w:pPr>
        <w:pStyle w:val="TextBody"/>
        <w:bidi w:val="0"/>
        <w:spacing w:lineRule="auto" w:line="288" w:before="0" w:after="0"/>
        <w:ind w:left="0" w:right="0" w:firstLine="180"/>
        <w:jc w:val="center"/>
        <w:rPr/>
      </w:pPr>
      <w:r>
        <w:rPr>
          <w:rFonts w:ascii="Times New Roman;serif" w:hAnsi="Times New Roman;serif"/>
          <w:b/>
          <w:color w:val="000000"/>
          <w:sz w:val="21"/>
        </w:rPr>
        <w:t>ARTICLE 6</w:t>
      </w:r>
      <w:r>
        <w:rPr>
          <w:rFonts w:ascii="Times New Roman;serif" w:hAnsi="Times New Roman;serif"/>
          <w:b/>
          <w:color w:val="000000"/>
          <w:sz w:val="21"/>
        </w:rPr>
        <w:br/>
        <w:t>STOCK OPTIONS AND STOCK APPRECIATION RIGHTS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6.1</w:t>
      </w:r>
      <w:r>
        <w:rPr>
          <w:rFonts w:ascii="Times New Roman;serif" w:hAnsi="Times New Roman;serif"/>
          <w:b w:val="false"/>
          <w:color w:val="000000"/>
          <w:sz w:val="21"/>
          <w:u w:val="single"/>
        </w:rPr>
        <w:t>General</w:t>
      </w:r>
      <w:r>
        <w:rPr>
          <w:rFonts w:ascii="Times New Roman;serif" w:hAnsi="Times New Roman;serif"/>
          <w:b w:val="false"/>
          <w:color w:val="000000"/>
          <w:sz w:val="21"/>
        </w:rPr>
        <w:t xml:space="preserve">. The Administrator may grant Options or Stock Appreciation Rights to one or more Eligible Employees,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(x) the excess, if any, of the Fair Market Value of one Share on the date of exercise over the exercise price per Share of the Stock Appreciation Right by (y)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6.2</w:t>
      </w:r>
      <w:r>
        <w:rPr>
          <w:rFonts w:ascii="Times New Roman;serif" w:hAnsi="Times New Roman;serif"/>
          <w:b w:val="false"/>
          <w:color w:val="000000"/>
          <w:sz w:val="21"/>
          <w:u w:val="single"/>
        </w:rPr>
        <w:t>Exercise Price</w:t>
      </w:r>
      <w:r>
        <w:rPr>
          <w:rFonts w:ascii="Times New Roman;serif" w:hAnsi="Times New Roman;serif"/>
          <w:b w:val="false"/>
          <w:color w:val="000000"/>
          <w:sz w:val="21"/>
        </w:rPr>
        <w:t>. The Administrator will establish each Option’s and Stock Appreciation Right’s exercise price and specify the exercise price in the Award Agreement. The 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409A of the Code.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6.3</w:t>
      </w:r>
      <w:r>
        <w:rPr>
          <w:rFonts w:ascii="Times New Roman;serif" w:hAnsi="Times New Roman;serif"/>
          <w:b w:val="false"/>
          <w:color w:val="000000"/>
          <w:sz w:val="21"/>
          <w:u w:val="single"/>
        </w:rPr>
        <w:t>Duration of Options</w:t>
      </w:r>
      <w:r>
        <w:rPr>
          <w:rFonts w:ascii="Times New Roman;serif" w:hAnsi="Times New Roman;serif"/>
          <w:b w:val="false"/>
          <w:color w:val="000000"/>
          <w:sz w:val="21"/>
        </w:rPr>
        <w:t xml:space="preserve">. Each Option or Stock Appreciation Right will be exercisable at such times and as specified in the Award Agreement, provided that the term of an Option or Stock Appreciation Right will not exceed ten years; provided, further, that, unless otherwise determined by the Administrator or specified in the Award Agreement,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In addition, in no event shall an Option or Stock Appreciation Right granted to an Employee who is a non-exempt employee for purposes of overtime pay under the U.S. Fair Labor Standards Act of 1938 be exercisable earlier than six months after its date of grant.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1"/>
        </w:rPr>
        <w:t>6.4</w:t>
      </w:r>
      <w:r>
        <w:rPr>
          <w:rFonts w:ascii="Times New Roman;serif" w:hAnsi="Times New Roman;serif"/>
          <w:b w:val="false"/>
          <w:color w:val="000000"/>
          <w:sz w:val="21"/>
          <w:u w:val="single"/>
        </w:rPr>
        <w:t>Exercise</w:t>
      </w:r>
      <w:r>
        <w:rPr>
          <w:rFonts w:ascii="Times New Roman;serif" w:hAnsi="Times New Roman;serif"/>
          <w:b w:val="false"/>
          <w:color w:val="000000"/>
          <w:sz w:val="21"/>
        </w:rPr>
        <w:t xml:space="preserve">.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(a) payment in full of the exercise price for the number of Shares for which the Option is exercised in a manner specified in Section 6.5 and (b) satisfaction in full of any withholding obligation for Tax-Related Items in a manner specified in Section 10.5. The Administrator may, in its discretion, limit exercise with respect to fractional Shares and require that any partial exercise of an Option or Stock Appreciation Right be with respect to a minimum number of Shares.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6.5</w:t>
      </w:r>
      <w:r>
        <w:rPr>
          <w:rFonts w:ascii="Times New Roman;serif" w:hAnsi="Times New Roman;serif"/>
          <w:b w:val="false"/>
          <w:color w:val="000000"/>
          <w:sz w:val="21"/>
          <w:u w:val="single"/>
        </w:rPr>
        <w:t>Payment Upon Exercise</w:t>
      </w:r>
      <w:r>
        <w:rPr>
          <w:rFonts w:ascii="Times New Roman;serif" w:hAnsi="Times New Roman;serif"/>
          <w:b w:val="false"/>
          <w:color w:val="000000"/>
          <w:sz w:val="21"/>
        </w:rPr>
        <w:t xml:space="preserve">. The Administrator shall determine the methods by which payment of the exercise price of an Option shall be made, including, without limitation: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(a)</w:t>
      </w:r>
      <w:r>
        <w:rPr>
          <w:rFonts w:ascii="Times New Roman;serif" w:hAnsi="Times New Roman;serif"/>
          <w:b w:val="false"/>
          <w:color w:val="000000"/>
          <w:sz w:val="21"/>
        </w:rPr>
        <w:t xml:space="preserve">Cash, check or wire transfer of immediately available funds; provided that the Company may limit the use of one of the foregoing methods if one or more of the methods below is permitted;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(b)</w:t>
      </w:r>
      <w:r>
        <w:rPr>
          <w:rFonts w:ascii="Times New Roman;serif" w:hAnsi="Times New Roman;serif"/>
          <w:b w:val="false"/>
          <w:color w:val="000000"/>
          <w:sz w:val="21"/>
        </w:rPr>
        <w:t>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(c)</w:t>
      </w:r>
      <w:r>
        <w:rPr>
          <w:rFonts w:ascii="Times New Roman;serif" w:hAnsi="Times New Roman;serif"/>
          <w:b w:val="false"/>
          <w:color w:val="000000"/>
          <w:sz w:val="21"/>
        </w:rPr>
        <w:t>To the extent permitted by the Administrator, delivery (either by actual delivery or attestation) of Shares owned by the Participant valued at their Fair Market Value on the date of delivery;</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(d)</w:t>
      </w:r>
      <w:r>
        <w:rPr>
          <w:rFonts w:ascii="Times New Roman;serif" w:hAnsi="Times New Roman;serif"/>
          <w:b w:val="false"/>
          <w:color w:val="000000"/>
          <w:sz w:val="21"/>
        </w:rPr>
        <w:t xml:space="preserve">To the extent permitted by the Administrator, surrendering Shares then issuable upon the Option’s exercise valued at their Fair Market Value on the exercise date;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(e)</w:t>
      </w:r>
      <w:r>
        <w:rPr>
          <w:rFonts w:ascii="Times New Roman;serif" w:hAnsi="Times New Roman;serif"/>
          <w:b w:val="false"/>
          <w:color w:val="000000"/>
          <w:sz w:val="21"/>
        </w:rPr>
        <w:t>To the extent permitted by the Administrator, delivery of a promissory note or any other lawful consideration; or</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(f)</w:t>
      </w:r>
      <w:r>
        <w:rPr>
          <w:rFonts w:ascii="Times New Roman;serif" w:hAnsi="Times New Roman;serif"/>
          <w:b w:val="false"/>
          <w:color w:val="000000"/>
          <w:sz w:val="21"/>
        </w:rPr>
        <w:t>To the extent permitted by the Administrator, any combination of the above payment forms.</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color w:val="000000"/>
          <w:sz w:val="21"/>
        </w:rPr>
        <w:t>ARTICLE 7</w:t>
      </w:r>
      <w:r>
        <w:rPr>
          <w:rFonts w:ascii="Times New Roman;serif" w:hAnsi="Times New Roman;serif"/>
          <w:b/>
          <w:color w:val="000000"/>
          <w:sz w:val="21"/>
        </w:rPr>
        <w:br/>
        <w:t>RESTRICTED STOCK; RESTRICTED STOCK UNITS</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1"/>
        </w:rPr>
        <w:t>7.1</w:t>
      </w:r>
      <w:r>
        <w:rPr>
          <w:rFonts w:ascii="Times New Roman;serif" w:hAnsi="Times New Roman;serif"/>
          <w:b w:val="false"/>
          <w:color w:val="000000"/>
          <w:sz w:val="21"/>
          <w:u w:val="single"/>
        </w:rPr>
        <w:t>General</w:t>
      </w:r>
      <w:r>
        <w:rPr>
          <w:rFonts w:ascii="Times New Roman;serif" w:hAnsi="Times New Roman;serif"/>
          <w:b w:val="false"/>
          <w:color w:val="000000"/>
          <w:sz w:val="21"/>
        </w:rPr>
        <w:t xml:space="preserve">. The Administrator may grant Restricted Stock, or the right to purchase Restricted Stock, to any Eligible Employee, subject to forfeiture or the Company’s right to repurchase all or part of the underlying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Eligible Employees. The Administrator shall establish the purchase price, if any, and form of payment for Restricted Stock and Restricted Stock Units; provided, however, that if a purchase price is charged, such purchase price shall be no less than the par value,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 xml:space="preserve">if any, of the Shares to be purchased, unless otherwise permitted by Applicable Law. In all cases, legal consideration shall be required for each issuance of Restricted Stock and Restricted Stock Units to the extent required by Applicable Law. The Award Agreement for each Award of Restricted Stock and Restricted Stock Units shall set forth the terms and conditions not inconsistent with the Plan as the Administrator shall determine.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7.2</w:t>
      </w:r>
      <w:r>
        <w:rPr>
          <w:rFonts w:ascii="Times New Roman;serif" w:hAnsi="Times New Roman;serif"/>
          <w:b w:val="false"/>
          <w:color w:val="000000"/>
          <w:sz w:val="21"/>
          <w:u w:val="single"/>
        </w:rPr>
        <w:t>Restricted Stock</w:t>
      </w:r>
      <w:r>
        <w:rPr>
          <w:rFonts w:ascii="Times New Roman;serif" w:hAnsi="Times New Roman;serif"/>
          <w:b w:val="false"/>
          <w:color w:val="000000"/>
          <w:sz w:val="21"/>
        </w:rPr>
        <w: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(a)</w:t>
      </w:r>
      <w:r>
        <w:rPr>
          <w:rFonts w:ascii="Times New Roman;serif" w:hAnsi="Times New Roman;serif"/>
          <w:b w:val="false"/>
          <w:i/>
          <w:color w:val="000000"/>
          <w:sz w:val="21"/>
        </w:rPr>
        <w:t>Stockholder Rights</w:t>
      </w:r>
      <w:r>
        <w:rPr>
          <w:rFonts w:ascii="Times New Roman;serif" w:hAnsi="Times New Roman;serif"/>
          <w:b w:val="false"/>
          <w:color w:val="000000"/>
          <w:sz w:val="21"/>
        </w:rPr>
        <w:t>. Unless otherwise determined by the Administrator, each Participant holding Shares of Restricted Stock will be entitled to all the rights of a 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(b)</w:t>
      </w:r>
      <w:r>
        <w:rPr>
          <w:rFonts w:ascii="Times New Roman;serif" w:hAnsi="Times New Roman;serif"/>
          <w:b w:val="false"/>
          <w:i/>
          <w:color w:val="000000"/>
          <w:sz w:val="21"/>
        </w:rPr>
        <w:t>Stock Certificates</w:t>
      </w:r>
      <w:r>
        <w:rPr>
          <w:rFonts w:ascii="Times New Roman;serif" w:hAnsi="Times New Roman;serif"/>
          <w:b w:val="false"/>
          <w:color w:val="000000"/>
          <w:sz w:val="21"/>
        </w:rPr>
        <w:t>. The Company may require that the Participant deposit in escrow with the Company (or its designee) any stock certificates issued in respect of Shares of Restricted Stock, together with a stock power endorsed in blank.</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(c)</w:t>
      </w:r>
      <w:r>
        <w:rPr>
          <w:rFonts w:ascii="Times New Roman;serif" w:hAnsi="Times New Roman;serif"/>
          <w:b w:val="false"/>
          <w:i/>
          <w:color w:val="000000"/>
          <w:sz w:val="21"/>
        </w:rPr>
        <w:t>Section 83(b) Election</w:t>
      </w:r>
      <w:r>
        <w:rPr>
          <w:rFonts w:ascii="Times New Roman;serif" w:hAnsi="Times New Roman;serif"/>
          <w:b w:val="false"/>
          <w:color w:val="000000"/>
          <w:sz w:val="21"/>
        </w:rPr>
        <w:t xml:space="preserve">. If a Participant makes an election under Section 83(b) of the Code to be taxed with respect to the Restricted 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7.3</w:t>
      </w:r>
      <w:r>
        <w:rPr>
          <w:rFonts w:ascii="Times New Roman;serif" w:hAnsi="Times New Roman;serif"/>
          <w:b w:val="false"/>
          <w:color w:val="000000"/>
          <w:sz w:val="21"/>
          <w:u w:val="single"/>
        </w:rPr>
        <w:t>Restricted Stock Units</w:t>
      </w:r>
      <w:r>
        <w:rPr>
          <w:rFonts w:ascii="Times New Roman;serif" w:hAnsi="Times New Roman;serif"/>
          <w:b w:val="false"/>
          <w:color w:val="000000"/>
          <w:sz w:val="21"/>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 A Participant holding Restricted Stock Units will have only the rights of a general unsecured creditor of the Company (solely to the extent of any rights then applicable to Participant with respect to such Restricted Stock Units) until delivery of Shares, cash or other securities or property is made as specified in the applicable Award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ARTICLE 8</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OTHER TYPES OF AWARDS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8.1</w:t>
      </w:r>
      <w:r>
        <w:rPr>
          <w:rFonts w:ascii="Times New Roman;serif" w:hAnsi="Times New Roman;serif"/>
          <w:b w:val="false"/>
          <w:color w:val="000000"/>
          <w:sz w:val="21"/>
          <w:u w:val="single"/>
        </w:rPr>
        <w:t>General</w:t>
      </w:r>
      <w:r>
        <w:rPr>
          <w:rFonts w:ascii="Times New Roman;serif" w:hAnsi="Times New Roman;serif"/>
          <w:b w:val="false"/>
          <w:color w:val="000000"/>
          <w:sz w:val="21"/>
        </w:rPr>
        <w:t>. The Administrator may grant Performance Stock Unit awards, Performance Bonus Awards, Dividend Equivalents or Other Stock or Cash Based Awards, to one or more Eligible Employees, in such amounts and subject to such terms and conditions not inconsistent with the Plan as the Administrator shall determine.</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1"/>
        </w:rPr>
        <w:t>8.2</w:t>
      </w:r>
      <w:r>
        <w:rPr>
          <w:rFonts w:ascii="Times New Roman;serif" w:hAnsi="Times New Roman;serif"/>
          <w:b w:val="false"/>
          <w:color w:val="000000"/>
          <w:sz w:val="21"/>
          <w:u w:val="single"/>
        </w:rPr>
        <w:t>Performance Stock Unit Awards</w:t>
      </w:r>
      <w:r>
        <w:rPr>
          <w:rFonts w:ascii="Times New Roman;serif" w:hAnsi="Times New Roman;serif"/>
          <w:b w:val="false"/>
          <w:color w:val="000000"/>
          <w:sz w:val="21"/>
        </w:rPr>
        <w:t xml:space="preserve">.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may consider (among such other factors as it deems relevant in light of the specific type of award) the contributions, responsibilities and other compensation of the particular Participant.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8.3</w:t>
      </w:r>
      <w:r>
        <w:rPr>
          <w:rFonts w:ascii="Times New Roman;serif" w:hAnsi="Times New Roman;serif"/>
          <w:b w:val="false"/>
          <w:color w:val="000000"/>
          <w:sz w:val="21"/>
          <w:u w:val="single"/>
        </w:rPr>
        <w:t>Performance Bonus Awards</w:t>
      </w:r>
      <w:r>
        <w:rPr>
          <w:rFonts w:ascii="Times New Roman;serif" w:hAnsi="Times New Roman;serif"/>
          <w:b w:val="false"/>
          <w:color w:val="000000"/>
          <w:sz w:val="21"/>
        </w:rPr>
        <w:t>. Each right to receive a bonus granted under this Section 8.3 shall be denominated in the form of cash (but may be payable in cash, stock or a combination thereof) (a “</w:t>
      </w:r>
      <w:r>
        <w:rPr>
          <w:rFonts w:ascii="Times New Roman;serif" w:hAnsi="Times New Roman;serif"/>
          <w:b/>
          <w:i/>
          <w:color w:val="000000"/>
          <w:sz w:val="21"/>
        </w:rPr>
        <w:t>Performance Bonus Award</w:t>
      </w:r>
      <w:r>
        <w:rPr>
          <w:color w:val="000000"/>
        </w:rPr>
        <w:t>”</w:t>
      </w:r>
      <w:r>
        <w:rPr>
          <w:rFonts w:ascii="Times New Roman;serif" w:hAnsi="Times New Roman;serif"/>
          <w:b w:val="false"/>
          <w:color w:val="000000"/>
          <w:sz w:val="21"/>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8.4</w:t>
      </w:r>
      <w:r>
        <w:rPr>
          <w:rFonts w:ascii="Times New Roman;serif" w:hAnsi="Times New Roman;serif"/>
          <w:b w:val="false"/>
          <w:color w:val="000000"/>
          <w:sz w:val="21"/>
          <w:u w:val="single"/>
        </w:rPr>
        <w:t>Dividend Equivalents</w:t>
      </w:r>
      <w:r>
        <w:rPr>
          <w:rFonts w:ascii="Times New Roman;serif" w:hAnsi="Times New Roman;serif"/>
          <w:b w:val="false"/>
          <w:color w:val="000000"/>
          <w:sz w:val="21"/>
        </w:rPr>
        <w:t xml:space="preserve">.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(a) to the extent permitted by Applicable Law, not be paid or credited or (b) be accumulated and subject to vesting to the same extent as the related Award. All such Dividend Equivalents shall be paid at such time as the Administrator shall specify in the applicable Award Agreement or as determined by the Administrator in the event not specified in such Award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8.5</w:t>
      </w:r>
      <w:r>
        <w:rPr>
          <w:rFonts w:ascii="Times New Roman;serif" w:hAnsi="Times New Roman;serif"/>
          <w:b w:val="false"/>
          <w:color w:val="000000"/>
          <w:sz w:val="21"/>
          <w:u w:val="single"/>
        </w:rPr>
        <w:t>Other Stock or Cash Based Awards</w:t>
      </w:r>
      <w:r>
        <w:rPr>
          <w:rFonts w:ascii="Times New Roman;serif" w:hAnsi="Times New Roman;serif"/>
          <w:b w:val="false"/>
          <w:color w:val="000000"/>
          <w:sz w:val="21"/>
        </w:rPr>
        <w:t xml:space="preserve">.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subject to compliance with Section 409A.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 </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color w:val="000000"/>
          <w:sz w:val="21"/>
        </w:rPr>
        <w:t>ARTICLE 9</w:t>
      </w:r>
      <w:r>
        <w:rPr>
          <w:rFonts w:ascii="Times New Roman;serif" w:hAnsi="Times New Roman;serif"/>
          <w:b/>
          <w:color w:val="000000"/>
          <w:sz w:val="21"/>
        </w:rPr>
        <w:br/>
        <w:t xml:space="preserve">ADJUSTMENTS FOR CHANGES IN COMMON STOCK </w:t>
        <w:br/>
        <w:t>AND CERTAIN OTHER EVENTS</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1"/>
        </w:rPr>
        <w:t>9.1</w:t>
      </w:r>
      <w:r>
        <w:rPr>
          <w:rFonts w:ascii="Times New Roman;serif" w:hAnsi="Times New Roman;serif"/>
          <w:b w:val="false"/>
          <w:color w:val="000000"/>
          <w:sz w:val="21"/>
          <w:u w:val="single"/>
        </w:rPr>
        <w:t>Equity Restructuring</w:t>
      </w:r>
      <w:r>
        <w:rPr>
          <w:rFonts w:ascii="Times New Roman;serif" w:hAnsi="Times New Roman;serif"/>
          <w:b w:val="false"/>
          <w:color w:val="000000"/>
          <w:sz w:val="21"/>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(i)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 (ii) adjusting the terms and conditions of (including the grant or exercise price), and the performance goals or other criteria included in, outstanding Awards; and (iii)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9.2</w:t>
      </w:r>
      <w:r>
        <w:rPr>
          <w:rFonts w:ascii="Times New Roman;serif" w:hAnsi="Times New Roman;serif"/>
          <w:b w:val="false"/>
          <w:color w:val="000000"/>
          <w:sz w:val="21"/>
          <w:u w:val="single"/>
        </w:rPr>
        <w:t>Corporate Transactions</w:t>
      </w:r>
      <w:r>
        <w:rPr>
          <w:rFonts w:ascii="Times New Roman;serif" w:hAnsi="Times New Roman;serif"/>
          <w:b w:val="false"/>
          <w:color w:val="000000"/>
          <w:sz w:val="21"/>
        </w:rPr>
        <w:t xml:space="preserve">. In the event of any extraordinary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(a)</w:t>
      </w:r>
      <w:r>
        <w:rPr>
          <w:rFonts w:ascii="Times New Roman;serif" w:hAnsi="Times New Roman;serif"/>
          <w:b w:val="false"/>
          <w:color w:val="000000"/>
          <w:sz w:val="21"/>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in each case as of the date of such cancellation; provided that, if the amount that could have been obtained upon the exercise or settlement of the vested portion of such Award or realization of the Participant’s rights, in any case, is equal to or less than zero, then the Award may be terminated without payment;</w:t>
      </w:r>
    </w:p>
    <w:p>
      <w:pPr>
        <w:pStyle w:val="TextBody"/>
        <w:bidi w:val="0"/>
        <w:spacing w:lineRule="auto" w:line="288" w:before="0" w:after="0"/>
        <w:ind w:left="0" w:right="0" w:firstLine="1440"/>
        <w:jc w:val="both"/>
        <w:rPr/>
      </w:pPr>
      <w:r>
        <w:rPr>
          <w:rFonts w:ascii="Times New Roman;serif" w:hAnsi="Times New Roman;serif"/>
          <w:b w:val="false"/>
          <w:color w:val="000000"/>
          <w:sz w:val="21"/>
        </w:rPr>
        <w:t>(b)</w:t>
      </w:r>
      <w:r>
        <w:rPr>
          <w:rFonts w:ascii="Times New Roman;serif" w:hAnsi="Times New Roman;serif"/>
          <w:b w:val="false"/>
          <w:color w:val="000000"/>
          <w:sz w:val="21"/>
        </w:rPr>
        <w:t>To provide that such Award shall vest and, to the extent applicable, be exercisable as to all Shares (or other property) covered thereby, notwithstanding anything to the contrary in the Plan or the provisions of such Award;</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(c)</w:t>
      </w:r>
      <w:r>
        <w:rPr>
          <w:rFonts w:ascii="Times New Roman;serif" w:hAnsi="Times New Roman;serif"/>
          <w:b w:val="false"/>
          <w:color w:val="000000"/>
          <w:sz w:val="21"/>
        </w:rPr>
        <w:t xml:space="preserve">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(d)</w:t>
      </w:r>
      <w:r>
        <w:rPr>
          <w:rFonts w:ascii="Times New Roman;serif" w:hAnsi="Times New Roman;serif"/>
          <w:b w:val="false"/>
          <w:color w:val="000000"/>
          <w:sz w:val="21"/>
        </w:rPr>
        <w:t xml:space="preserve">To make adjustments in the number and type of Shares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and the criteria included in, outstanding Awards;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(e)</w:t>
      </w:r>
      <w:r>
        <w:rPr>
          <w:rFonts w:ascii="Times New Roman;serif" w:hAnsi="Times New Roman;serif"/>
          <w:b w:val="false"/>
          <w:color w:val="000000"/>
          <w:sz w:val="21"/>
        </w:rPr>
        <w:t>To replace such Award with other rights or property selected by the Administrator; or</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(f)</w:t>
      </w:r>
      <w:r>
        <w:rPr>
          <w:rFonts w:ascii="Times New Roman;serif" w:hAnsi="Times New Roman;serif"/>
          <w:b w:val="false"/>
          <w:color w:val="000000"/>
          <w:sz w:val="21"/>
        </w:rPr>
        <w:t>To provide that the Award will terminate and cannot vest, be exercised or become payable after the applicable event.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val="false"/>
          <w:color w:val="000000"/>
          <w:sz w:val="21"/>
        </w:rPr>
        <w:t>9.3</w:t>
      </w:r>
      <w:r>
        <w:rPr>
          <w:rFonts w:ascii="Times New Roman;serif" w:hAnsi="Times New Roman;serif"/>
          <w:b w:val="false"/>
          <w:color w:val="000000"/>
          <w:sz w:val="21"/>
          <w:u w:val="single"/>
        </w:rPr>
        <w:t>Change in Control</w:t>
      </w:r>
      <w:r>
        <w:rPr>
          <w:rFonts w:ascii="Times New Roman;serif" w:hAnsi="Times New Roman;serif"/>
          <w:b w:val="false"/>
          <w:color w:val="000000"/>
          <w:sz w:val="21"/>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(a)</w:t>
      </w:r>
      <w:r>
        <w:rPr>
          <w:rFonts w:ascii="Times New Roman;serif" w:hAnsi="Times New Roman;serif"/>
          <w:b w:val="false"/>
          <w:color w:val="000000"/>
          <w:sz w:val="21"/>
        </w:rPr>
        <w:t xml:space="preserve">Notwithstanding any other provision of the Plan, in the event of a Change in Control, unless the Administrator elects to (i) terminate an Award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(b)</w:t>
      </w:r>
      <w:r>
        <w:rPr>
          <w:rFonts w:ascii="Times New Roman;serif" w:hAnsi="Times New Roman;serif"/>
          <w:b w:val="false"/>
          <w:color w:val="000000"/>
          <w:sz w:val="21"/>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(c)</w:t>
      </w:r>
      <w:r>
        <w:rPr>
          <w:rFonts w:ascii="Times New Roman;serif" w:hAnsi="Times New Roman;serif"/>
          <w:b w:val="false"/>
          <w:color w:val="000000"/>
          <w:sz w:val="21"/>
        </w:rPr>
        <w:t>Notwithstanding anything to the contrary herein, if a Participant experiences a Termination of Service during the period beginning three months prior to and ending 12 months following the closing of a Change in Control that is effected by the Company without Cause or by the Participant for Good Reason, then, the Award(s) (other than any portion subject to performance-based vesting, which shall be handled as specified in the individual Award Agreement or as otherwise provided by the Administrator) held by such Participant shall become fully vested and, if applicable, exercisable and all forfeiture restrictions on such Award(s) shall lapse as of immediately prior to the consummation of such Change in Control or, if later, the date of such Termination of Service.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9.4</w:t>
      </w:r>
      <w:r>
        <w:rPr>
          <w:rFonts w:ascii="Times New Roman;serif" w:hAnsi="Times New Roman;serif"/>
          <w:b w:val="false"/>
          <w:color w:val="000000"/>
          <w:sz w:val="21"/>
          <w:u w:val="single"/>
        </w:rPr>
        <w:t>Administrative Stand Still</w:t>
      </w:r>
      <w:r>
        <w:rPr>
          <w:rFonts w:ascii="Times New Roman;serif" w:hAnsi="Times New Roman;serif"/>
          <w:b w:val="false"/>
          <w:color w:val="000000"/>
          <w:sz w:val="21"/>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Administrator may refuse to permit the exercise or settlement of one or more Awards for such period of time as the Company may determine to be reasonably appropriate under the circumstances.</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1"/>
        </w:rPr>
        <w:t>9.5</w:t>
      </w:r>
      <w:r>
        <w:rPr>
          <w:rFonts w:ascii="Times New Roman;serif" w:hAnsi="Times New Roman;serif"/>
          <w:b w:val="false"/>
          <w:color w:val="000000"/>
          <w:sz w:val="21"/>
          <w:u w:val="single"/>
        </w:rPr>
        <w:t>General</w:t>
      </w:r>
      <w:r>
        <w:rPr>
          <w:rFonts w:ascii="Times New Roman;serif" w:hAnsi="Times New Roman;serif"/>
          <w:b w:val="false"/>
          <w:color w:val="000000"/>
          <w:sz w:val="21"/>
        </w:rPr>
        <w:t xml:space="preserve">.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spinoff, dissolution or liquidation of the Company or sale of Company assets or (iii) any sale or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 xml:space="preserve">issuance of securities, including securities with rights superior to those of the Shares or securities convertible into or exchangeable for Shares. </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color w:val="000000"/>
          <w:sz w:val="21"/>
        </w:rPr>
        <w:t>ARTICLE 10</w:t>
      </w:r>
      <w:r>
        <w:rPr>
          <w:rFonts w:ascii="Times New Roman;serif" w:hAnsi="Times New Roman;serif"/>
          <w:b/>
          <w:color w:val="000000"/>
          <w:sz w:val="21"/>
        </w:rPr>
        <w:br/>
        <w:t>PROVISIONS APPLICABLE TO AWARDS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10.1</w:t>
      </w:r>
      <w:r>
        <w:rPr>
          <w:rFonts w:ascii="Times New Roman;serif" w:hAnsi="Times New Roman;serif"/>
          <w:b w:val="false"/>
          <w:color w:val="000000"/>
          <w:sz w:val="21"/>
          <w:u w:val="single"/>
        </w:rPr>
        <w:t>Transferability</w:t>
      </w:r>
      <w:r>
        <w:rPr>
          <w:rFonts w:ascii="Times New Roman;serif" w:hAnsi="Times New Roman;serif"/>
          <w:b w:val="false"/>
          <w:color w:val="000000"/>
          <w:sz w:val="21"/>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(a)</w:t>
      </w:r>
      <w:r>
        <w:rPr>
          <w:rFonts w:ascii="Times New Roman;serif" w:hAnsi="Times New Roman;serif"/>
          <w:b w:val="false"/>
          <w:color w:val="000000"/>
          <w:sz w:val="21"/>
        </w:rPr>
        <w:t xml:space="preserve">No Award may be sold, assigned, transferred, pledged or otherwise encumbered, either voluntarily or by operation of law, except by will or the laws of descent and distribution, or, subject to the Administrator’s consent, pursuant to a DRO,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(b)</w:t>
      </w:r>
      <w:r>
        <w:rPr>
          <w:rFonts w:ascii="Times New Roman;serif" w:hAnsi="Times New Roman;serif"/>
          <w:b w:val="false"/>
          <w:color w:val="000000"/>
          <w:sz w:val="21"/>
        </w:rPr>
        <w:t xml:space="preserve">Notwithstanding Section 10.1(a), the Administrator, in its sole discretion, may determine to permit a Participant or a Permitted Transferee of such Participant to transfer an Award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DRO;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(c)</w:t>
      </w:r>
      <w:r>
        <w:rPr>
          <w:rFonts w:ascii="Times New Roman;serif" w:hAnsi="Times New Roman;serif"/>
          <w:b w:val="false"/>
          <w:color w:val="000000"/>
          <w:sz w:val="21"/>
        </w:rPr>
        <w:t>Notwithstanding Section 10.1(a), if permitted by the Administrator,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 delivered in writing to the Administrator prior to the Participant’s death.</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1"/>
        </w:rPr>
        <w:t>10.2</w:t>
      </w:r>
      <w:r>
        <w:rPr>
          <w:rFonts w:ascii="Times New Roman;serif" w:hAnsi="Times New Roman;serif"/>
          <w:b w:val="false"/>
          <w:color w:val="000000"/>
          <w:sz w:val="21"/>
          <w:u w:val="single"/>
        </w:rPr>
        <w:t>Documentation</w:t>
      </w:r>
      <w:r>
        <w:rPr>
          <w:rFonts w:ascii="Times New Roman;serif" w:hAnsi="Times New Roman;serif"/>
          <w:b w:val="false"/>
          <w:color w:val="000000"/>
          <w:sz w:val="21"/>
        </w:rPr>
        <w:t xml:space="preserve">.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10.3</w:t>
      </w:r>
      <w:r>
        <w:rPr>
          <w:rFonts w:ascii="Times New Roman;serif" w:hAnsi="Times New Roman;serif"/>
          <w:b w:val="false"/>
          <w:color w:val="000000"/>
          <w:sz w:val="21"/>
          <w:u w:val="single"/>
        </w:rPr>
        <w:t>Discretion</w:t>
      </w:r>
      <w:r>
        <w:rPr>
          <w:rFonts w:ascii="Times New Roman;serif" w:hAnsi="Times New Roman;serif"/>
          <w:b w:val="false"/>
          <w:color w:val="000000"/>
          <w:sz w:val="21"/>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10.4</w:t>
      </w:r>
      <w:r>
        <w:rPr>
          <w:rFonts w:ascii="Times New Roman;serif" w:hAnsi="Times New Roman;serif"/>
          <w:b w:val="false"/>
          <w:color w:val="000000"/>
          <w:sz w:val="21"/>
          <w:u w:val="single"/>
        </w:rPr>
        <w:t>Changes in Participant’s Status</w:t>
      </w:r>
      <w:r>
        <w:rPr>
          <w:rFonts w:ascii="Times New Roman;serif" w:hAnsi="Times New Roman;serif"/>
          <w:b w:val="false"/>
          <w:color w:val="000000"/>
          <w:sz w:val="21"/>
        </w:rPr>
        <w:t>. The Administrator will determine how the disability, death, retirement, authorized leave of absence or any other change or purported change in a Participant’s Eligible Employee status affects an Award and the extent to which, and the period during which, the 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10.5</w:t>
      </w:r>
      <w:r>
        <w:rPr>
          <w:rFonts w:ascii="Times New Roman;serif" w:hAnsi="Times New Roman;serif"/>
          <w:b w:val="false"/>
          <w:color w:val="000000"/>
          <w:sz w:val="21"/>
          <w:u w:val="single"/>
        </w:rPr>
        <w:t>Withholding</w:t>
      </w:r>
      <w:r>
        <w:rPr>
          <w:rFonts w:ascii="Times New Roman;serif" w:hAnsi="Times New Roman;serif"/>
          <w:b w:val="false"/>
          <w:color w:val="000000"/>
          <w:sz w:val="21"/>
        </w:rPr>
        <w:t>. Each Participant must pay the Company or a Subsidiary or other Participant’s employing company, as applicable, or make provision satisfactory to the Administrator for payment of, any Tax-Related Items required by Applicable Law to be withheld in connection with such Participant’s Awards and/or Shares by the date of the event creating the liability for Tax-Related Items. At the Company’s discretion and subject to any Company insider trading policy (including black-out periods), any withholding obligation for Tax-Related Items may be satisfied by (i) deducting an amount sufficient to satisfy such withholding obligation from any payment of any kind otherwise due to a Participant; (ii) accepting a payment from the Participant in cash, by wire transfer of immediately available funds, or by check made payable to the order of the Company or a Subsidiary, as applicable; (iii) accepting the delivery of Shares, including Shares delivered by attestation; (iv) retaining Shares from the Award creating the withholding obligation for Tax-Related Items, valued on the date of delivery; (v) if there is a public market for Shares at the time the withholding obligation for Tax-Related Items is to be satisfied, selling Shares issued pursuant to the Award creating the withholding obligation for Tax-Related Items, either voluntarily by the Participant or mandatorily by the Company; (vi) accepting delivery of a promissory note or any other lawful consideration; or (vii) any combination of the foregoing payment forms. The amount withheld pursuant to any of the foregoing payment forms shall be determined by the Company and may be up to, but no greater than, the aggregate amount of such obligations based on the maximum statutory withholding rates in the applicable Participant’s jurisdiction for all Tax-Related Items that are applicable to such taxable income. If any tax withholding obligation will be satisfied under clause (v) of the preceding paragraph, each Participant’s acceptance of an Award under the Plan will constitute the Participant’s authorization to the Company and instruction and authorization to any brokerage firm selected by the Company to effect the sale to complete the transactions described in clause (v).</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10.6</w:t>
      </w:r>
      <w:r>
        <w:rPr>
          <w:rFonts w:ascii="Times New Roman;serif" w:hAnsi="Times New Roman;serif"/>
          <w:b w:val="false"/>
          <w:color w:val="000000"/>
          <w:sz w:val="21"/>
          <w:u w:val="single"/>
        </w:rPr>
        <w:t>Amendment of Award; Repricing</w:t>
      </w:r>
      <w:r>
        <w:rPr>
          <w:rFonts w:ascii="Times New Roman;serif" w:hAnsi="Times New Roman;serif"/>
          <w:b w:val="false"/>
          <w:color w:val="000000"/>
          <w:sz w:val="21"/>
        </w:rPr>
        <w:t>. The Administrator may amend, modify or terminate any outstanding Award, including by substituting another Award of the same or a different type and changing the exercise or settlement date. The Participant’s consent to such action will be required unless (i) the action, taking into account any related action, does not materially and adversely affect the Participant’s rights under the Award, or (ii) the change is permitted under Article IX or pursuant to Section 11.6. In addition, the Administrator shall, without the approval of the stockholders of the Company, have the authority to (a) amend any outstanding Option or Stock Appreciation Right to reduce its exercise price per Share or (b) cancel any Option or Stock Appreciation Right in exchange for cash or another Award.</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1"/>
        </w:rPr>
        <w:t>10.7</w:t>
      </w:r>
      <w:r>
        <w:rPr>
          <w:rFonts w:ascii="Times New Roman;serif" w:hAnsi="Times New Roman;serif"/>
          <w:b w:val="false"/>
          <w:color w:val="000000"/>
          <w:sz w:val="21"/>
          <w:u w:val="single"/>
        </w:rPr>
        <w:t>Conditions on Delivery of Stock</w:t>
      </w:r>
      <w:r>
        <w:rPr>
          <w:rFonts w:ascii="Times New Roman;serif" w:hAnsi="Times New Roman;serif"/>
          <w:b w:val="false"/>
          <w:color w:val="000000"/>
          <w:sz w:val="21"/>
        </w:rPr>
        <w:t xml:space="preserve">.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without limitation, any applicable securities laws and stock exchange or stock market rules and regulations, (iii) any approvals from governmental agencies that the Company determines are necessary or advisable have been obtained, and (iv) the Participant has executed and delivered to the Company such representations or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agreements as the Administrator deems necessary or appropriate to satisfy Applicable Law. The inability or impracticability of the Company to obtain or maintain authority to issue or sell any securities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Administrator may determine to amend or cancel Awards pertaining to such Shares, with or without consideration to the Participant.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10.8</w:t>
      </w:r>
      <w:r>
        <w:rPr>
          <w:rFonts w:ascii="Times New Roman;serif" w:hAnsi="Times New Roman;serif"/>
          <w:b w:val="false"/>
          <w:color w:val="000000"/>
          <w:sz w:val="21"/>
          <w:u w:val="single"/>
        </w:rPr>
        <w:t>Acceleration</w:t>
      </w:r>
      <w:r>
        <w:rPr>
          <w:rFonts w:ascii="Times New Roman;serif" w:hAnsi="Times New Roman;serif"/>
          <w:b w:val="false"/>
          <w:color w:val="000000"/>
          <w:sz w:val="21"/>
        </w:rPr>
        <w:t xml:space="preserve">. The Administrator may at any time provide that any Award will become immediately vested and fully or partially exercisable, free of some or all restrictions or conditions, or otherwise fully or partially realizable. </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color w:val="000000"/>
          <w:sz w:val="21"/>
        </w:rPr>
        <w:t>ARTICLE 11</w:t>
      </w:r>
      <w:r>
        <w:rPr>
          <w:rFonts w:ascii="Times New Roman;serif" w:hAnsi="Times New Roman;serif"/>
          <w:b/>
          <w:color w:val="000000"/>
          <w:sz w:val="21"/>
        </w:rPr>
        <w:br/>
        <w:t>MISCELLANEOUS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11.1</w:t>
      </w:r>
      <w:r>
        <w:rPr>
          <w:rFonts w:ascii="Times New Roman;serif" w:hAnsi="Times New Roman;serif"/>
          <w:b w:val="false"/>
          <w:color w:val="000000"/>
          <w:sz w:val="21"/>
          <w:u w:val="single"/>
        </w:rPr>
        <w:t>No Right to Employment or Other Status</w:t>
      </w:r>
      <w:r>
        <w:rPr>
          <w:rFonts w:ascii="Times New Roman;serif" w:hAnsi="Times New Roman;serif"/>
          <w:b w:val="false"/>
          <w:color w:val="000000"/>
          <w:sz w:val="21"/>
        </w:rPr>
        <w:t>. No person will have any claim or right to be granted an Award, and the grant of an Award will not be construed as giving a Participant the right to commence or continue employment or any other relationship with the Company or a Subsidiary. The Company and its Subsidiaries expressly reserve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11.2</w:t>
      </w:r>
      <w:r>
        <w:rPr>
          <w:rFonts w:ascii="Times New Roman;serif" w:hAnsi="Times New Roman;serif"/>
          <w:b w:val="false"/>
          <w:color w:val="000000"/>
          <w:sz w:val="21"/>
          <w:u w:val="single"/>
        </w:rPr>
        <w:t>No Rights as Stockholder; Certificates</w:t>
      </w:r>
      <w:r>
        <w:rPr>
          <w:rFonts w:ascii="Times New Roman;serif" w:hAnsi="Times New Roman;serif"/>
          <w:b w:val="false"/>
          <w:color w:val="000000"/>
          <w:sz w:val="21"/>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1"/>
        </w:rPr>
        <w:t>11.3</w:t>
      </w:r>
      <w:r>
        <w:rPr>
          <w:rFonts w:ascii="Times New Roman;serif" w:hAnsi="Times New Roman;serif"/>
          <w:b w:val="false"/>
          <w:color w:val="000000"/>
          <w:sz w:val="21"/>
          <w:u w:val="single"/>
        </w:rPr>
        <w:t>Effective Date</w:t>
      </w:r>
      <w:r>
        <w:rPr>
          <w:rFonts w:ascii="Times New Roman;serif" w:hAnsi="Times New Roman;serif"/>
          <w:b w:val="false"/>
          <w:color w:val="000000"/>
          <w:sz w:val="21"/>
        </w:rPr>
        <w:t>. The Plan (as in effect prior to this amendment) was effective as of November 3, 2022, the date the Board adopted the Plan (the “</w:t>
      </w:r>
      <w:r>
        <w:rPr>
          <w:rFonts w:ascii="Times New Roman;serif" w:hAnsi="Times New Roman;serif"/>
          <w:b/>
          <w:i/>
          <w:color w:val="000000"/>
          <w:sz w:val="21"/>
        </w:rPr>
        <w:t>Effective Date</w:t>
      </w:r>
      <w:r>
        <w:rPr>
          <w:color w:val="000000"/>
        </w:rPr>
        <w:t>”</w:t>
      </w:r>
      <w:r>
        <w:rPr>
          <w:rFonts w:ascii="Times New Roman;serif" w:hAnsi="Times New Roman;serif"/>
          <w:b w:val="false"/>
          <w:color w:val="000000"/>
          <w:sz w:val="21"/>
        </w:rPr>
        <w:t>). This Plan (as amended and restated) will become effective on February 10, 2026, the date the Board approved the amendment to the Plan (the “</w:t>
      </w:r>
      <w:r>
        <w:rPr>
          <w:rFonts w:ascii="Times New Roman;serif" w:hAnsi="Times New Roman;serif"/>
          <w:b/>
          <w:i/>
          <w:color w:val="000000"/>
          <w:sz w:val="21"/>
        </w:rPr>
        <w:t>Amendment Effective Date</w:t>
      </w:r>
      <w:r>
        <w:rPr>
          <w:color w:val="000000"/>
        </w:rPr>
        <w:t>”</w:t>
      </w:r>
      <w:r>
        <w:rPr>
          <w:rFonts w:ascii="Times New Roman;serif" w:hAnsi="Times New Roman;serif"/>
          <w:b w:val="false"/>
          <w:color w:val="000000"/>
          <w:sz w:val="21"/>
        </w:rPr>
        <w:t xml:space="preserve">). Changes made pursuant to this amendment shall only apply as of the Amendment Effective Date. It is expressly intended that approval of the Company’s stockholders not be required as a condition of the effectiveness of the Plan, and the Plan’s provisions shall be interpreted in a manner consistent with such intent for all purposes. Specifically, Nasdaq 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Nasdaq Stock Market Rule 5635(c)(4) provides an exception to this requirement for issuances of securities to a person not previously an employee or director of the issuer, or following a bona fide period of non-employment, as an inducement material to the individual’s entering into employment with the issuer; provided, such issuances are approved by either the issuer’s compensation committee comprised of a majority of independent directors or a majority of the issuer’s independent directors. Notwithstanding anything to the contrary herein, awards under the Plan may only be made to employees who have not previously been an employee or director of the Company or a Subsidiary, or following a bona fide period of non-employment by the Company or a Subsidiary, as an inducement material to the employee’s entering into employment with the Company or a Subsidiary. Awards under the Plan will be approved by the Administrator. Accordingly, pursuant to Nasdaq Stock Market Rule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5635(c)(4), the issuance of Awards and the Shares issuable upon exercise or vesting of such Awards pursuant to the Plan are not subject to the approval of the Company’s stockholders.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11.4</w:t>
      </w:r>
      <w:r>
        <w:rPr>
          <w:rFonts w:ascii="Times New Roman;serif" w:hAnsi="Times New Roman;serif"/>
          <w:b w:val="false"/>
          <w:color w:val="000000"/>
          <w:sz w:val="21"/>
          <w:u w:val="single"/>
        </w:rPr>
        <w:t>Amendment of Plan</w:t>
      </w:r>
      <w:r>
        <w:rPr>
          <w:rFonts w:ascii="Times New Roman;serif" w:hAnsi="Times New Roman;serif"/>
          <w:b w:val="false"/>
          <w:color w:val="000000"/>
          <w:sz w:val="21"/>
        </w:rPr>
        <w:t xml:space="preserve">. The Board may amend, suspend or terminate the Plan at any time and from time to time; provided that (a) no amendment requiring stockholder approval to comply with Applicable Law shall be effective unless approved by the stockholders, and (b) no amendment, other than an increase the number of Shares available for issuance under the Plan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each in effect before such suspension or termination.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11.5</w:t>
      </w:r>
      <w:r>
        <w:rPr>
          <w:rFonts w:ascii="Times New Roman;serif" w:hAnsi="Times New Roman;serif"/>
          <w:b w:val="false"/>
          <w:color w:val="000000"/>
          <w:sz w:val="21"/>
          <w:u w:val="single"/>
        </w:rPr>
        <w:t>Provisions for Foreign Participants</w:t>
      </w:r>
      <w:r>
        <w:rPr>
          <w:rFonts w:ascii="Times New Roman;serif" w:hAnsi="Times New Roman;serif"/>
          <w:b w:val="false"/>
          <w:color w:val="000000"/>
          <w:sz w:val="21"/>
        </w:rPr>
        <w:t xml:space="preserve">. The Administrator may modify Awards granted to Participants who are nationals of a country other than the United States or employed or residing outside the United States, establish subplans or procedures under the Plan or take any other necessary or appropriate action to address Applicable Law, including (a) differences in laws, rules, regulations or customs of such jurisdictions with respect to tax, securities, currency, employee benefit or other matters, (b) listing and other requirements of any non-U.S. securities exchange, and (c) any necessary local governmental or regulatory exemptions or approvals.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11.6</w:t>
      </w:r>
      <w:r>
        <w:rPr>
          <w:rFonts w:ascii="Times New Roman;serif" w:hAnsi="Times New Roman;serif"/>
          <w:b w:val="false"/>
          <w:color w:val="000000"/>
          <w:sz w:val="21"/>
          <w:u w:val="single"/>
        </w:rPr>
        <w:t>Section 409A</w:t>
      </w:r>
      <w:r>
        <w:rPr>
          <w:rFonts w:ascii="Times New Roman;serif" w:hAnsi="Times New Roman;serif"/>
          <w:b w:val="false"/>
          <w:color w:val="000000"/>
          <w:sz w:val="21"/>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(a)</w:t>
      </w:r>
      <w:r>
        <w:rPr>
          <w:rFonts w:ascii="Times New Roman;serif" w:hAnsi="Times New Roman;serif"/>
          <w:b w:val="false"/>
          <w:i/>
          <w:color w:val="000000"/>
          <w:sz w:val="21"/>
        </w:rPr>
        <w:t>General</w:t>
      </w:r>
      <w:r>
        <w:rPr>
          <w:rFonts w:ascii="Times New Roman;serif" w:hAnsi="Times New Roman;serif"/>
          <w:b w:val="false"/>
          <w:color w:val="000000"/>
          <w:sz w:val="21"/>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(b)</w:t>
      </w:r>
      <w:r>
        <w:rPr>
          <w:rFonts w:ascii="Times New Roman;serif" w:hAnsi="Times New Roman;serif"/>
          <w:b w:val="false"/>
          <w:i/>
          <w:color w:val="000000"/>
          <w:sz w:val="21"/>
        </w:rPr>
        <w:t>Separation from Service</w:t>
      </w:r>
      <w:r>
        <w:rPr>
          <w:rFonts w:ascii="Times New Roman;serif" w:hAnsi="Times New Roman;serif"/>
          <w:b w:val="false"/>
          <w:color w:val="000000"/>
          <w:sz w:val="21"/>
        </w:rPr>
        <w:t>. If an Award constitutes “nonqualified deferred compensation” under Section 409A, any payment or 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1"/>
        </w:rPr>
        <w:t>(c)</w:t>
      </w:r>
      <w:r>
        <w:rPr>
          <w:rFonts w:ascii="Times New Roman;serif" w:hAnsi="Times New Roman;serif"/>
          <w:b w:val="false"/>
          <w:i/>
          <w:color w:val="000000"/>
          <w:sz w:val="21"/>
        </w:rPr>
        <w:t>Payments to Specified Employees</w:t>
      </w:r>
      <w:r>
        <w:rPr>
          <w:rFonts w:ascii="Times New Roman;serif" w:hAnsi="Times New Roman;serif"/>
          <w:b w:val="false"/>
          <w:color w:val="000000"/>
          <w:sz w:val="21"/>
        </w:rPr>
        <w:t xml:space="preserve">.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(d)</w:t>
      </w:r>
      <w:r>
        <w:rPr>
          <w:rFonts w:ascii="Times New Roman;serif" w:hAnsi="Times New Roman;serif"/>
          <w:b w:val="false"/>
          <w:i/>
          <w:color w:val="000000"/>
          <w:sz w:val="21"/>
        </w:rPr>
        <w:t>Separate Payments</w:t>
      </w:r>
      <w:r>
        <w:rPr>
          <w:rFonts w:ascii="Times New Roman;serif" w:hAnsi="Times New Roman;serif"/>
          <w:b w:val="false"/>
          <w:color w:val="000000"/>
          <w:sz w:val="21"/>
        </w:rPr>
        <w:t>. If an Award includes a “series of installment payments” within the meaning of Section 1.409A-2(b)(2)(iii) of Section 409A, the Participant’s right to the series of installment payments will be treated as a right to a series of separate payments and not as a right to a single payment and, if an Award includes “dividend equivalents” within the meaning of Section 1.409A-3(e) of Section 409A, the Participant’s right to receive the dividend equivalents will be treated separately from the right to other amounts under the Award.</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1"/>
        </w:rPr>
        <w:t>(e)</w:t>
      </w:r>
      <w:r>
        <w:rPr>
          <w:rFonts w:ascii="Times New Roman;serif" w:hAnsi="Times New Roman;serif"/>
          <w:b w:val="false"/>
          <w:i/>
          <w:color w:val="000000"/>
          <w:sz w:val="21"/>
        </w:rPr>
        <w:t>Change in Control</w:t>
      </w:r>
      <w:r>
        <w:rPr>
          <w:rFonts w:ascii="Times New Roman;serif" w:hAnsi="Times New Roman;serif"/>
          <w:b w:val="false"/>
          <w:color w:val="000000"/>
          <w:sz w:val="21"/>
        </w:rPr>
        <w:t>. Any payment due upon a Change in Control of the Company will be paid only if such Change in Control constitutes a “change in ownership” or “change in effective control” within the meaning of Section 409A, and in the event that such Change in Control does not constitute a “change in the ownership” or “change in the effective control” within the meaning of Section 409A, such Award for which payment is due upon a Change in Control of the Company will vest upon the Change in Control and any payment will be delayed until the first compliant date under Section 409A.</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11.7</w:t>
      </w:r>
      <w:r>
        <w:rPr>
          <w:rFonts w:ascii="Times New Roman;serif" w:hAnsi="Times New Roman;serif"/>
          <w:b w:val="false"/>
          <w:color w:val="000000"/>
          <w:sz w:val="21"/>
          <w:u w:val="single"/>
        </w:rPr>
        <w:t>Limitations on Liability</w:t>
      </w:r>
      <w:r>
        <w:rPr>
          <w:rFonts w:ascii="Times New Roman;serif" w:hAnsi="Times New Roman;serif"/>
          <w:b w:val="false"/>
          <w:color w:val="000000"/>
          <w:sz w:val="21"/>
        </w:rPr>
        <w:t>. Notwithstanding any other provisions of the Plan, no individual acting as a director, officer or other Employee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or other Employee. The Company will indemnify and hold harmless each director, officer or other Employee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he or she gives the Company an opportunity, at its own expense, to handle and defend the same before he or she undertakes to handle and defend it on his or her own behalf.</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1"/>
        </w:rPr>
        <w:t>11.8</w:t>
      </w:r>
      <w:r>
        <w:rPr>
          <w:rFonts w:ascii="Times New Roman;serif" w:hAnsi="Times New Roman;serif"/>
          <w:b w:val="false"/>
          <w:color w:val="000000"/>
          <w:sz w:val="21"/>
          <w:u w:val="single"/>
        </w:rPr>
        <w:t>Data Privacy</w:t>
      </w:r>
      <w:r>
        <w:rPr>
          <w:rFonts w:ascii="Times New Roman;serif" w:hAnsi="Times New Roman;serif"/>
          <w:b w:val="false"/>
          <w:color w:val="000000"/>
          <w:sz w:val="21"/>
        </w:rPr>
        <w:t>. As a condition for receiving any Award, each Participant explicitly and unambiguously consents to the collection, use and transfer, in electronic or other form, of personal data as described in this Section 11.8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serif" w:hAnsi="Times New Roman;serif"/>
          <w:b/>
          <w:i/>
          <w:color w:val="000000"/>
          <w:sz w:val="21"/>
        </w:rPr>
        <w:t>Data</w:t>
      </w:r>
      <w:r>
        <w:rPr>
          <w:color w:val="000000"/>
        </w:rPr>
        <w:t>”</w:t>
      </w:r>
      <w:r>
        <w:rPr>
          <w:rFonts w:ascii="Times New Roman;serif" w:hAnsi="Times New Roman;serif"/>
          <w:b w:val="false"/>
          <w:color w:val="000000"/>
          <w:sz w:val="21"/>
        </w:rPr>
        <w:t xml:space="preserve">).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a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11.9</w:t>
      </w:r>
      <w:r>
        <w:rPr>
          <w:rFonts w:ascii="Times New Roman;serif" w:hAnsi="Times New Roman;serif"/>
          <w:b w:val="false"/>
          <w:color w:val="000000"/>
          <w:sz w:val="21"/>
          <w:u w:val="single"/>
        </w:rPr>
        <w:t>Severability</w:t>
      </w:r>
      <w:r>
        <w:rPr>
          <w:rFonts w:ascii="Times New Roman;serif" w:hAnsi="Times New Roman;serif"/>
          <w:b w:val="false"/>
          <w:color w:val="000000"/>
          <w:sz w:val="21"/>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11.10</w:t>
      </w:r>
      <w:r>
        <w:rPr>
          <w:rFonts w:ascii="Times New Roman;serif" w:hAnsi="Times New Roman;serif"/>
          <w:b w:val="false"/>
          <w:color w:val="000000"/>
          <w:sz w:val="21"/>
          <w:u w:val="single"/>
        </w:rPr>
        <w:t>Governing Documents</w:t>
      </w:r>
      <w:r>
        <w:rPr>
          <w:rFonts w:ascii="Times New Roman;serif" w:hAnsi="Times New Roman;serif"/>
          <w:b w:val="false"/>
          <w:color w:val="000000"/>
          <w:sz w:val="21"/>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11.11</w:t>
      </w:r>
      <w:r>
        <w:rPr>
          <w:rFonts w:ascii="Times New Roman;serif" w:hAnsi="Times New Roman;serif"/>
          <w:b w:val="false"/>
          <w:color w:val="000000"/>
          <w:sz w:val="21"/>
          <w:u w:val="single"/>
        </w:rPr>
        <w:t>Governing Law</w:t>
      </w:r>
      <w:r>
        <w:rPr>
          <w:rFonts w:ascii="Times New Roman;serif" w:hAnsi="Times New Roman;serif"/>
          <w:b w:val="false"/>
          <w:color w:val="000000"/>
          <w:sz w:val="21"/>
        </w:rPr>
        <w:t>. The Plan and all Awards will be governed by and interpreted in accordance with the laws of the State of Delaware, without regard to the conflict of law rules thereof or of any other jurisdiction.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the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11.12</w:t>
      </w:r>
      <w:r>
        <w:rPr>
          <w:rFonts w:ascii="Times New Roman;serif" w:hAnsi="Times New Roman;serif"/>
          <w:b w:val="false"/>
          <w:color w:val="000000"/>
          <w:sz w:val="21"/>
          <w:u w:val="single"/>
        </w:rPr>
        <w:t>Clawback Provisions</w:t>
      </w:r>
      <w:r>
        <w:rPr>
          <w:rFonts w:ascii="Times New Roman;serif" w:hAnsi="Times New Roman;serif"/>
          <w:b w:val="false"/>
          <w:color w:val="000000"/>
          <w:sz w:val="21"/>
        </w:rPr>
        <w:t xml:space="preserve">.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11.13</w:t>
      </w:r>
      <w:r>
        <w:rPr>
          <w:rFonts w:ascii="Times New Roman;serif" w:hAnsi="Times New Roman;serif"/>
          <w:b w:val="false"/>
          <w:color w:val="000000"/>
          <w:sz w:val="21"/>
          <w:u w:val="single"/>
        </w:rPr>
        <w:t>Titles and Headings</w:t>
      </w:r>
      <w:r>
        <w:rPr>
          <w:rFonts w:ascii="Times New Roman;serif" w:hAnsi="Times New Roman;serif"/>
          <w:b w:val="false"/>
          <w:color w:val="000000"/>
          <w:sz w:val="21"/>
        </w:rPr>
        <w:t>. The titles and headings in the Plan are for convenience of reference only and, if any conflict, the Plan’s text, rather than such titles or headings, will control.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11.14</w:t>
      </w:r>
      <w:r>
        <w:rPr>
          <w:rFonts w:ascii="Times New Roman;serif" w:hAnsi="Times New Roman;serif"/>
          <w:b w:val="false"/>
          <w:color w:val="000000"/>
          <w:sz w:val="21"/>
          <w:u w:val="single"/>
        </w:rPr>
        <w:t>Conformity to Applicable Law</w:t>
      </w:r>
      <w:r>
        <w:rPr>
          <w:rFonts w:ascii="Times New Roman;serif" w:hAnsi="Times New Roman;serif"/>
          <w:b w:val="false"/>
          <w:color w:val="000000"/>
          <w:sz w:val="21"/>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permits, the Plan and all Award Agreements will be deemed amended as necessary to conform to Applicable Law.</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1"/>
        </w:rPr>
        <w:t>11.15</w:t>
      </w:r>
      <w:r>
        <w:rPr>
          <w:rFonts w:ascii="Times New Roman;serif" w:hAnsi="Times New Roman;serif"/>
          <w:b w:val="false"/>
          <w:color w:val="000000"/>
          <w:sz w:val="21"/>
          <w:u w:val="single"/>
        </w:rPr>
        <w:t>Relationship to Other Benefits</w:t>
      </w:r>
      <w:r>
        <w:rPr>
          <w:rFonts w:ascii="Times New Roman;serif" w:hAnsi="Times New Roman;serif"/>
          <w:b w:val="false"/>
          <w:color w:val="000000"/>
          <w:sz w:val="21"/>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11.16</w:t>
      </w:r>
      <w:r>
        <w:rPr>
          <w:rFonts w:ascii="Times New Roman;serif" w:hAnsi="Times New Roman;serif"/>
          <w:b w:val="false"/>
          <w:color w:val="000000"/>
          <w:sz w:val="21"/>
          <w:u w:val="single"/>
        </w:rPr>
        <w:t>Unfunded Status of Awards</w:t>
      </w:r>
      <w:r>
        <w:rPr>
          <w:rFonts w:ascii="Times New Roman;serif" w:hAnsi="Times New Roman;serif"/>
          <w:b w:val="false"/>
          <w:color w:val="000000"/>
          <w:sz w:val="21"/>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11.17</w:t>
      </w:r>
      <w:r>
        <w:rPr>
          <w:rFonts w:ascii="Times New Roman;serif" w:hAnsi="Times New Roman;serif"/>
          <w:b w:val="false"/>
          <w:color w:val="000000"/>
          <w:sz w:val="21"/>
          <w:u w:val="single"/>
        </w:rPr>
        <w:t xml:space="preserve">Limitations Applicable to Section 16 Persons. </w:t>
      </w:r>
      <w:r>
        <w:rPr>
          <w:rFonts w:ascii="Times New Roman;serif" w:hAnsi="Times New Roman;serif"/>
          <w:b w:val="false"/>
          <w:color w:val="000000"/>
          <w:sz w:val="21"/>
        </w:rPr>
        <w:t>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11.18</w:t>
      </w:r>
      <w:r>
        <w:rPr>
          <w:rFonts w:ascii="Times New Roman;serif" w:hAnsi="Times New Roman;serif"/>
          <w:b w:val="false"/>
          <w:color w:val="000000"/>
          <w:sz w:val="21"/>
          <w:u w:val="single"/>
        </w:rPr>
        <w:t>Prohibition on Executive Officer Loans</w:t>
      </w:r>
      <w:r>
        <w:rPr>
          <w:rFonts w:ascii="Times New Roman;serif" w:hAnsi="Times New Roman;serif"/>
          <w:b w:val="false"/>
          <w:color w:val="000000"/>
          <w:sz w:val="21"/>
        </w:rPr>
        <w:t>. Notwithstanding any other provision of the Plan to the contrary, no Participant who is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1"/>
        </w:rPr>
        <w:t>11.19</w:t>
      </w:r>
      <w:r>
        <w:rPr>
          <w:rFonts w:ascii="Times New Roman;serif" w:hAnsi="Times New Roman;serif"/>
          <w:b w:val="false"/>
          <w:color w:val="000000"/>
          <w:sz w:val="21"/>
          <w:u w:val="single"/>
        </w:rPr>
        <w:t>Broker-Assisted Sales</w:t>
      </w:r>
      <w:r>
        <w:rPr>
          <w:rFonts w:ascii="Times New Roman;serif" w:hAnsi="Times New Roman;serif"/>
          <w:b w:val="false"/>
          <w:color w:val="000000"/>
          <w:sz w:val="21"/>
        </w:rPr>
        <w:t>.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and its directors, officers and other Employees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21.1</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Subsidiaries of Arteris,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(As of December 31, 2025)</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43"/>
        <w:gridCol w:w="2302"/>
        <w:gridCol w:w="2317"/>
        <w:gridCol w:w="109"/>
        <w:gridCol w:w="109"/>
        <w:gridCol w:w="109"/>
        <w:gridCol w:w="735"/>
        <w:gridCol w:w="735"/>
        <w:gridCol w:w="1046"/>
      </w:tblGrid>
      <w:tr>
        <w:trPr/>
        <w:tc>
          <w:tcPr>
            <w:tcW w:w="2743"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Name of 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Jurisdiction of Organization</w:t>
            </w:r>
          </w:p>
        </w:tc>
      </w:tr>
      <w:tr>
        <w:trPr/>
        <w:tc>
          <w:tcPr>
            <w:tcW w:w="7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Arteris Semiconductor Technology (Nanjing) Co., Ltd.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People’s Republic of China</w:t>
            </w:r>
          </w:p>
        </w:tc>
      </w:tr>
      <w:tr>
        <w:trPr/>
        <w:tc>
          <w:tcPr>
            <w:tcW w:w="7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Arteris IP Korea Limited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w:t>
            </w:r>
          </w:p>
        </w:tc>
      </w:tr>
      <w:tr>
        <w:trPr/>
        <w:tc>
          <w:tcPr>
            <w:tcW w:w="7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Arteris K.K.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7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Arteris IP SAS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r>
      <w:tr>
        <w:trPr/>
        <w:tc>
          <w:tcPr>
            <w:tcW w:w="7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Arteris HK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r>
        <w:trPr/>
        <w:tc>
          <w:tcPr>
            <w:tcW w:w="7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Arteris Poland Spółka z ograniczoną odpowiedzialnością also known as Arteris Poland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Poland</w:t>
            </w:r>
          </w:p>
        </w:tc>
      </w:tr>
      <w:tr>
        <w:trPr/>
        <w:tc>
          <w:tcPr>
            <w:tcW w:w="7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Sauternes Merger Sub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23.1</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Registration Statement No. 333-268257 and 333-292078 on Form S-3 and Registration Statement Nos. 333-260620, 333-263352, 333-268258, 333-270173, 333-277200 and 333-285039 on Form S-8 of our report dated February 12, 2026, relating to the financial statements of Arteris, Inc., appearing in this Annual Report on Form 10-K for the year ended December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San Jose, California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February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K. Charles Janac, certify that:</w:t>
      </w:r>
    </w:p>
    <w:tbl>
      <w:tblPr>
        <w:tblW w:w="5771" w:type="dxa"/>
        <w:jc w:val="left"/>
        <w:tblInd w:w="0" w:type="dxa"/>
        <w:tblLayout w:type="fixed"/>
        <w:tblCellMar>
          <w:top w:w="28" w:type="dxa"/>
          <w:left w:w="28" w:type="dxa"/>
          <w:bottom w:w="28" w:type="dxa"/>
          <w:right w:w="28" w:type="dxa"/>
        </w:tblCellMar>
      </w:tblPr>
      <w:tblGrid>
        <w:gridCol w:w="124"/>
        <w:gridCol w:w="109"/>
        <w:gridCol w:w="109"/>
        <w:gridCol w:w="1587"/>
        <w:gridCol w:w="1587"/>
        <w:gridCol w:w="22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Arteris,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15d-14(f))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20"/>
        <w:gridCol w:w="2778"/>
        <w:gridCol w:w="39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6025"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34"/>
        <w:gridCol w:w="134"/>
        <w:gridCol w:w="136"/>
        <w:gridCol w:w="938"/>
        <w:gridCol w:w="938"/>
        <w:gridCol w:w="133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 Charles Janac</w:t>
            </w:r>
          </w:p>
        </w:tc>
      </w:tr>
      <w:tr>
        <w:trPr/>
        <w:tc>
          <w:tcPr>
            <w:tcW w:w="2085"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 Charles Janac</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Nicholas B. Hawkins, certify that:</w:t>
      </w:r>
    </w:p>
    <w:tbl>
      <w:tblPr>
        <w:tblW w:w="5771" w:type="dxa"/>
        <w:jc w:val="left"/>
        <w:tblInd w:w="0" w:type="dxa"/>
        <w:tblLayout w:type="fixed"/>
        <w:tblCellMar>
          <w:top w:w="28" w:type="dxa"/>
          <w:left w:w="28" w:type="dxa"/>
          <w:bottom w:w="28" w:type="dxa"/>
          <w:right w:w="28" w:type="dxa"/>
        </w:tblCellMar>
      </w:tblPr>
      <w:tblGrid>
        <w:gridCol w:w="124"/>
        <w:gridCol w:w="109"/>
        <w:gridCol w:w="109"/>
        <w:gridCol w:w="1587"/>
        <w:gridCol w:w="1587"/>
        <w:gridCol w:w="22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Arteris,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15d-14(f))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20"/>
        <w:gridCol w:w="2778"/>
        <w:gridCol w:w="39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0"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6254"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100"/>
        <w:gridCol w:w="1100"/>
        <w:gridCol w:w="156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Nicholas B. Hawkins</w:t>
            </w:r>
          </w:p>
        </w:tc>
      </w:tr>
      <w:tr>
        <w:trPr/>
        <w:tc>
          <w:tcPr>
            <w:tcW w:w="2085"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Nicholas B. Hawkins</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18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Arteris, Inc. (the “Company”) on Form 10-K for the period ended December 31, 2025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tbl>
      <w:tblPr>
        <w:tblW w:w="6025"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09"/>
        <w:gridCol w:w="109"/>
        <w:gridCol w:w="109"/>
        <w:gridCol w:w="938"/>
        <w:gridCol w:w="938"/>
        <w:gridCol w:w="133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 Charles Janac</w:t>
            </w:r>
          </w:p>
        </w:tc>
      </w:tr>
      <w:tr>
        <w:trPr/>
        <w:tc>
          <w:tcPr>
            <w:tcW w:w="2085"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 Charles Janac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Annual Report of Arteris, Inc. (the “Company”) on Form 10-K for the period ended December 31, 2025 as filed with the Securities and Exchange Commission on the date hereof (the “Report”), I certify, pursuant to 18 U.S.C. § 1350, as adopted pursuant to § 906 of the Sarbanes-Oxley Act of 2002, that: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tbl>
      <w:tblPr>
        <w:tblW w:w="6581"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09"/>
        <w:gridCol w:w="109"/>
        <w:gridCol w:w="109"/>
        <w:gridCol w:w="1100"/>
        <w:gridCol w:w="1100"/>
        <w:gridCol w:w="156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12,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Nicholas B. Hawkins</w:t>
            </w:r>
          </w:p>
        </w:tc>
      </w:tr>
      <w:tr>
        <w:trPr/>
        <w:tc>
          <w:tcPr>
            <w:tcW w:w="2085"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Nicholas B. Hawkins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7011/000119312521313553/d211035dex31.htm" TargetMode="External"/><Relationship Id="rId3" Type="http://schemas.openxmlformats.org/officeDocument/2006/relationships/hyperlink" Target="https://www.sec.gov/Archives/edgar/data/1667011/000119312521313553/d211035dex32.htm" TargetMode="External"/><Relationship Id="rId4" Type="http://schemas.openxmlformats.org/officeDocument/2006/relationships/hyperlink" Target="https://www.sec.gov/Archives/edgar/data/1667011/000119312521300473/d52087dex41.htm" TargetMode="External"/><Relationship Id="rId5" Type="http://schemas.openxmlformats.org/officeDocument/2006/relationships/hyperlink" Target="https://www.sec.gov/Archives/edgar/data/0001667011/000119312521289866/d52087dex101.htm" TargetMode="External"/><Relationship Id="rId6" Type="http://schemas.openxmlformats.org/officeDocument/2006/relationships/hyperlink" Target="https://www.sec.gov/Archives/edgar/data/0001667011/000119312521289866/d52087dex102.htm" TargetMode="External"/><Relationship Id="rId7" Type="http://schemas.openxmlformats.org/officeDocument/2006/relationships/hyperlink" Target="https://www.sec.gov/Archives/edgar/data/0001667011/000119312521289866/d52087dex103.htm" TargetMode="External"/><Relationship Id="rId8" Type="http://schemas.openxmlformats.org/officeDocument/2006/relationships/hyperlink" Target="https://www.sec.gov/Archives/edgar/data/0001667011/000119312521289866/d52087dex104.htm" TargetMode="External"/><Relationship Id="rId9" Type="http://schemas.openxmlformats.org/officeDocument/2006/relationships/hyperlink" Target="https://www.sec.gov/Archives/edgar/data/0001667011/000119312521289866/d52087dex106.htm" TargetMode="External"/><Relationship Id="rId10" Type="http://schemas.openxmlformats.org/officeDocument/2006/relationships/hyperlink" Target="https://www.sec.gov/Archives/edgar/data/1667011/000119312521313603/d210056dex991a.htm" TargetMode="External"/><Relationship Id="rId11" Type="http://schemas.openxmlformats.org/officeDocument/2006/relationships/hyperlink" Target="https://www.sec.gov/Archives/edgar/data/0001667011/000119312521289866/d52087dex1012.htm" TargetMode="External"/><Relationship Id="rId12" Type="http://schemas.openxmlformats.org/officeDocument/2006/relationships/hyperlink" Target="https://www.sec.gov/Archives/edgar/data/1667011/000119312521313603/d210056dex992a.htm" TargetMode="External"/><Relationship Id="rId13" Type="http://schemas.openxmlformats.org/officeDocument/2006/relationships/hyperlink" Target="https://www.sec.gov/Archives/edgar/data/1667011/000119312521300473/d52087dex1014.htm" TargetMode="External"/><Relationship Id="rId14" Type="http://schemas.openxmlformats.org/officeDocument/2006/relationships/hyperlink" Target="https://www.sec.gov/Archives/edgar/data/1667011/000119312521300473/d52087dex1015.htm" TargetMode="External"/><Relationship Id="rId15" Type="http://schemas.openxmlformats.org/officeDocument/2006/relationships/hyperlink" Target="https://www.sec.gov/Archives/edgar/data/1667011/000119312521313603/d210056dex993.htm" TargetMode="External"/><Relationship Id="rId16" Type="http://schemas.openxmlformats.org/officeDocument/2006/relationships/hyperlink" Target="https://www.sec.gov/Archives/edgar/data/1667011/000119312521300473/d52087dex1017.htm" TargetMode="External"/><Relationship Id="rId17" Type="http://schemas.openxmlformats.org/officeDocument/2006/relationships/hyperlink" Target="https://www.sec.gov/Archives/edgar/data/1667011/000119312521300473/d52087dex1018.htm" TargetMode="External"/><Relationship Id="rId18" Type="http://schemas.openxmlformats.org/officeDocument/2006/relationships/hyperlink" Target="https://www.sec.gov/Archives/edgar/data/1667011/000119312521300473/d52087dex1019.htm" TargetMode="External"/><Relationship Id="rId19" Type="http://schemas.openxmlformats.org/officeDocument/2006/relationships/hyperlink" Target="https://www.sec.gov/Archives/edgar/data/1667011/000119312521353839/d251768dex101.htm" TargetMode="External"/><Relationship Id="rId20" Type="http://schemas.openxmlformats.org/officeDocument/2006/relationships/hyperlink" Target="https://www.sec.gov/Archives/edgar/data/1667011/000166701122000019/transchipsparedactions.htm" TargetMode="External"/><Relationship Id="rId21" Type="http://schemas.openxmlformats.org/officeDocument/2006/relationships/hyperlink" Target="https://www.sec.gov/Archives/edgar/data/1667011/000166701122000036/transchipsharepurchaseands.htm" TargetMode="External"/><Relationship Id="rId22" Type="http://schemas.openxmlformats.org/officeDocument/2006/relationships/hyperlink" Target="https://www.sec.gov/Archives/edgar/data/1667011/000166701122000036/arteris-2022employmentindu.htm" TargetMode="External"/><Relationship Id="rId23" Type="http://schemas.openxmlformats.org/officeDocument/2006/relationships/hyperlink" Target="https://www.sec.gov/Archives/edgar/data/1667011/000166701122000036/arteris-formoptionagreement.htm" TargetMode="External"/><Relationship Id="rId24" Type="http://schemas.openxmlformats.org/officeDocument/2006/relationships/hyperlink" Target="https://www.sec.gov/Archives/edgar/data/1667011/000166701122000036/arteris-formrsuagreement20.htm" TargetMode="External"/><Relationship Id="rId25" Type="http://schemas.openxmlformats.org/officeDocument/2006/relationships/hyperlink" Target="https://www.sec.gov/Archives/edgar/data/1667011/000166701124000026/exhibit101q2fy2410-q.htm" TargetMode="External"/><Relationship Id="rId26" Type="http://schemas.openxmlformats.org/officeDocument/2006/relationships/hyperlink" Target="https://www.sec.gov/Archives/edgar/data/1667011/000119312525315992/d18423dex21.htm" TargetMode="External"/><Relationship Id="rId27" Type="http://schemas.openxmlformats.org/officeDocument/2006/relationships/hyperlink" Target="https://www.sec.gov/Archives/edgar/data/1667011/000166701125000010/exhibit971fy2410-k.htm" TargetMode="External"/><Relationship Id="rId28" Type="http://schemas.openxmlformats.org/officeDocument/2006/relationships/hyperlink" Target="https://www.sec.gov/Archives/edgar/data/1667011/000166701124000010/exhibit971fy2310-k.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88386</Words>
  <Characters>494332</Characters>
  <CharactersWithSpaces>579714</CharactersWithSpaces>
  <Paragraphs>4185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