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Verdana;sans-serif" w:hAnsi="Verdana;sans-serif"/>
          <w:b/>
          <w:color w:val="000000"/>
          <w:sz w:val="36"/>
        </w:rPr>
      </w:pPr>
      <w:r>
        <w:rPr>
          <w:rFonts w:ascii="Verdana;sans-serif" w:hAnsi="Verdana;sans-serif"/>
          <w:b/>
          <w:color w:val="000000"/>
          <w:sz w:val="36"/>
        </w:rPr>
        <w:t>UNITED STATES</w:t>
      </w:r>
    </w:p>
    <w:p>
      <w:pPr>
        <w:pStyle w:val="TextBody"/>
        <w:bidi w:val="0"/>
        <w:spacing w:lineRule="auto" w:line="288" w:before="0" w:after="0"/>
        <w:jc w:val="center"/>
        <w:rPr>
          <w:rFonts w:ascii="Verdana;sans-serif" w:hAnsi="Verdana;sans-serif"/>
          <w:b/>
          <w:color w:val="000000"/>
          <w:sz w:val="36"/>
        </w:rPr>
      </w:pPr>
      <w:r>
        <w:rPr>
          <w:rFonts w:ascii="Verdana;sans-serif" w:hAnsi="Verdana;sans-serif"/>
          <w:b/>
          <w:color w:val="000000"/>
          <w:sz w:val="36"/>
        </w:rPr>
        <w:t>SECURITIES AND EXCHANGE COMMISSION</w:t>
      </w:r>
    </w:p>
    <w:p>
      <w:pPr>
        <w:pStyle w:val="TextBody"/>
        <w:bidi w:val="0"/>
        <w:spacing w:lineRule="auto" w:line="288" w:before="0" w:after="0"/>
        <w:jc w:val="center"/>
        <w:rPr>
          <w:rFonts w:ascii="Verdana;sans-serif" w:hAnsi="Verdana;sans-serif"/>
          <w:b/>
          <w:color w:val="000000"/>
          <w:sz w:val="20"/>
        </w:rPr>
      </w:pPr>
      <w:r>
        <w:rPr>
          <w:rFonts w:ascii="Verdana;sans-serif" w:hAnsi="Verdana;sans-serif"/>
          <w:b/>
          <w:color w:val="000000"/>
          <w:sz w:val="20"/>
        </w:rPr>
        <w:t>Washington, D.C. 20549</w:t>
      </w:r>
    </w:p>
    <w:p>
      <w:pPr>
        <w:pStyle w:val="TextBody"/>
        <w:bidi w:val="0"/>
        <w:spacing w:before="0" w:after="0"/>
        <w:jc w:val="center"/>
        <w:rPr/>
      </w:pPr>
      <w:r>
        <w:rPr/>
      </w:r>
    </w:p>
    <w:p>
      <w:pPr>
        <w:pStyle w:val="TextBody"/>
        <w:bidi w:val="0"/>
        <w:spacing w:lineRule="auto" w:line="288" w:before="20" w:after="283"/>
        <w:jc w:val="center"/>
        <w:rPr>
          <w:rFonts w:ascii="Verdana;sans-serif" w:hAnsi="Verdana;sans-serif"/>
          <w:b/>
          <w:color w:val="000000"/>
          <w:sz w:val="22"/>
        </w:rPr>
      </w:pPr>
      <w:r>
        <w:rPr>
          <w:rFonts w:ascii="Verdana;sans-serif" w:hAnsi="Verdana;sans-serif"/>
          <w:b/>
          <w:color w:val="000000"/>
          <w:sz w:val="22"/>
        </w:rPr>
        <w:t>FORM 10-Q</w:t>
      </w:r>
    </w:p>
    <w:p>
      <w:pPr>
        <w:pStyle w:val="TextBody"/>
        <w:bidi w:val="0"/>
        <w:spacing w:lineRule="auto" w:line="288" w:before="0" w:after="0"/>
        <w:jc w:val="left"/>
        <w:rPr>
          <w:rFonts w:ascii="Verdana;sans-serif" w:hAnsi="Verdana;sans-serif"/>
          <w:b/>
          <w:color w:val="000000"/>
          <w:sz w:val="16"/>
        </w:rPr>
      </w:pPr>
      <w:r>
        <w:rPr>
          <w:rFonts w:ascii="Verdana;sans-serif" w:hAnsi="Verdana;sans-serif"/>
          <w:b/>
          <w:color w:val="000000"/>
          <w:sz w:val="16"/>
        </w:rPr>
        <w:t>(Mark One)</w:t>
      </w:r>
    </w:p>
    <w:tbl>
      <w:tblPr>
        <w:tblW w:w="9476" w:type="dxa"/>
        <w:jc w:val="left"/>
        <w:tblInd w:w="0" w:type="dxa"/>
        <w:tblLayout w:type="fixed"/>
        <w:tblCellMar>
          <w:top w:w="28" w:type="dxa"/>
          <w:left w:w="28" w:type="dxa"/>
          <w:bottom w:w="28" w:type="dxa"/>
          <w:right w:w="28" w:type="dxa"/>
        </w:tblCellMar>
      </w:tblPr>
      <w:tblGrid>
        <w:gridCol w:w="124"/>
        <w:gridCol w:w="109"/>
        <w:gridCol w:w="109"/>
        <w:gridCol w:w="2674"/>
        <w:gridCol w:w="2674"/>
        <w:gridCol w:w="37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ingdings;sans-serif" w:hAnsi="Wingdings;sans-serif"/>
                <w:b/>
                <w:color w:val="000000"/>
                <w:sz w:val="16"/>
              </w:rPr>
            </w:pPr>
            <w:r>
              <w:rPr>
                <w:rFonts w:ascii="Wingdings;sans-serif" w:hAnsi="Wingdings;sans-serif"/>
                <w:b/>
                <w:color w:val="000000"/>
                <w:sz w:val="16"/>
              </w:rPr>
              <w:t>x</w:t>
            </w:r>
          </w:p>
        </w:tc>
        <w:tc>
          <w:tcPr>
            <w:tcW w:w="9134"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Verdana;sans-serif" w:hAnsi="Verdana;sans-serif"/>
                <w:b w:val="false"/>
                <w:color w:val="000000"/>
                <w:sz w:val="16"/>
              </w:rPr>
            </w:pPr>
            <w:r>
              <w:rPr>
                <w:rFonts w:ascii="Verdana;sans-serif" w:hAnsi="Verdana;sans-serif"/>
                <w:b w:val="false"/>
                <w:color w:val="000000"/>
                <w:sz w:val="16"/>
              </w:rPr>
              <w:t>QUARTERLY REPORT PURSUANT TO SECTION 13 OR 15(d) OF THE SECURITIES EXCHANGE ACT OF 1934</w:t>
            </w:r>
          </w:p>
        </w:tc>
      </w:tr>
    </w:tbl>
    <w:p>
      <w:pPr>
        <w:pStyle w:val="TextBody"/>
        <w:bidi w:val="0"/>
        <w:spacing w:lineRule="auto" w:line="288" w:before="200" w:after="283"/>
        <w:jc w:val="center"/>
        <w:rPr>
          <w:rFonts w:ascii="Verdana;sans-serif" w:hAnsi="Verdana;sans-serif"/>
          <w:b/>
          <w:color w:val="000000"/>
          <w:sz w:val="18"/>
        </w:rPr>
      </w:pPr>
      <w:r>
        <w:rPr>
          <w:rFonts w:ascii="Verdana;sans-serif" w:hAnsi="Verdana;sans-serif"/>
          <w:b/>
          <w:color w:val="000000"/>
          <w:sz w:val="18"/>
        </w:rPr>
        <w:t>For the quarterly period ended March 31, 2025</w:t>
      </w:r>
    </w:p>
    <w:p>
      <w:pPr>
        <w:pStyle w:val="TextBody"/>
        <w:bidi w:val="0"/>
        <w:spacing w:lineRule="auto" w:line="288" w:before="60" w:after="283"/>
        <w:jc w:val="center"/>
        <w:rPr>
          <w:rFonts w:ascii="Verdana;sans-serif" w:hAnsi="Verdana;sans-serif"/>
          <w:b/>
          <w:color w:val="000000"/>
          <w:sz w:val="16"/>
        </w:rPr>
      </w:pPr>
      <w:r>
        <w:rPr>
          <w:rFonts w:ascii="Verdana;sans-serif" w:hAnsi="Verdana;sans-serif"/>
          <w:b/>
          <w:color w:val="000000"/>
          <w:sz w:val="16"/>
        </w:rPr>
        <w:t>OR</w:t>
      </w:r>
    </w:p>
    <w:tbl>
      <w:tblPr>
        <w:tblW w:w="9552" w:type="dxa"/>
        <w:jc w:val="left"/>
        <w:tblInd w:w="0" w:type="dxa"/>
        <w:tblLayout w:type="fixed"/>
        <w:tblCellMar>
          <w:top w:w="28" w:type="dxa"/>
          <w:left w:w="28" w:type="dxa"/>
          <w:bottom w:w="28" w:type="dxa"/>
          <w:right w:w="28" w:type="dxa"/>
        </w:tblCellMar>
      </w:tblPr>
      <w:tblGrid>
        <w:gridCol w:w="124"/>
        <w:gridCol w:w="109"/>
        <w:gridCol w:w="109"/>
        <w:gridCol w:w="2698"/>
        <w:gridCol w:w="2698"/>
        <w:gridCol w:w="3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ingdings;sans-serif" w:hAnsi="Wingdings;sans-serif"/>
                <w:b w:val="false"/>
                <w:color w:val="000000"/>
                <w:sz w:val="16"/>
              </w:rPr>
            </w:pPr>
            <w:r>
              <w:rPr>
                <w:rFonts w:ascii="Wingdings;sans-serif" w:hAnsi="Wingdings;sans-serif"/>
                <w:b w:val="false"/>
                <w:color w:val="000000"/>
                <w:sz w:val="16"/>
              </w:rPr>
              <w:t>o</w:t>
            </w:r>
          </w:p>
        </w:tc>
        <w:tc>
          <w:tcPr>
            <w:tcW w:w="9210"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Verdana;sans-serif" w:hAnsi="Verdana;sans-serif"/>
                <w:b w:val="false"/>
                <w:color w:val="000000"/>
                <w:sz w:val="16"/>
              </w:rPr>
            </w:pPr>
            <w:r>
              <w:rPr>
                <w:rFonts w:ascii="Verdana;sans-serif" w:hAnsi="Verdana;sans-serif"/>
                <w:b w:val="false"/>
                <w:color w:val="000000"/>
                <w:sz w:val="16"/>
              </w:rPr>
              <w:t>TRANSITION REPORT PURSUANT TO SECTION 13 OR 15(d) OF THE SECURITIES EXCHANGE ACT OF 1934</w:t>
            </w:r>
          </w:p>
        </w:tc>
      </w:tr>
    </w:tbl>
    <w:p>
      <w:pPr>
        <w:pStyle w:val="TextBody"/>
        <w:bidi w:val="0"/>
        <w:spacing w:lineRule="auto" w:line="288" w:before="200" w:after="283"/>
        <w:jc w:val="center"/>
        <w:rPr/>
      </w:pPr>
      <w:r>
        <w:rPr>
          <w:rFonts w:ascii="Verdana;sans-serif" w:hAnsi="Verdana;sans-serif"/>
          <w:b/>
          <w:color w:val="000000"/>
          <w:sz w:val="16"/>
        </w:rPr>
        <w:t xml:space="preserve">For the transition period from </w:t>
      </w:r>
      <w:r>
        <w:rPr>
          <w:rFonts w:ascii="Verdana;sans-serif" w:hAnsi="Verdana;sans-serif"/>
          <w:b/>
          <w:color w:val="000000"/>
          <w:sz w:val="16"/>
          <w:shd w:fill="FFFFFF" w:val="clear"/>
        </w:rPr>
        <w:t>to</w:t>
      </w:r>
    </w:p>
    <w:p>
      <w:pPr>
        <w:pStyle w:val="TextBody"/>
        <w:bidi w:val="0"/>
        <w:spacing w:lineRule="auto" w:line="288" w:before="200" w:after="283"/>
        <w:jc w:val="center"/>
        <w:rPr>
          <w:rFonts w:ascii="Verdana;sans-serif" w:hAnsi="Verdana;sans-serif"/>
          <w:b/>
          <w:color w:val="000000"/>
          <w:sz w:val="20"/>
        </w:rPr>
      </w:pPr>
      <w:r>
        <w:rPr>
          <w:rFonts w:ascii="Verdana;sans-serif" w:hAnsi="Verdana;sans-serif"/>
          <w:b/>
          <w:color w:val="000000"/>
          <w:sz w:val="20"/>
        </w:rPr>
        <w:t>Commission file number 001-40960</w:t>
      </w:r>
    </w:p>
    <w:p>
      <w:pPr>
        <w:pStyle w:val="TextBody"/>
        <w:bidi w:val="0"/>
        <w:spacing w:lineRule="auto" w:line="288" w:before="200" w:after="283"/>
        <w:jc w:val="center"/>
        <w:rPr>
          <w:rFonts w:ascii="Verdana;sans-serif" w:hAnsi="Verdana;sans-serif"/>
          <w:b/>
          <w:color w:val="000000"/>
          <w:sz w:val="36"/>
          <w:shd w:fill="FFFFFF" w:val="clear"/>
        </w:rPr>
      </w:pPr>
      <w:r>
        <w:rPr>
          <w:rFonts w:ascii="Verdana;sans-serif" w:hAnsi="Verdana;sans-serif"/>
          <w:b/>
          <w:color w:val="000000"/>
          <w:sz w:val="36"/>
          <w:shd w:fill="FFFFFF" w:val="clear"/>
        </w:rPr>
        <w:t>Arteris, Inc.</w:t>
      </w:r>
    </w:p>
    <w:p>
      <w:pPr>
        <w:pStyle w:val="TextBody"/>
        <w:bidi w:val="0"/>
        <w:spacing w:lineRule="auto" w:line="288" w:before="0" w:after="0"/>
        <w:jc w:val="center"/>
        <w:rPr>
          <w:rFonts w:ascii="Verdana;sans-serif" w:hAnsi="Verdana;sans-serif"/>
          <w:b w:val="false"/>
          <w:color w:val="000000"/>
          <w:sz w:val="18"/>
        </w:rPr>
      </w:pPr>
      <w:r>
        <w:rPr>
          <w:rFonts w:ascii="Verdana;sans-serif" w:hAnsi="Verdana;sans-serif"/>
          <w:b w:val="false"/>
          <w:color w:val="000000"/>
          <w:sz w:val="18"/>
        </w:rPr>
        <w:t>(Exact name of registrant as specified in its charter)</w:t>
      </w:r>
    </w:p>
    <w:tbl>
      <w:tblPr>
        <w:tblW w:w="7226" w:type="dxa"/>
        <w:jc w:val="left"/>
        <w:tblInd w:w="0" w:type="dxa"/>
        <w:tblLayout w:type="fixed"/>
        <w:tblCellMar>
          <w:top w:w="28" w:type="dxa"/>
          <w:left w:w="28" w:type="dxa"/>
          <w:bottom w:w="28" w:type="dxa"/>
          <w:right w:w="28" w:type="dxa"/>
        </w:tblCellMar>
      </w:tblPr>
      <w:tblGrid>
        <w:gridCol w:w="1885"/>
        <w:gridCol w:w="1663"/>
        <w:gridCol w:w="1671"/>
        <w:gridCol w:w="109"/>
        <w:gridCol w:w="109"/>
        <w:gridCol w:w="109"/>
        <w:gridCol w:w="492"/>
        <w:gridCol w:w="492"/>
        <w:gridCol w:w="696"/>
      </w:tblGrid>
      <w:tr>
        <w:trPr/>
        <w:tc>
          <w:tcPr>
            <w:tcW w:w="188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Verdana;sans-serif" w:hAnsi="Verdana;sans-serif"/>
                <w:b/>
                <w:color w:val="000000"/>
                <w:sz w:val="16"/>
              </w:rPr>
            </w:pPr>
            <w:r>
              <w:rPr>
                <w:rFonts w:ascii="Verdana;sans-serif" w:hAnsi="Verdana;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6"/>
              </w:rPr>
            </w:pPr>
            <w:r>
              <w:rPr>
                <w:rFonts w:ascii="Verdana;sans-serif" w:hAnsi="Verdana;sans-serif"/>
                <w:b/>
                <w:color w:val="000000"/>
                <w:sz w:val="16"/>
              </w:rPr>
              <w:t>27-0117058</w:t>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Verdana;sans-serif" w:hAnsi="Verdana;sans-serif"/>
                <w:b w:val="false"/>
                <w:color w:val="000000"/>
                <w:sz w:val="16"/>
              </w:rPr>
            </w:pPr>
            <w:r>
              <w:rPr>
                <w:rFonts w:ascii="Verdana;sans-serif" w:hAnsi="Verdana;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Verdana;sans-serif" w:hAnsi="Verdana;sans-serif"/>
                <w:b w:val="false"/>
                <w:color w:val="000000"/>
                <w:sz w:val="16"/>
              </w:rPr>
            </w:pPr>
            <w:r>
              <w:rPr>
                <w:rFonts w:ascii="Verdana;sans-serif" w:hAnsi="Verdana;sans-serif"/>
                <w:b w:val="false"/>
                <w:color w:val="000000"/>
                <w:sz w:val="16"/>
              </w:rPr>
              <w:t>(I.R.S. Employer</w:t>
            </w:r>
          </w:p>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Identification No.)</w:t>
            </w:r>
          </w:p>
        </w:tc>
      </w:tr>
    </w:tbl>
    <w:tbl>
      <w:tblPr>
        <w:tblW w:w="7182" w:type="dxa"/>
        <w:jc w:val="left"/>
        <w:tblInd w:w="0" w:type="dxa"/>
        <w:tblLayout w:type="fixed"/>
        <w:tblCellMar>
          <w:top w:w="28" w:type="dxa"/>
          <w:left w:w="28" w:type="dxa"/>
          <w:bottom w:w="28" w:type="dxa"/>
          <w:right w:w="28" w:type="dxa"/>
        </w:tblCellMar>
      </w:tblPr>
      <w:tblGrid>
        <w:gridCol w:w="1858"/>
        <w:gridCol w:w="1629"/>
        <w:gridCol w:w="1638"/>
        <w:gridCol w:w="161"/>
        <w:gridCol w:w="161"/>
        <w:gridCol w:w="161"/>
        <w:gridCol w:w="461"/>
        <w:gridCol w:w="461"/>
        <w:gridCol w:w="652"/>
      </w:tblGrid>
      <w:tr>
        <w:trPr/>
        <w:tc>
          <w:tcPr>
            <w:tcW w:w="185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900 E. Hamilton Ave., Suite 300</w:t>
            </w:r>
          </w:p>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Campbell, CA</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95008</w:t>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val="false"/>
                <w:color w:val="000000"/>
                <w:sz w:val="16"/>
              </w:rPr>
            </w:pPr>
            <w:r>
              <w:rPr>
                <w:rFonts w:ascii="Verdana;sans-serif" w:hAnsi="Verdana;sans-serif"/>
                <w:b w:val="false"/>
                <w:color w:val="000000"/>
                <w:sz w:val="16"/>
              </w:rPr>
              <w:t>(Address of principal executive offices)</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val="false"/>
                <w:color w:val="000000"/>
                <w:sz w:val="16"/>
              </w:rPr>
            </w:pPr>
            <w:r>
              <w:rPr>
                <w:rFonts w:ascii="Verdana;sans-serif" w:hAnsi="Verdana;sans-serif"/>
                <w:b w:val="false"/>
                <w:color w:val="000000"/>
                <w:sz w:val="16"/>
              </w:rPr>
              <w:t>(Zip Code)</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(408) 470-7300</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(Registrant’s telephone number, including area code)</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N/A</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(Former name, former address and former fiscal year, if changed since last report)</w:t>
            </w:r>
          </w:p>
        </w:tc>
      </w:tr>
    </w:tbl>
    <w:p>
      <w:pPr>
        <w:pStyle w:val="TextBody"/>
        <w:bidi w:val="0"/>
        <w:spacing w:lineRule="auto" w:line="288" w:before="80" w:after="283"/>
        <w:jc w:val="left"/>
        <w:rPr>
          <w:rFonts w:ascii="Verdana;sans-serif" w:hAnsi="Verdana;sans-serif"/>
          <w:b w:val="false"/>
          <w:color w:val="000000"/>
          <w:sz w:val="16"/>
        </w:rPr>
      </w:pPr>
      <w:r>
        <w:rPr>
          <w:rFonts w:ascii="Verdana;sans-serif" w:hAnsi="Verdana;sans-serif"/>
          <w:b w:val="false"/>
          <w:color w:val="000000"/>
          <w:sz w:val="16"/>
        </w:rPr>
        <w:t>Securities registered pursuant to Section 12(b) of the Act:</w:t>
      </w:r>
    </w:p>
    <w:tbl>
      <w:tblPr>
        <w:tblW w:w="7288" w:type="dxa"/>
        <w:jc w:val="left"/>
        <w:tblInd w:w="0" w:type="dxa"/>
        <w:tblLayout w:type="fixed"/>
        <w:tblCellMar>
          <w:top w:w="28" w:type="dxa"/>
          <w:left w:w="28" w:type="dxa"/>
          <w:bottom w:w="28" w:type="dxa"/>
          <w:right w:w="28" w:type="dxa"/>
        </w:tblCellMar>
      </w:tblPr>
      <w:tblGrid>
        <w:gridCol w:w="857"/>
        <w:gridCol w:w="754"/>
        <w:gridCol w:w="759"/>
        <w:gridCol w:w="494"/>
        <w:gridCol w:w="494"/>
        <w:gridCol w:w="496"/>
        <w:gridCol w:w="1006"/>
        <w:gridCol w:w="1006"/>
        <w:gridCol w:w="1422"/>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4"/>
              </w:rPr>
            </w:pPr>
            <w:r>
              <w:rPr>
                <w:rFonts w:ascii="Verdana;sans-serif" w:hAnsi="Verdana;sans-serif"/>
                <w:b/>
                <w:color w:val="000000"/>
                <w:sz w:val="14"/>
              </w:rPr>
              <w:t>Title of each class</w:t>
            </w:r>
          </w:p>
        </w:tc>
        <w:tc>
          <w:tcPr>
            <w:tcW w:w="14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4"/>
              </w:rPr>
            </w:pPr>
            <w:r>
              <w:rPr>
                <w:rFonts w:ascii="Verdana;sans-serif" w:hAnsi="Verdana;sans-serif"/>
                <w:b/>
                <w:color w:val="000000"/>
                <w:sz w:val="14"/>
              </w:rPr>
              <w:t>Trading Symbol(s)</w:t>
            </w:r>
          </w:p>
        </w:tc>
        <w:tc>
          <w:tcPr>
            <w:tcW w:w="3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Verdana;sans-serif" w:hAnsi="Verdana;sans-serif"/>
                <w:b/>
                <w:color w:val="000000"/>
                <w:sz w:val="14"/>
              </w:rPr>
            </w:pPr>
            <w:r>
              <w:rPr>
                <w:rFonts w:ascii="Verdana;sans-serif" w:hAnsi="Verdana;sans-serif"/>
                <w:b/>
                <w:color w:val="000000"/>
                <w:sz w:val="14"/>
              </w:rPr>
              <w:t>Name of each exchange on which registered</w:t>
            </w:r>
          </w:p>
        </w:tc>
      </w:tr>
      <w:tr>
        <w:trPr/>
        <w:tc>
          <w:tcPr>
            <w:tcW w:w="23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Verdana;sans-serif" w:hAnsi="Verdana;sans-serif"/>
                <w:b w:val="false"/>
                <w:color w:val="000000"/>
                <w:sz w:val="14"/>
              </w:rPr>
            </w:pPr>
            <w:r>
              <w:rPr>
                <w:rFonts w:ascii="Verdana;sans-serif" w:hAnsi="Verdana;sans-serif"/>
                <w:b w:val="false"/>
                <w:color w:val="000000"/>
                <w:sz w:val="14"/>
              </w:rPr>
              <w:t>Common stock, $0.001 par value</w:t>
            </w:r>
          </w:p>
        </w:tc>
        <w:tc>
          <w:tcPr>
            <w:tcW w:w="14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Verdana;sans-serif" w:hAnsi="Verdana;sans-serif"/>
                <w:b w:val="false"/>
                <w:color w:val="000000"/>
                <w:sz w:val="14"/>
              </w:rPr>
            </w:pPr>
            <w:r>
              <w:rPr>
                <w:rFonts w:ascii="Verdana;sans-serif" w:hAnsi="Verdana;sans-serif"/>
                <w:b w:val="false"/>
                <w:color w:val="000000"/>
                <w:sz w:val="14"/>
              </w:rPr>
              <w:t>AIP</w:t>
            </w:r>
          </w:p>
        </w:tc>
        <w:tc>
          <w:tcPr>
            <w:tcW w:w="34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Verdana;sans-serif" w:hAnsi="Verdana;sans-serif"/>
                <w:b w:val="false"/>
                <w:color w:val="000000"/>
                <w:sz w:val="14"/>
              </w:rPr>
            </w:pPr>
            <w:r>
              <w:rPr>
                <w:rFonts w:ascii="Verdana;sans-serif" w:hAnsi="Verdana;sans-serif"/>
                <w:b w:val="false"/>
                <w:color w:val="000000"/>
                <w:sz w:val="14"/>
              </w:rPr>
              <w:t>The Nasdaq Stock Market LLC</w:t>
            </w:r>
          </w:p>
        </w:tc>
      </w:tr>
    </w:tbl>
    <w:p>
      <w:pPr>
        <w:pStyle w:val="TextBody"/>
        <w:bidi w:val="0"/>
        <w:spacing w:lineRule="auto" w:line="288" w:before="80" w:after="283"/>
        <w:jc w:val="left"/>
        <w:rPr/>
      </w:pPr>
      <w:r>
        <w:rPr>
          <w:rFonts w:ascii="Verdana;sans-serif" w:hAnsi="Verdana;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w:t>
      </w:r>
      <w:r>
        <w:rPr>
          <w:rFonts w:ascii="Verdana;sans-serif" w:hAnsi="Verdana;sans-serif"/>
          <w:b w:val="false"/>
          <w:color w:val="000000"/>
          <w:sz w:val="14"/>
        </w:rPr>
        <w:t>Yes</w:t>
      </w:r>
      <w:r>
        <w:rPr>
          <w:color w:val="000000"/>
        </w:rPr>
        <w:t>  </w:t>
      </w:r>
      <w:r>
        <w:rPr>
          <w:rFonts w:ascii="Wingdings;sans-serif" w:hAnsi="Wingdings;sans-serif"/>
          <w:b w:val="false"/>
          <w:color w:val="000000"/>
          <w:sz w:val="14"/>
        </w:rPr>
        <w:t>x</w:t>
      </w:r>
      <w:r>
        <w:rPr>
          <w:color w:val="000000"/>
        </w:rPr>
        <w:t>   </w:t>
      </w:r>
      <w:r>
        <w:rPr>
          <w:rFonts w:ascii="Verdana;sans-serif" w:hAnsi="Verdana;sans-serif"/>
          <w:b w:val="false"/>
          <w:color w:val="000000"/>
          <w:sz w:val="14"/>
        </w:rPr>
        <w:t>No</w:t>
      </w:r>
      <w:r>
        <w:rPr>
          <w:color w:val="000000"/>
        </w:rPr>
        <w:t>  </w:t>
      </w:r>
      <w:r>
        <w:rPr>
          <w:rFonts w:ascii="Wingdings;sans-serif" w:hAnsi="Wingdings;sans-serif"/>
          <w:b w:val="false"/>
          <w:color w:val="000000"/>
          <w:sz w:val="14"/>
        </w:rPr>
        <w:t>o</w:t>
      </w:r>
      <w:r>
        <w:rPr>
          <w:color w:val="000000"/>
        </w:rPr>
        <w:t> </w:t>
      </w:r>
    </w:p>
    <w:p>
      <w:pPr>
        <w:pStyle w:val="TextBody"/>
        <w:bidi w:val="0"/>
        <w:spacing w:lineRule="auto" w:line="288" w:before="200" w:after="283"/>
        <w:jc w:val="left"/>
        <w:rPr/>
      </w:pPr>
      <w:r>
        <w:rPr>
          <w:rFonts w:ascii="Verdana;sans-serif" w:hAnsi="Verdana;sans-serif"/>
          <w:b w:val="false"/>
          <w:color w:val="000000"/>
          <w:sz w:val="14"/>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color w:val="000000"/>
        </w:rPr>
        <w:t>    </w:t>
      </w:r>
      <w:r>
        <w:rPr>
          <w:rFonts w:ascii="Verdana;sans-serif" w:hAnsi="Verdana;sans-serif"/>
          <w:b w:val="false"/>
          <w:color w:val="000000"/>
          <w:sz w:val="14"/>
        </w:rPr>
        <w:t>Yes</w:t>
      </w:r>
      <w:r>
        <w:rPr>
          <w:color w:val="000000"/>
        </w:rPr>
        <w:t>  </w:t>
      </w:r>
      <w:r>
        <w:rPr>
          <w:rFonts w:ascii="Wingdings;sans-serif" w:hAnsi="Wingdings;sans-serif"/>
          <w:b w:val="false"/>
          <w:color w:val="000000"/>
          <w:sz w:val="14"/>
        </w:rPr>
        <w:t>x</w:t>
      </w:r>
      <w:r>
        <w:rPr>
          <w:color w:val="000000"/>
        </w:rPr>
        <w:t>   </w:t>
      </w:r>
      <w:r>
        <w:rPr>
          <w:rFonts w:ascii="Verdana;sans-serif" w:hAnsi="Verdana;sans-serif"/>
          <w:b w:val="false"/>
          <w:color w:val="000000"/>
          <w:sz w:val="14"/>
        </w:rPr>
        <w:t>No</w:t>
      </w:r>
      <w:r>
        <w:rPr>
          <w:color w:val="000000"/>
        </w:rPr>
        <w:t>  </w:t>
      </w:r>
      <w:r>
        <w:rPr>
          <w:rFonts w:ascii="Wingdings;sans-serif" w:hAnsi="Wingdings;sans-serif"/>
          <w:b w:val="false"/>
          <w:color w:val="000000"/>
          <w:sz w:val="14"/>
        </w:rPr>
        <w:t>o</w:t>
      </w:r>
    </w:p>
    <w:p>
      <w:pPr>
        <w:pStyle w:val="TextBody"/>
        <w:bidi w:val="0"/>
        <w:spacing w:lineRule="auto" w:line="288" w:before="200" w:after="283"/>
        <w:jc w:val="left"/>
        <w:rPr>
          <w:rFonts w:ascii="Verdana;sans-serif" w:hAnsi="Verdana;sans-serif"/>
          <w:b w:val="false"/>
          <w:color w:val="000000"/>
          <w:sz w:val="14"/>
        </w:rPr>
      </w:pPr>
      <w:r>
        <w:rPr>
          <w:rFonts w:ascii="Verdana;sans-serif" w:hAnsi="Verdana;sans-serif"/>
          <w:b w:val="false"/>
          <w:color w:val="000000"/>
          <w:sz w:val="14"/>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4239" w:type="dxa"/>
        <w:jc w:val="center"/>
        <w:tblInd w:w="0" w:type="dxa"/>
        <w:tblLayout w:type="fixed"/>
        <w:tblCellMar>
          <w:top w:w="28" w:type="dxa"/>
          <w:left w:w="28" w:type="dxa"/>
          <w:bottom w:w="28" w:type="dxa"/>
          <w:right w:w="28" w:type="dxa"/>
        </w:tblCellMar>
      </w:tblPr>
      <w:tblGrid>
        <w:gridCol w:w="576"/>
        <w:gridCol w:w="506"/>
        <w:gridCol w:w="508"/>
        <w:gridCol w:w="109"/>
        <w:gridCol w:w="109"/>
        <w:gridCol w:w="109"/>
        <w:gridCol w:w="649"/>
        <w:gridCol w:w="649"/>
        <w:gridCol w:w="652"/>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4"/>
              </w:rPr>
            </w:pPr>
            <w:r>
              <w:rPr>
                <w:rFonts w:ascii="Wingdings;sans-serif" w:hAnsi="Wingdings;sans-serif"/>
                <w:b w:val="false"/>
                <w:color w:val="000000"/>
                <w:sz w:val="14"/>
              </w:rPr>
              <w:t>o</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Wingdings;sans-serif" w:hAnsi="Wingdings;sans-serif"/>
                <w:b w:val="false"/>
                <w:color w:val="000000"/>
                <w:sz w:val="14"/>
              </w:rPr>
              <w:t>x</w:t>
            </w: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right"/>
              <w:rPr>
                <w:rFonts w:ascii="Wingdings;sans-serif" w:hAnsi="Wingdings;sans-serif"/>
                <w:b w:val="false"/>
                <w:color w:val="000000"/>
                <w:sz w:val="14"/>
              </w:rPr>
            </w:pPr>
            <w:r>
              <w:rPr>
                <w:rFonts w:ascii="Wingdings;sans-serif" w:hAnsi="Wingdings;sans-serif"/>
                <w:b w:val="false"/>
                <w:color w:val="000000"/>
                <w:sz w:val="14"/>
              </w:rPr>
              <w:t>x</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right"/>
              <w:rPr>
                <w:rFonts w:ascii="Wingdings;sans-serif" w:hAnsi="Wingdings;sans-serif"/>
                <w:b w:val="false"/>
                <w:color w:val="000000"/>
                <w:sz w:val="14"/>
              </w:rPr>
            </w:pPr>
            <w:r>
              <w:rPr>
                <w:rFonts w:ascii="Wingdings;sans-serif" w:hAnsi="Wingdings;sans-serif"/>
                <w:b w:val="false"/>
                <w:color w:val="000000"/>
                <w:sz w:val="14"/>
              </w:rPr>
              <w:t>x</w:t>
            </w:r>
          </w:p>
        </w:tc>
      </w:tr>
    </w:tbl>
    <w:p>
      <w:pPr>
        <w:pStyle w:val="TextBody"/>
        <w:bidi w:val="0"/>
        <w:spacing w:lineRule="auto" w:line="288" w:before="200" w:after="283"/>
        <w:jc w:val="left"/>
        <w:rPr/>
      </w:pPr>
      <w:r>
        <w:rPr>
          <w:rFonts w:ascii="Verdana;sans-serif" w:hAnsi="Verdana;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w:t>
      </w:r>
      <w:r>
        <w:rPr>
          <w:rFonts w:ascii="Wingdings;sans-serif" w:hAnsi="Wingdings;sans-serif"/>
          <w:b w:val="false"/>
          <w:color w:val="000000"/>
          <w:sz w:val="14"/>
        </w:rPr>
        <w:t>o</w:t>
      </w:r>
    </w:p>
    <w:p>
      <w:pPr>
        <w:pStyle w:val="TextBody"/>
        <w:bidi w:val="0"/>
        <w:spacing w:lineRule="auto" w:line="288" w:before="200" w:after="283"/>
        <w:jc w:val="left"/>
        <w:rPr/>
      </w:pPr>
      <w:r>
        <w:rPr>
          <w:rFonts w:ascii="Verdana;sans-serif" w:hAnsi="Verdana;sans-serif"/>
          <w:b w:val="false"/>
          <w:color w:val="000000"/>
          <w:sz w:val="14"/>
        </w:rPr>
        <w:t xml:space="preserve">Indicate by check mark whether the registrant is a shell company (as defined in Rule 12b-2 of the Act). </w:t>
      </w:r>
      <w:r>
        <w:rPr>
          <w:color w:val="000000"/>
        </w:rPr>
        <w:t>    </w:t>
      </w:r>
      <w:r>
        <w:rPr>
          <w:rFonts w:ascii="Verdana;sans-serif" w:hAnsi="Verdana;sans-serif"/>
          <w:b w:val="false"/>
          <w:color w:val="000000"/>
          <w:sz w:val="14"/>
        </w:rPr>
        <w:t>Yes</w:t>
      </w:r>
      <w:r>
        <w:rPr>
          <w:color w:val="000000"/>
        </w:rPr>
        <w:t>   </w:t>
      </w:r>
      <w:r>
        <w:rPr>
          <w:rFonts w:ascii="Wingdings;sans-serif" w:hAnsi="Wingdings;sans-serif"/>
          <w:b w:val="false"/>
          <w:color w:val="000000"/>
          <w:sz w:val="14"/>
        </w:rPr>
        <w:t>o</w:t>
      </w:r>
      <w:r>
        <w:rPr>
          <w:color w:val="000000"/>
        </w:rPr>
        <w:t>     </w:t>
      </w:r>
      <w:r>
        <w:rPr>
          <w:rFonts w:ascii="Verdana;sans-serif" w:hAnsi="Verdana;sans-serif"/>
          <w:b w:val="false"/>
          <w:color w:val="000000"/>
          <w:sz w:val="14"/>
        </w:rPr>
        <w:t>No</w:t>
      </w:r>
      <w:r>
        <w:rPr>
          <w:color w:val="000000"/>
        </w:rPr>
        <w:t>  </w:t>
      </w:r>
      <w:r>
        <w:rPr>
          <w:rFonts w:ascii="Wingdings;sans-serif" w:hAnsi="Wingdings;sans-serif"/>
          <w:b w:val="false"/>
          <w:color w:val="000000"/>
          <w:sz w:val="14"/>
        </w:rPr>
        <w:t>x</w:t>
      </w:r>
    </w:p>
    <w:p>
      <w:pPr>
        <w:pStyle w:val="TextBody"/>
        <w:bidi w:val="0"/>
        <w:spacing w:lineRule="auto" w:line="288" w:before="200" w:after="283"/>
        <w:jc w:val="left"/>
        <w:rPr>
          <w:rFonts w:ascii="Verdana;sans-serif" w:hAnsi="Verdana;sans-serif"/>
          <w:b w:val="false"/>
          <w:color w:val="000000"/>
          <w:sz w:val="14"/>
        </w:rPr>
      </w:pPr>
      <w:r>
        <w:rPr>
          <w:rFonts w:ascii="Verdana;sans-serif" w:hAnsi="Verdana;sans-serif"/>
          <w:b w:val="false"/>
          <w:color w:val="000000"/>
          <w:sz w:val="14"/>
        </w:rPr>
        <w:t>As of May 6, 2025, there were 41,977,728 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tbl>
      <w:tblPr>
        <w:tblW w:w="2264" w:type="dxa"/>
        <w:jc w:val="left"/>
        <w:tblInd w:w="0" w:type="dxa"/>
        <w:tblLayout w:type="fixed"/>
        <w:tblCellMar>
          <w:top w:w="28" w:type="dxa"/>
          <w:left w:w="28" w:type="dxa"/>
          <w:bottom w:w="28" w:type="dxa"/>
          <w:right w:w="28" w:type="dxa"/>
        </w:tblCellMar>
      </w:tblPr>
      <w:tblGrid>
        <w:gridCol w:w="725"/>
        <w:gridCol w:w="636"/>
        <w:gridCol w:w="903"/>
      </w:tblGrid>
      <w:tr>
        <w:trPr/>
        <w:tc>
          <w:tcPr>
            <w:tcW w:w="72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000000"/>
                <w:sz w:val="20"/>
              </w:rPr>
            </w:pPr>
            <w:r>
              <w:rPr>
                <w:rFonts w:ascii="Arial;sans-serif" w:hAnsi="Arial;sans-serif"/>
                <w:b/>
                <w:color w:val="000000"/>
                <w:sz w:val="20"/>
              </w:rPr>
              <w:t>TABLE OF CONTENTS</w:t>
            </w:r>
          </w:p>
        </w:tc>
      </w:tr>
    </w:tbl>
    <w:tbl>
      <w:tblPr>
        <w:tblW w:w="10205" w:type="dxa"/>
        <w:jc w:val="center"/>
        <w:tblInd w:w="0" w:type="dxa"/>
        <w:tblLayout w:type="fixed"/>
        <w:tblCellMar>
          <w:top w:w="28" w:type="dxa"/>
          <w:left w:w="28" w:type="dxa"/>
          <w:bottom w:w="28" w:type="dxa"/>
          <w:right w:w="28" w:type="dxa"/>
        </w:tblCellMar>
      </w:tblPr>
      <w:tblGrid>
        <w:gridCol w:w="408"/>
        <w:gridCol w:w="360"/>
        <w:gridCol w:w="360"/>
        <w:gridCol w:w="2855"/>
        <w:gridCol w:w="2830"/>
        <w:gridCol w:w="2848"/>
        <w:gridCol w:w="158"/>
        <w:gridCol w:w="158"/>
        <w:gridCol w:w="228"/>
      </w:tblGrid>
      <w:tr>
        <w:trPr/>
        <w:tc>
          <w:tcPr>
            <w:tcW w:w="40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Page</w:t>
            </w:r>
          </w:p>
        </w:tc>
      </w:tr>
      <w:tr>
        <w:trPr/>
        <w:tc>
          <w:tcPr>
            <w:tcW w:w="966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0">
              <w:r>
                <w:rPr>
                  <w:rStyle w:val="InternetLink"/>
                  <w:rFonts w:ascii="Arial;sans-serif" w:hAnsi="Arial;sans-serif"/>
                  <w:b/>
                  <w:color w:val="0000FF"/>
                  <w:sz w:val="16"/>
                  <w:u w:val="single"/>
                </w:rPr>
                <w:t>Part I. Financial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621e6f199c4f4288b55a10bcc897ff_10">
              <w:r>
                <w:rPr>
                  <w:rStyle w:val="InternetLink"/>
                  <w:rFonts w:ascii="Arial;sans-serif" w:hAnsi="Arial;sans-serif"/>
                  <w:b w:val="false"/>
                  <w:strike w:val="false"/>
                  <w:dstrike w:val="false"/>
                  <w:color w:val="000000"/>
                  <w:sz w:val="16"/>
                  <w:u w:val="none"/>
                  <w:effect w:val="none"/>
                </w:rPr>
                <w:t>3</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3">
              <w:r>
                <w:rPr>
                  <w:rStyle w:val="InternetLink"/>
                  <w:rFonts w:ascii="Arial;sans-serif" w:hAnsi="Arial;sans-serif"/>
                  <w:b w:val="false"/>
                  <w:color w:val="0000FF"/>
                  <w:sz w:val="16"/>
                  <w:u w:val="single"/>
                </w:rPr>
                <w:t>Item 1.</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3">
              <w:r>
                <w:rPr>
                  <w:rStyle w:val="InternetLink"/>
                  <w:rFonts w:ascii="Arial;sans-serif" w:hAnsi="Arial;sans-serif"/>
                  <w:b w:val="false"/>
                  <w:color w:val="0000FF"/>
                  <w:sz w:val="16"/>
                  <w:u w:val="single"/>
                </w:rPr>
                <w:t>Financial Statements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c621e6f199c4f4288b55a10bcc897ff_13">
              <w:r>
                <w:rPr>
                  <w:rStyle w:val="InternetLink"/>
                  <w:rFonts w:ascii="Arial;sans-serif" w:hAnsi="Arial;sans-serif"/>
                  <w:b w:val="false"/>
                  <w:strike w:val="false"/>
                  <w:dstrike w:val="false"/>
                  <w:color w:val="000000"/>
                  <w:sz w:val="16"/>
                  <w:u w:val="none"/>
                  <w:effect w:val="none"/>
                </w:rPr>
                <w:t>3</w:t>
              </w:r>
            </w:hyperlink>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6">
              <w:r>
                <w:rPr>
                  <w:rStyle w:val="InternetLink"/>
                  <w:rFonts w:ascii="Arial;sans-serif" w:hAnsi="Arial;sans-serif"/>
                  <w:b w:val="false"/>
                  <w:color w:val="000080"/>
                  <w:sz w:val="16"/>
                  <w:u w:val="single"/>
                </w:rPr>
                <w:t xml:space="preserve">Condensed Consolidated Balance Sheets as of </w:t>
              </w:r>
            </w:hyperlink>
            <w:hyperlink w:anchor="i6c621e6f199c4f4288b55a10bcc897ff_16">
              <w:r>
                <w:rPr>
                  <w:rStyle w:val="InternetLink"/>
                  <w:rFonts w:ascii="Arial;sans-serif" w:hAnsi="Arial;sans-serif"/>
                  <w:b w:val="false"/>
                  <w:color w:val="000080"/>
                  <w:sz w:val="16"/>
                  <w:u w:val="single"/>
                </w:rPr>
                <w:t>March</w:t>
              </w:r>
            </w:hyperlink>
            <w:hyperlink w:anchor="i6c621e6f199c4f4288b55a10bcc897ff_16">
              <w:r>
                <w:rPr>
                  <w:rStyle w:val="InternetLink"/>
                  <w:rFonts w:ascii="Arial;sans-serif" w:hAnsi="Arial;sans-serif"/>
                  <w:b w:val="false"/>
                  <w:color w:val="000080"/>
                  <w:sz w:val="16"/>
                  <w:u w:val="single"/>
                </w:rPr>
                <w:t xml:space="preserve"> 3</w:t>
              </w:r>
            </w:hyperlink>
            <w:hyperlink w:anchor="i6c621e6f199c4f4288b55a10bcc897ff_16">
              <w:r>
                <w:rPr>
                  <w:rStyle w:val="InternetLink"/>
                  <w:rFonts w:ascii="Arial;sans-serif" w:hAnsi="Arial;sans-serif"/>
                  <w:b w:val="false"/>
                  <w:color w:val="000080"/>
                  <w:sz w:val="16"/>
                  <w:u w:val="single"/>
                </w:rPr>
                <w:t>1</w:t>
              </w:r>
            </w:hyperlink>
            <w:hyperlink w:anchor="i6c621e6f199c4f4288b55a10bcc897ff_16">
              <w:r>
                <w:rPr>
                  <w:rStyle w:val="InternetLink"/>
                  <w:rFonts w:ascii="Arial;sans-serif" w:hAnsi="Arial;sans-serif"/>
                  <w:b w:val="false"/>
                  <w:color w:val="000080"/>
                  <w:sz w:val="16"/>
                  <w:u w:val="single"/>
                </w:rPr>
                <w:t>, 202</w:t>
              </w:r>
            </w:hyperlink>
            <w:hyperlink w:anchor="i6c621e6f199c4f4288b55a10bcc897ff_16">
              <w:r>
                <w:rPr>
                  <w:rStyle w:val="InternetLink"/>
                  <w:rFonts w:ascii="Arial;sans-serif" w:hAnsi="Arial;sans-serif"/>
                  <w:b w:val="false"/>
                  <w:color w:val="000080"/>
                  <w:sz w:val="16"/>
                  <w:u w:val="single"/>
                </w:rPr>
                <w:t>5</w:t>
              </w:r>
            </w:hyperlink>
            <w:hyperlink w:anchor="i6c621e6f199c4f4288b55a10bcc897ff_16">
              <w:r>
                <w:rPr>
                  <w:rStyle w:val="InternetLink"/>
                  <w:rFonts w:ascii="Arial;sans-serif" w:hAnsi="Arial;sans-serif"/>
                  <w:b w:val="false"/>
                  <w:color w:val="000080"/>
                  <w:sz w:val="16"/>
                  <w:u w:val="single"/>
                </w:rPr>
                <w:t xml:space="preserve"> and December 31, 202</w:t>
              </w:r>
            </w:hyperlink>
            <w:hyperlink w:anchor="i6c621e6f199c4f4288b55a10bcc897ff_16">
              <w:r>
                <w:rPr>
                  <w:rStyle w:val="InternetLink"/>
                  <w:rFonts w:ascii="Arial;sans-serif" w:hAnsi="Arial;sans-serif"/>
                  <w:b w:val="false"/>
                  <w:color w:val="000080"/>
                  <w:sz w:val="16"/>
                  <w:u w:val="single"/>
                </w:rPr>
                <w:t>4</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c621e6f199c4f4288b55a10bcc897ff_16">
              <w:r>
                <w:rPr>
                  <w:rStyle w:val="InternetLink"/>
                  <w:rFonts w:ascii="Arial;sans-serif" w:hAnsi="Arial;sans-serif"/>
                  <w:b w:val="false"/>
                  <w:strike w:val="false"/>
                  <w:dstrike w:val="false"/>
                  <w:color w:val="000000"/>
                  <w:sz w:val="16"/>
                  <w:u w:val="none"/>
                  <w:effect w:val="none"/>
                </w:rPr>
                <w:t>3</w:t>
              </w:r>
            </w:hyperlink>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9">
              <w:r>
                <w:rPr>
                  <w:rStyle w:val="InternetLink"/>
                  <w:rFonts w:ascii="Arial;sans-serif" w:hAnsi="Arial;sans-serif"/>
                  <w:b w:val="false"/>
                  <w:color w:val="000080"/>
                  <w:sz w:val="16"/>
                  <w:u w:val="single"/>
                </w:rPr>
                <w:t xml:space="preserve">Condensed Consolidated Statements of Operations for the Three </w:t>
              </w:r>
            </w:hyperlink>
            <w:hyperlink w:anchor="i6c621e6f199c4f4288b55a10bcc897ff_19">
              <w:r>
                <w:rPr>
                  <w:rStyle w:val="InternetLink"/>
                  <w:rFonts w:ascii="Arial;sans-serif" w:hAnsi="Arial;sans-serif"/>
                  <w:b w:val="false"/>
                  <w:color w:val="000080"/>
                  <w:sz w:val="16"/>
                  <w:u w:val="single"/>
                </w:rPr>
                <w:t xml:space="preserve">Months Ended </w:t>
              </w:r>
            </w:hyperlink>
            <w:hyperlink w:anchor="i6c621e6f199c4f4288b55a10bcc897ff_19">
              <w:r>
                <w:rPr>
                  <w:rStyle w:val="InternetLink"/>
                  <w:rFonts w:ascii="Arial;sans-serif" w:hAnsi="Arial;sans-serif"/>
                  <w:b w:val="false"/>
                  <w:color w:val="000080"/>
                  <w:sz w:val="16"/>
                  <w:u w:val="single"/>
                </w:rPr>
                <w:t>March</w:t>
              </w:r>
            </w:hyperlink>
            <w:hyperlink w:anchor="i6c621e6f199c4f4288b55a10bcc897ff_19">
              <w:r>
                <w:rPr>
                  <w:rStyle w:val="InternetLink"/>
                  <w:rFonts w:ascii="Arial;sans-serif" w:hAnsi="Arial;sans-serif"/>
                  <w:b w:val="false"/>
                  <w:color w:val="000080"/>
                  <w:sz w:val="16"/>
                  <w:u w:val="single"/>
                </w:rPr>
                <w:t xml:space="preserve"> 3</w:t>
              </w:r>
            </w:hyperlink>
            <w:hyperlink w:anchor="i6c621e6f199c4f4288b55a10bcc897ff_19">
              <w:r>
                <w:rPr>
                  <w:rStyle w:val="InternetLink"/>
                  <w:rFonts w:ascii="Arial;sans-serif" w:hAnsi="Arial;sans-serif"/>
                  <w:b w:val="false"/>
                  <w:color w:val="000080"/>
                  <w:sz w:val="16"/>
                  <w:u w:val="single"/>
                </w:rPr>
                <w:t>1</w:t>
              </w:r>
            </w:hyperlink>
            <w:hyperlink w:anchor="i6c621e6f199c4f4288b55a10bcc897ff_19">
              <w:r>
                <w:rPr>
                  <w:rStyle w:val="InternetLink"/>
                  <w:rFonts w:ascii="Arial;sans-serif" w:hAnsi="Arial;sans-serif"/>
                  <w:b w:val="false"/>
                  <w:color w:val="000080"/>
                  <w:sz w:val="16"/>
                  <w:u w:val="single"/>
                </w:rPr>
                <w:t>, 202</w:t>
              </w:r>
            </w:hyperlink>
            <w:hyperlink w:anchor="i6c621e6f199c4f4288b55a10bcc897ff_19">
              <w:r>
                <w:rPr>
                  <w:rStyle w:val="InternetLink"/>
                  <w:rFonts w:ascii="Arial;sans-serif" w:hAnsi="Arial;sans-serif"/>
                  <w:b w:val="false"/>
                  <w:color w:val="000080"/>
                  <w:sz w:val="16"/>
                  <w:u w:val="single"/>
                </w:rPr>
                <w:t>5</w:t>
              </w:r>
            </w:hyperlink>
            <w:hyperlink w:anchor="i6c621e6f199c4f4288b55a10bcc897ff_19">
              <w:r>
                <w:rPr>
                  <w:rStyle w:val="InternetLink"/>
                  <w:rFonts w:ascii="Arial;sans-serif" w:hAnsi="Arial;sans-serif"/>
                  <w:b w:val="false"/>
                  <w:color w:val="000080"/>
                  <w:sz w:val="16"/>
                  <w:u w:val="single"/>
                </w:rPr>
                <w:t xml:space="preserve"> and 202</w:t>
              </w:r>
            </w:hyperlink>
            <w:hyperlink w:anchor="i6c621e6f199c4f4288b55a10bcc897ff_19">
              <w:r>
                <w:rPr>
                  <w:rStyle w:val="InternetLink"/>
                  <w:rFonts w:ascii="Arial;sans-serif" w:hAnsi="Arial;sans-serif"/>
                  <w:b w:val="false"/>
                  <w:color w:val="000080"/>
                  <w:sz w:val="16"/>
                  <w:u w:val="single"/>
                </w:rPr>
                <w:t>4</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c621e6f199c4f4288b55a10bcc897ff_19">
              <w:r>
                <w:rPr>
                  <w:rStyle w:val="InternetLink"/>
                  <w:rFonts w:ascii="Arial;sans-serif" w:hAnsi="Arial;sans-serif"/>
                  <w:b w:val="false"/>
                  <w:strike w:val="false"/>
                  <w:dstrike w:val="false"/>
                  <w:color w:val="000000"/>
                  <w:sz w:val="16"/>
                  <w:u w:val="none"/>
                  <w:effect w:val="none"/>
                </w:rPr>
                <w:t>4</w:t>
              </w:r>
            </w:hyperlink>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22">
              <w:r>
                <w:rPr>
                  <w:rStyle w:val="InternetLink"/>
                  <w:rFonts w:ascii="Arial;sans-serif" w:hAnsi="Arial;sans-serif"/>
                  <w:b w:val="false"/>
                  <w:color w:val="000080"/>
                  <w:sz w:val="16"/>
                  <w:u w:val="single"/>
                </w:rPr>
                <w:t xml:space="preserve">Condensed Consolidated Statements of Comprehensive Loss for the Three </w:t>
              </w:r>
            </w:hyperlink>
            <w:hyperlink w:anchor="i6c621e6f199c4f4288b55a10bcc897ff_22">
              <w:r>
                <w:rPr>
                  <w:rStyle w:val="InternetLink"/>
                  <w:rFonts w:ascii="Arial;sans-serif" w:hAnsi="Arial;sans-serif"/>
                  <w:b w:val="false"/>
                  <w:color w:val="000080"/>
                  <w:sz w:val="16"/>
                  <w:u w:val="single"/>
                </w:rPr>
                <w:t xml:space="preserve">Months Ended </w:t>
              </w:r>
            </w:hyperlink>
            <w:hyperlink w:anchor="i6c621e6f199c4f4288b55a10bcc897ff_22">
              <w:r>
                <w:rPr>
                  <w:rStyle w:val="InternetLink"/>
                  <w:rFonts w:ascii="Arial;sans-serif" w:hAnsi="Arial;sans-serif"/>
                  <w:b w:val="false"/>
                  <w:color w:val="000080"/>
                  <w:sz w:val="16"/>
                  <w:u w:val="single"/>
                </w:rPr>
                <w:t>March</w:t>
              </w:r>
            </w:hyperlink>
            <w:hyperlink w:anchor="i6c621e6f199c4f4288b55a10bcc897ff_22">
              <w:r>
                <w:rPr>
                  <w:rStyle w:val="InternetLink"/>
                  <w:rFonts w:ascii="Arial;sans-serif" w:hAnsi="Arial;sans-serif"/>
                  <w:b w:val="false"/>
                  <w:color w:val="000080"/>
                  <w:sz w:val="16"/>
                  <w:u w:val="single"/>
                </w:rPr>
                <w:t xml:space="preserve"> 3</w:t>
              </w:r>
            </w:hyperlink>
            <w:hyperlink w:anchor="i6c621e6f199c4f4288b55a10bcc897ff_22">
              <w:r>
                <w:rPr>
                  <w:rStyle w:val="InternetLink"/>
                  <w:rFonts w:ascii="Arial;sans-serif" w:hAnsi="Arial;sans-serif"/>
                  <w:b w:val="false"/>
                  <w:color w:val="000080"/>
                  <w:sz w:val="16"/>
                  <w:u w:val="single"/>
                </w:rPr>
                <w:t>1</w:t>
              </w:r>
            </w:hyperlink>
            <w:hyperlink w:anchor="i6c621e6f199c4f4288b55a10bcc897ff_22">
              <w:r>
                <w:rPr>
                  <w:rStyle w:val="InternetLink"/>
                  <w:rFonts w:ascii="Arial;sans-serif" w:hAnsi="Arial;sans-serif"/>
                  <w:b w:val="false"/>
                  <w:color w:val="000080"/>
                  <w:sz w:val="16"/>
                  <w:u w:val="single"/>
                </w:rPr>
                <w:t>, 202</w:t>
              </w:r>
            </w:hyperlink>
            <w:hyperlink w:anchor="i6c621e6f199c4f4288b55a10bcc897ff_22">
              <w:r>
                <w:rPr>
                  <w:rStyle w:val="InternetLink"/>
                  <w:rFonts w:ascii="Arial;sans-serif" w:hAnsi="Arial;sans-serif"/>
                  <w:b w:val="false"/>
                  <w:color w:val="000080"/>
                  <w:sz w:val="16"/>
                  <w:u w:val="single"/>
                </w:rPr>
                <w:t>5</w:t>
              </w:r>
            </w:hyperlink>
            <w:hyperlink w:anchor="i6c621e6f199c4f4288b55a10bcc897ff_22">
              <w:r>
                <w:rPr>
                  <w:rStyle w:val="InternetLink"/>
                  <w:rFonts w:ascii="Arial;sans-serif" w:hAnsi="Arial;sans-serif"/>
                  <w:b w:val="false"/>
                  <w:color w:val="000080"/>
                  <w:sz w:val="16"/>
                  <w:u w:val="single"/>
                </w:rPr>
                <w:t xml:space="preserve"> and 202</w:t>
              </w:r>
            </w:hyperlink>
            <w:hyperlink w:anchor="i6c621e6f199c4f4288b55a10bcc897ff_22">
              <w:r>
                <w:rPr>
                  <w:rStyle w:val="InternetLink"/>
                  <w:rFonts w:ascii="Arial;sans-serif" w:hAnsi="Arial;sans-serif"/>
                  <w:b w:val="false"/>
                  <w:color w:val="000080"/>
                  <w:sz w:val="16"/>
                  <w:u w:val="single"/>
                </w:rPr>
                <w:t>4</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c621e6f199c4f4288b55a10bcc897ff_22">
              <w:r>
                <w:rPr>
                  <w:rStyle w:val="InternetLink"/>
                  <w:rFonts w:ascii="Arial;sans-serif" w:hAnsi="Arial;sans-serif"/>
                  <w:b w:val="false"/>
                  <w:strike w:val="false"/>
                  <w:dstrike w:val="false"/>
                  <w:color w:val="000000"/>
                  <w:sz w:val="16"/>
                  <w:u w:val="none"/>
                  <w:effect w:val="none"/>
                </w:rPr>
                <w:t>5</w:t>
              </w:r>
            </w:hyperlink>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25">
              <w:r>
                <w:rPr>
                  <w:rStyle w:val="InternetLink"/>
                  <w:rFonts w:ascii="Arial;sans-serif" w:hAnsi="Arial;sans-serif"/>
                  <w:b w:val="false"/>
                  <w:color w:val="000080"/>
                  <w:sz w:val="16"/>
                  <w:u w:val="single"/>
                </w:rPr>
                <w:t xml:space="preserve">Condensed Consolidated Statements of Stockholders' </w:t>
              </w:r>
            </w:hyperlink>
            <w:hyperlink w:anchor="i6c621e6f199c4f4288b55a10bcc897ff_25">
              <w:r>
                <w:rPr>
                  <w:rStyle w:val="InternetLink"/>
                  <w:rFonts w:ascii="Arial;sans-serif" w:hAnsi="Arial;sans-serif"/>
                  <w:b w:val="false"/>
                  <w:color w:val="000080"/>
                  <w:sz w:val="16"/>
                  <w:u w:val="single"/>
                </w:rPr>
                <w:t>(Deficit)</w:t>
              </w:r>
            </w:hyperlink>
            <w:hyperlink w:anchor="i6c621e6f199c4f4288b55a10bcc897ff_25">
              <w:r>
                <w:rPr>
                  <w:rStyle w:val="InternetLink"/>
                  <w:rFonts w:ascii="Arial;sans-serif" w:hAnsi="Arial;sans-serif"/>
                  <w:b w:val="false"/>
                  <w:color w:val="000080"/>
                  <w:sz w:val="16"/>
                  <w:u w:val="single"/>
                </w:rPr>
                <w:t xml:space="preserve"> Equity</w:t>
              </w:r>
            </w:hyperlink>
            <w:hyperlink w:anchor="i6c621e6f199c4f4288b55a10bcc897ff_25">
              <w:r>
                <w:rPr>
                  <w:rStyle w:val="InternetLink"/>
                  <w:rFonts w:ascii="Arial;sans-serif" w:hAnsi="Arial;sans-serif"/>
                  <w:b w:val="false"/>
                  <w:color w:val="000080"/>
                  <w:sz w:val="16"/>
                  <w:u w:val="single"/>
                </w:rPr>
                <w:t xml:space="preserve"> </w:t>
              </w:r>
            </w:hyperlink>
            <w:hyperlink w:anchor="i6c621e6f199c4f4288b55a10bcc897ff_25">
              <w:r>
                <w:rPr>
                  <w:rStyle w:val="InternetLink"/>
                  <w:rFonts w:ascii="Arial;sans-serif" w:hAnsi="Arial;sans-serif"/>
                  <w:b w:val="false"/>
                  <w:color w:val="000080"/>
                  <w:sz w:val="16"/>
                  <w:u w:val="single"/>
                </w:rPr>
                <w:t xml:space="preserve">for the Three </w:t>
              </w:r>
            </w:hyperlink>
            <w:hyperlink w:anchor="i6c621e6f199c4f4288b55a10bcc897ff_25">
              <w:r>
                <w:rPr>
                  <w:rStyle w:val="InternetLink"/>
                  <w:rFonts w:ascii="Arial;sans-serif" w:hAnsi="Arial;sans-serif"/>
                  <w:b w:val="false"/>
                  <w:color w:val="000080"/>
                  <w:sz w:val="16"/>
                  <w:u w:val="single"/>
                </w:rPr>
                <w:t>Months Ended</w:t>
              </w:r>
            </w:hyperlink>
            <w:hyperlink w:anchor="i6c621e6f199c4f4288b55a10bcc897ff_25">
              <w:r>
                <w:rPr>
                  <w:rStyle w:val="InternetLink"/>
                  <w:rFonts w:ascii="Arial;sans-serif" w:hAnsi="Arial;sans-serif"/>
                  <w:b w:val="false"/>
                  <w:color w:val="000080"/>
                  <w:sz w:val="16"/>
                  <w:u w:val="single"/>
                </w:rPr>
                <w:t xml:space="preserve"> March</w:t>
              </w:r>
            </w:hyperlink>
            <w:hyperlink w:anchor="i6c621e6f199c4f4288b55a10bcc897ff_25">
              <w:r>
                <w:rPr>
                  <w:rStyle w:val="InternetLink"/>
                  <w:rFonts w:ascii="Arial;sans-serif" w:hAnsi="Arial;sans-serif"/>
                  <w:b w:val="false"/>
                  <w:color w:val="000080"/>
                  <w:sz w:val="16"/>
                  <w:u w:val="single"/>
                </w:rPr>
                <w:t xml:space="preserve"> 3</w:t>
              </w:r>
            </w:hyperlink>
            <w:hyperlink w:anchor="i6c621e6f199c4f4288b55a10bcc897ff_25">
              <w:r>
                <w:rPr>
                  <w:rStyle w:val="InternetLink"/>
                  <w:rFonts w:ascii="Arial;sans-serif" w:hAnsi="Arial;sans-serif"/>
                  <w:b w:val="false"/>
                  <w:color w:val="000080"/>
                  <w:sz w:val="16"/>
                  <w:u w:val="single"/>
                </w:rPr>
                <w:t>1</w:t>
              </w:r>
            </w:hyperlink>
            <w:hyperlink w:anchor="i6c621e6f199c4f4288b55a10bcc897ff_25">
              <w:r>
                <w:rPr>
                  <w:rStyle w:val="InternetLink"/>
                  <w:rFonts w:ascii="Arial;sans-serif" w:hAnsi="Arial;sans-serif"/>
                  <w:b w:val="false"/>
                  <w:color w:val="000080"/>
                  <w:sz w:val="16"/>
                  <w:u w:val="single"/>
                </w:rPr>
                <w:t>, 202</w:t>
              </w:r>
            </w:hyperlink>
            <w:hyperlink w:anchor="i6c621e6f199c4f4288b55a10bcc897ff_25">
              <w:r>
                <w:rPr>
                  <w:rStyle w:val="InternetLink"/>
                  <w:rFonts w:ascii="Arial;sans-serif" w:hAnsi="Arial;sans-serif"/>
                  <w:b w:val="false"/>
                  <w:color w:val="000080"/>
                  <w:sz w:val="16"/>
                  <w:u w:val="single"/>
                </w:rPr>
                <w:t>5</w:t>
              </w:r>
            </w:hyperlink>
            <w:hyperlink w:anchor="i6c621e6f199c4f4288b55a10bcc897ff_25">
              <w:r>
                <w:rPr>
                  <w:rStyle w:val="InternetLink"/>
                  <w:rFonts w:ascii="Arial;sans-serif" w:hAnsi="Arial;sans-serif"/>
                  <w:b w:val="false"/>
                  <w:color w:val="000080"/>
                  <w:sz w:val="16"/>
                  <w:u w:val="single"/>
                </w:rPr>
                <w:t xml:space="preserve"> and 202</w:t>
              </w:r>
            </w:hyperlink>
            <w:hyperlink w:anchor="i6c621e6f199c4f4288b55a10bcc897ff_25">
              <w:r>
                <w:rPr>
                  <w:rStyle w:val="InternetLink"/>
                  <w:rFonts w:ascii="Arial;sans-serif" w:hAnsi="Arial;sans-serif"/>
                  <w:b w:val="false"/>
                  <w:color w:val="000080"/>
                  <w:sz w:val="16"/>
                  <w:u w:val="single"/>
                </w:rPr>
                <w:t>4</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c621e6f199c4f4288b55a10bcc897ff_25">
              <w:r>
                <w:rPr>
                  <w:rStyle w:val="InternetLink"/>
                  <w:rFonts w:ascii="Arial;sans-serif" w:hAnsi="Arial;sans-serif"/>
                  <w:b w:val="false"/>
                  <w:strike w:val="false"/>
                  <w:dstrike w:val="false"/>
                  <w:color w:val="000000"/>
                  <w:sz w:val="16"/>
                  <w:u w:val="none"/>
                  <w:effect w:val="none"/>
                </w:rPr>
                <w:t>6</w:t>
              </w:r>
            </w:hyperlink>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31">
              <w:r>
                <w:rPr>
                  <w:rStyle w:val="InternetLink"/>
                  <w:rFonts w:ascii="Arial;sans-serif" w:hAnsi="Arial;sans-serif"/>
                  <w:b w:val="false"/>
                  <w:color w:val="000080"/>
                  <w:sz w:val="16"/>
                  <w:u w:val="single"/>
                </w:rPr>
                <w:t xml:space="preserve">Condensed Consolidated Statements of Cash Flows for the </w:t>
              </w:r>
            </w:hyperlink>
            <w:hyperlink w:anchor="i6c621e6f199c4f4288b55a10bcc897ff_31">
              <w:r>
                <w:rPr>
                  <w:rStyle w:val="InternetLink"/>
                  <w:rFonts w:ascii="Arial;sans-serif" w:hAnsi="Arial;sans-serif"/>
                  <w:b w:val="false"/>
                  <w:color w:val="000080"/>
                  <w:sz w:val="16"/>
                  <w:u w:val="single"/>
                </w:rPr>
                <w:t>Three</w:t>
              </w:r>
            </w:hyperlink>
            <w:hyperlink w:anchor="i6c621e6f199c4f4288b55a10bcc897ff_31">
              <w:r>
                <w:rPr>
                  <w:rStyle w:val="InternetLink"/>
                  <w:rFonts w:ascii="Arial;sans-serif" w:hAnsi="Arial;sans-serif"/>
                  <w:b w:val="false"/>
                  <w:color w:val="000080"/>
                  <w:sz w:val="16"/>
                  <w:u w:val="single"/>
                </w:rPr>
                <w:t xml:space="preserve"> Months Ended</w:t>
              </w:r>
            </w:hyperlink>
            <w:hyperlink w:anchor="i6c621e6f199c4f4288b55a10bcc897ff_31">
              <w:r>
                <w:rPr>
                  <w:rStyle w:val="InternetLink"/>
                  <w:rFonts w:ascii="Arial;sans-serif" w:hAnsi="Arial;sans-serif"/>
                  <w:b w:val="false"/>
                  <w:color w:val="000080"/>
                  <w:sz w:val="16"/>
                  <w:u w:val="single"/>
                </w:rPr>
                <w:t xml:space="preserve"> March</w:t>
              </w:r>
            </w:hyperlink>
            <w:hyperlink w:anchor="i6c621e6f199c4f4288b55a10bcc897ff_31">
              <w:r>
                <w:rPr>
                  <w:rStyle w:val="InternetLink"/>
                  <w:rFonts w:ascii="Arial;sans-serif" w:hAnsi="Arial;sans-serif"/>
                  <w:b w:val="false"/>
                  <w:color w:val="000080"/>
                  <w:sz w:val="16"/>
                  <w:u w:val="single"/>
                </w:rPr>
                <w:t xml:space="preserve"> 3</w:t>
              </w:r>
            </w:hyperlink>
            <w:hyperlink w:anchor="i6c621e6f199c4f4288b55a10bcc897ff_31">
              <w:r>
                <w:rPr>
                  <w:rStyle w:val="InternetLink"/>
                  <w:rFonts w:ascii="Arial;sans-serif" w:hAnsi="Arial;sans-serif"/>
                  <w:b w:val="false"/>
                  <w:color w:val="000080"/>
                  <w:sz w:val="16"/>
                  <w:u w:val="single"/>
                </w:rPr>
                <w:t>1</w:t>
              </w:r>
            </w:hyperlink>
            <w:hyperlink w:anchor="i6c621e6f199c4f4288b55a10bcc897ff_31">
              <w:r>
                <w:rPr>
                  <w:rStyle w:val="InternetLink"/>
                  <w:rFonts w:ascii="Arial;sans-serif" w:hAnsi="Arial;sans-serif"/>
                  <w:b w:val="false"/>
                  <w:color w:val="000080"/>
                  <w:sz w:val="16"/>
                  <w:u w:val="single"/>
                </w:rPr>
                <w:t>, 202</w:t>
              </w:r>
            </w:hyperlink>
            <w:hyperlink w:anchor="i6c621e6f199c4f4288b55a10bcc897ff_31">
              <w:r>
                <w:rPr>
                  <w:rStyle w:val="InternetLink"/>
                  <w:rFonts w:ascii="Arial;sans-serif" w:hAnsi="Arial;sans-serif"/>
                  <w:b w:val="false"/>
                  <w:color w:val="000080"/>
                  <w:sz w:val="16"/>
                  <w:u w:val="single"/>
                </w:rPr>
                <w:t>5</w:t>
              </w:r>
            </w:hyperlink>
            <w:hyperlink w:anchor="i6c621e6f199c4f4288b55a10bcc897ff_31">
              <w:r>
                <w:rPr>
                  <w:rStyle w:val="InternetLink"/>
                  <w:rFonts w:ascii="Arial;sans-serif" w:hAnsi="Arial;sans-serif"/>
                  <w:b w:val="false"/>
                  <w:color w:val="000080"/>
                  <w:sz w:val="16"/>
                  <w:u w:val="single"/>
                </w:rPr>
                <w:t xml:space="preserve"> and 202</w:t>
              </w:r>
            </w:hyperlink>
            <w:hyperlink w:anchor="i6c621e6f199c4f4288b55a10bcc897ff_31">
              <w:r>
                <w:rPr>
                  <w:rStyle w:val="InternetLink"/>
                  <w:rFonts w:ascii="Arial;sans-serif" w:hAnsi="Arial;sans-serif"/>
                  <w:b w:val="false"/>
                  <w:color w:val="000080"/>
                  <w:sz w:val="16"/>
                  <w:u w:val="single"/>
                </w:rPr>
                <w:t>4</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c621e6f199c4f4288b55a10bcc897ff_31">
              <w:r>
                <w:rPr>
                  <w:rStyle w:val="InternetLink"/>
                  <w:rFonts w:ascii="Arial;sans-serif" w:hAnsi="Arial;sans-serif"/>
                  <w:b w:val="false"/>
                  <w:strike w:val="false"/>
                  <w:dstrike w:val="false"/>
                  <w:color w:val="000000"/>
                  <w:sz w:val="16"/>
                  <w:u w:val="none"/>
                  <w:effect w:val="none"/>
                </w:rPr>
                <w:t>7</w:t>
              </w:r>
            </w:hyperlink>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34">
              <w:r>
                <w:rPr>
                  <w:rStyle w:val="InternetLink"/>
                  <w:rFonts w:ascii="Arial;sans-serif" w:hAnsi="Arial;sans-serif"/>
                  <w:b w:val="false"/>
                  <w:color w:val="0000FF"/>
                  <w:sz w:val="16"/>
                  <w:u w:val="single"/>
                </w:rPr>
                <w:t>Notes to Unaudited Condensed Consolidated Financial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c621e6f199c4f4288b55a10bcc897ff_34">
              <w:r>
                <w:rPr>
                  <w:rStyle w:val="InternetLink"/>
                  <w:rFonts w:ascii="Arial;sans-serif" w:hAnsi="Arial;sans-serif"/>
                  <w:b w:val="false"/>
                  <w:strike w:val="false"/>
                  <w:dstrike w:val="false"/>
                  <w:color w:val="000000"/>
                  <w:sz w:val="16"/>
                  <w:u w:val="none"/>
                  <w:effect w:val="none"/>
                </w:rPr>
                <w:t>8</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94">
              <w:r>
                <w:rPr>
                  <w:rStyle w:val="InternetLink"/>
                  <w:rFonts w:ascii="Arial;sans-serif" w:hAnsi="Arial;sans-serif"/>
                  <w:b w:val="false"/>
                  <w:color w:val="0000FF"/>
                  <w:sz w:val="16"/>
                  <w:u w:val="single"/>
                </w:rPr>
                <w:t>Item 2.</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94">
              <w:r>
                <w:rPr>
                  <w:rStyle w:val="InternetLink"/>
                  <w:rFonts w:ascii="Arial;sans-serif" w:hAnsi="Arial;sans-serif"/>
                  <w:b w:val="false"/>
                  <w:color w:val="0000FF"/>
                  <w:sz w:val="16"/>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c621e6f199c4f4288b55a10bcc897ff_94">
              <w:r>
                <w:rPr>
                  <w:rStyle w:val="InternetLink"/>
                  <w:rFonts w:ascii="Arial;sans-serif" w:hAnsi="Arial;sans-serif"/>
                  <w:b w:val="false"/>
                  <w:strike w:val="false"/>
                  <w:dstrike w:val="false"/>
                  <w:color w:val="000000"/>
                  <w:sz w:val="16"/>
                  <w:u w:val="none"/>
                  <w:effect w:val="none"/>
                </w:rPr>
                <w:t>20</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39">
              <w:r>
                <w:rPr>
                  <w:rStyle w:val="InternetLink"/>
                  <w:rFonts w:ascii="Arial;sans-serif" w:hAnsi="Arial;sans-serif"/>
                  <w:b w:val="false"/>
                  <w:color w:val="0000FF"/>
                  <w:sz w:val="16"/>
                  <w:u w:val="single"/>
                </w:rPr>
                <w:t>Item 3.</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39">
              <w:r>
                <w:rPr>
                  <w:rStyle w:val="InternetLink"/>
                  <w:rFonts w:ascii="Arial;sans-serif" w:hAnsi="Arial;sans-serif"/>
                  <w:b w:val="false"/>
                  <w:color w:val="0000FF"/>
                  <w:sz w:val="16"/>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c621e6f199c4f4288b55a10bcc897ff_139">
              <w:r>
                <w:rPr>
                  <w:rStyle w:val="InternetLink"/>
                  <w:rFonts w:ascii="Arial;sans-serif" w:hAnsi="Arial;sans-serif"/>
                  <w:b w:val="false"/>
                  <w:strike w:val="false"/>
                  <w:dstrike w:val="false"/>
                  <w:color w:val="000000"/>
                  <w:sz w:val="16"/>
                  <w:u w:val="none"/>
                  <w:effect w:val="none"/>
                </w:rPr>
                <w:t>31</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42">
              <w:r>
                <w:rPr>
                  <w:rStyle w:val="InternetLink"/>
                  <w:rFonts w:ascii="Arial;sans-serif" w:hAnsi="Arial;sans-serif"/>
                  <w:b w:val="false"/>
                  <w:color w:val="0000FF"/>
                  <w:sz w:val="16"/>
                  <w:u w:val="single"/>
                </w:rPr>
                <w:t>Item 4.</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42">
              <w:r>
                <w:rPr>
                  <w:rStyle w:val="InternetLink"/>
                  <w:rFonts w:ascii="Arial;sans-serif" w:hAnsi="Arial;sans-serif"/>
                  <w:b w:val="false"/>
                  <w:color w:val="0000FF"/>
                  <w:sz w:val="16"/>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c621e6f199c4f4288b55a10bcc897ff_142">
              <w:r>
                <w:rPr>
                  <w:rStyle w:val="InternetLink"/>
                  <w:rFonts w:ascii="Arial;sans-serif" w:hAnsi="Arial;sans-serif"/>
                  <w:b w:val="false"/>
                  <w:strike w:val="false"/>
                  <w:dstrike w:val="false"/>
                  <w:color w:val="000000"/>
                  <w:sz w:val="16"/>
                  <w:u w:val="none"/>
                  <w:effect w:val="none"/>
                </w:rPr>
                <w:t>32</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45">
              <w:r>
                <w:rPr>
                  <w:rStyle w:val="InternetLink"/>
                  <w:rFonts w:ascii="Arial;sans-serif" w:hAnsi="Arial;sans-serif"/>
                  <w:b/>
                  <w:color w:val="0000FF"/>
                  <w:sz w:val="16"/>
                  <w:u w:val="single"/>
                </w:rPr>
                <w:t>Part II. 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621e6f199c4f4288b55a10bcc897ff_145">
              <w:r>
                <w:rPr>
                  <w:rStyle w:val="InternetLink"/>
                  <w:rFonts w:ascii="Arial;sans-serif" w:hAnsi="Arial;sans-serif"/>
                  <w:b w:val="false"/>
                  <w:strike w:val="false"/>
                  <w:dstrike w:val="false"/>
                  <w:color w:val="000000"/>
                  <w:sz w:val="16"/>
                  <w:u w:val="none"/>
                  <w:effect w:val="none"/>
                </w:rPr>
                <w:t>33</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48">
              <w:r>
                <w:rPr>
                  <w:rStyle w:val="InternetLink"/>
                  <w:rFonts w:ascii="Arial;sans-serif" w:hAnsi="Arial;sans-serif"/>
                  <w:b w:val="false"/>
                  <w:color w:val="0000FF"/>
                  <w:sz w:val="16"/>
                  <w:u w:val="single"/>
                </w:rPr>
                <w:t>Item 1.</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48">
              <w:r>
                <w:rPr>
                  <w:rStyle w:val="InternetLink"/>
                  <w:rFonts w:ascii="Arial;sans-serif" w:hAnsi="Arial;sans-serif"/>
                  <w:b w:val="false"/>
                  <w:color w:val="0000FF"/>
                  <w:sz w:val="16"/>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c621e6f199c4f4288b55a10bcc897ff_148">
              <w:r>
                <w:rPr>
                  <w:rStyle w:val="InternetLink"/>
                  <w:rFonts w:ascii="Arial;sans-serif" w:hAnsi="Arial;sans-serif"/>
                  <w:b w:val="false"/>
                  <w:strike w:val="false"/>
                  <w:dstrike w:val="false"/>
                  <w:color w:val="000000"/>
                  <w:sz w:val="16"/>
                  <w:u w:val="none"/>
                  <w:effect w:val="none"/>
                </w:rPr>
                <w:t>33</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51">
              <w:r>
                <w:rPr>
                  <w:rStyle w:val="InternetLink"/>
                  <w:rFonts w:ascii="Arial;sans-serif" w:hAnsi="Arial;sans-serif"/>
                  <w:b w:val="false"/>
                  <w:color w:val="0000FF"/>
                  <w:sz w:val="16"/>
                  <w:u w:val="single"/>
                </w:rPr>
                <w:t>Item 1A.</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51">
              <w:r>
                <w:rPr>
                  <w:rStyle w:val="InternetLink"/>
                  <w:rFonts w:ascii="Arial;sans-serif" w:hAnsi="Arial;sans-serif"/>
                  <w:b w:val="false"/>
                  <w:color w:val="0000FF"/>
                  <w:sz w:val="16"/>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c621e6f199c4f4288b55a10bcc897ff_151">
              <w:r>
                <w:rPr>
                  <w:rStyle w:val="InternetLink"/>
                  <w:rFonts w:ascii="Arial;sans-serif" w:hAnsi="Arial;sans-serif"/>
                  <w:b w:val="false"/>
                  <w:strike w:val="false"/>
                  <w:dstrike w:val="false"/>
                  <w:color w:val="000000"/>
                  <w:sz w:val="16"/>
                  <w:u w:val="none"/>
                  <w:effect w:val="none"/>
                </w:rPr>
                <w:t>33</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54">
              <w:r>
                <w:rPr>
                  <w:rStyle w:val="InternetLink"/>
                  <w:rFonts w:ascii="Arial;sans-serif" w:hAnsi="Arial;sans-serif"/>
                  <w:b w:val="false"/>
                  <w:color w:val="0000FF"/>
                  <w:sz w:val="16"/>
                  <w:u w:val="single"/>
                </w:rPr>
                <w:t>Item 2.</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54">
              <w:r>
                <w:rPr>
                  <w:rStyle w:val="InternetLink"/>
                  <w:rFonts w:ascii="Arial;sans-serif" w:hAnsi="Arial;sans-serif"/>
                  <w:b w:val="false"/>
                  <w:color w:val="0000FF"/>
                  <w:sz w:val="16"/>
                  <w:u w:val="single"/>
                </w:rPr>
                <w:t>Unregistered Sales of Equity Securities and Use of Proceeds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c621e6f199c4f4288b55a10bcc897ff_154">
              <w:r>
                <w:rPr>
                  <w:rStyle w:val="InternetLink"/>
                  <w:rFonts w:ascii="Arial;sans-serif" w:hAnsi="Arial;sans-serif"/>
                  <w:b w:val="false"/>
                  <w:strike w:val="false"/>
                  <w:dstrike w:val="false"/>
                  <w:color w:val="000000"/>
                  <w:sz w:val="16"/>
                  <w:u w:val="none"/>
                  <w:effect w:val="none"/>
                </w:rPr>
                <w:t>69</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57">
              <w:r>
                <w:rPr>
                  <w:rStyle w:val="InternetLink"/>
                  <w:rFonts w:ascii="Arial;sans-serif" w:hAnsi="Arial;sans-serif"/>
                  <w:b w:val="false"/>
                  <w:color w:val="0000FF"/>
                  <w:sz w:val="16"/>
                  <w:u w:val="single"/>
                </w:rPr>
                <w:t>Item 3.</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57">
              <w:r>
                <w:rPr>
                  <w:rStyle w:val="InternetLink"/>
                  <w:rFonts w:ascii="Arial;sans-serif" w:hAnsi="Arial;sans-serif"/>
                  <w:b w:val="false"/>
                  <w:color w:val="0000FF"/>
                  <w:sz w:val="16"/>
                  <w:u w:val="single"/>
                </w:rPr>
                <w:t>Defaults Upon Senior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c621e6f199c4f4288b55a10bcc897ff_157">
              <w:r>
                <w:rPr>
                  <w:rStyle w:val="InternetLink"/>
                  <w:rFonts w:ascii="Arial;sans-serif" w:hAnsi="Arial;sans-serif"/>
                  <w:b w:val="false"/>
                  <w:strike w:val="false"/>
                  <w:dstrike w:val="false"/>
                  <w:color w:val="000000"/>
                  <w:sz w:val="16"/>
                  <w:u w:val="none"/>
                  <w:effect w:val="none"/>
                </w:rPr>
                <w:t>69</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60">
              <w:r>
                <w:rPr>
                  <w:rStyle w:val="InternetLink"/>
                  <w:rFonts w:ascii="Arial;sans-serif" w:hAnsi="Arial;sans-serif"/>
                  <w:b w:val="false"/>
                  <w:color w:val="0000FF"/>
                  <w:sz w:val="16"/>
                  <w:u w:val="single"/>
                </w:rPr>
                <w:t>Item 4.</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60">
              <w:r>
                <w:rPr>
                  <w:rStyle w:val="InternetLink"/>
                  <w:rFonts w:ascii="Arial;sans-serif" w:hAnsi="Arial;sans-serif"/>
                  <w:b w:val="false"/>
                  <w:color w:val="0000FF"/>
                  <w:sz w:val="16"/>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c621e6f199c4f4288b55a10bcc897ff_160">
              <w:r>
                <w:rPr>
                  <w:rStyle w:val="InternetLink"/>
                  <w:rFonts w:ascii="Arial;sans-serif" w:hAnsi="Arial;sans-serif"/>
                  <w:b w:val="false"/>
                  <w:strike w:val="false"/>
                  <w:dstrike w:val="false"/>
                  <w:color w:val="000000"/>
                  <w:sz w:val="16"/>
                  <w:u w:val="none"/>
                  <w:effect w:val="none"/>
                </w:rPr>
                <w:t>69</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63">
              <w:r>
                <w:rPr>
                  <w:rStyle w:val="InternetLink"/>
                  <w:rFonts w:ascii="Arial;sans-serif" w:hAnsi="Arial;sans-serif"/>
                  <w:b w:val="false"/>
                  <w:color w:val="0000FF"/>
                  <w:sz w:val="16"/>
                  <w:u w:val="single"/>
                </w:rPr>
                <w:t>Item 5.</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63">
              <w:r>
                <w:rPr>
                  <w:rStyle w:val="InternetLink"/>
                  <w:rFonts w:ascii="Arial;sans-serif" w:hAnsi="Arial;sans-serif"/>
                  <w:b w:val="false"/>
                  <w:color w:val="0000FF"/>
                  <w:sz w:val="16"/>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c621e6f199c4f4288b55a10bcc897ff_163">
              <w:r>
                <w:rPr>
                  <w:rStyle w:val="InternetLink"/>
                  <w:rFonts w:ascii="Arial;sans-serif" w:hAnsi="Arial;sans-serif"/>
                  <w:b w:val="false"/>
                  <w:strike w:val="false"/>
                  <w:dstrike w:val="false"/>
                  <w:color w:val="000000"/>
                  <w:sz w:val="16"/>
                  <w:u w:val="none"/>
                  <w:effect w:val="none"/>
                </w:rPr>
                <w:t>70</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69">
              <w:r>
                <w:rPr>
                  <w:rStyle w:val="InternetLink"/>
                  <w:rFonts w:ascii="Arial;sans-serif" w:hAnsi="Arial;sans-serif"/>
                  <w:b w:val="false"/>
                  <w:color w:val="0000FF"/>
                  <w:sz w:val="16"/>
                  <w:u w:val="single"/>
                </w:rPr>
                <w:t>Item 6.</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69">
              <w:r>
                <w:rPr>
                  <w:rStyle w:val="InternetLink"/>
                  <w:rFonts w:ascii="Arial;sans-serif" w:hAnsi="Arial;sans-serif"/>
                  <w:b w:val="false"/>
                  <w:color w:val="0000FF"/>
                  <w:sz w:val="16"/>
                  <w:u w:val="single"/>
                </w:rPr>
                <w:t>Exhibits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c621e6f199c4f4288b55a10bcc897ff_169">
              <w:r>
                <w:rPr>
                  <w:rStyle w:val="InternetLink"/>
                  <w:rFonts w:ascii="Arial;sans-serif" w:hAnsi="Arial;sans-serif"/>
                  <w:b w:val="false"/>
                  <w:strike w:val="false"/>
                  <w:dstrike w:val="false"/>
                  <w:color w:val="000000"/>
                  <w:sz w:val="16"/>
                  <w:u w:val="none"/>
                  <w:effect w:val="none"/>
                </w:rPr>
                <w:t>71</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6c621e6f199c4f4288b55a10bcc897ff_172">
              <w:r>
                <w:rPr>
                  <w:rStyle w:val="InternetLink"/>
                  <w:rFonts w:ascii="Arial;sans-serif" w:hAnsi="Arial;sans-serif"/>
                  <w:b w:val="false"/>
                  <w:color w:val="0000FF"/>
                  <w:sz w:val="16"/>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6c621e6f199c4f4288b55a10bcc897ff_172">
              <w:r>
                <w:rPr>
                  <w:rStyle w:val="InternetLink"/>
                  <w:rFonts w:ascii="Arial;sans-serif" w:hAnsi="Arial;sans-serif"/>
                  <w:b w:val="false"/>
                  <w:strike w:val="false"/>
                  <w:dstrike w:val="false"/>
                  <w:color w:val="000000"/>
                  <w:sz w:val="16"/>
                  <w:u w:val="none"/>
                  <w:effect w:val="none"/>
                </w:rPr>
                <w:t>72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and per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3073"/>
        <w:gridCol w:w="2260"/>
        <w:gridCol w:w="2245"/>
        <w:gridCol w:w="211"/>
        <w:gridCol w:w="721"/>
        <w:gridCol w:w="109"/>
        <w:gridCol w:w="109"/>
        <w:gridCol w:w="109"/>
        <w:gridCol w:w="109"/>
        <w:gridCol w:w="222"/>
        <w:gridCol w:w="872"/>
        <w:gridCol w:w="165"/>
      </w:tblGrid>
      <w:tr>
        <w:trPr/>
        <w:tc>
          <w:tcPr>
            <w:tcW w:w="3073"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7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December 31, </w:t>
              <w:br/>
              <w:t>2024</w:t>
            </w:r>
          </w:p>
        </w:tc>
      </w:tr>
      <w:tr>
        <w:trPr/>
        <w:tc>
          <w:tcPr>
            <w:tcW w:w="7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 (Note 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 of $115 and $131 as of March 31, 2025 and December 31, 2024,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69,083 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investments (Note 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106,135 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DEFICIT</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40,445 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Vendor financing arrangements,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59,282 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35,177 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Vendor financing arrangements,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107,323 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10)</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deficit: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par value of $0.001 - 10,000,000 shares authorized as of both March 31, 2025 and December 31, 2024; no shares issued and outstanding as of both March 31, 2025 and December 31, 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par value of $0.001 - 300,000,000 shares authorized as of both March 31, 2025 and December 31, 2024; 41,403,294 and 40,724,936 shares issued and outstanding as of March 31, 2025 and December 31, 2024,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(136,885)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deficit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106,135 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Operations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and per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013" w:type="dxa"/>
        <w:jc w:val="left"/>
        <w:tblInd w:w="0" w:type="dxa"/>
        <w:tblLayout w:type="fixed"/>
        <w:tblCellMar>
          <w:top w:w="28" w:type="dxa"/>
          <w:left w:w="28" w:type="dxa"/>
          <w:bottom w:w="28" w:type="dxa"/>
          <w:right w:w="28" w:type="dxa"/>
        </w:tblCellMar>
      </w:tblPr>
      <w:tblGrid>
        <w:gridCol w:w="2463"/>
        <w:gridCol w:w="2170"/>
        <w:gridCol w:w="2192"/>
        <w:gridCol w:w="244"/>
        <w:gridCol w:w="837"/>
        <w:gridCol w:w="109"/>
        <w:gridCol w:w="109"/>
        <w:gridCol w:w="109"/>
        <w:gridCol w:w="109"/>
        <w:gridCol w:w="244"/>
        <w:gridCol w:w="837"/>
        <w:gridCol w:w="109"/>
        <w:gridCol w:w="109"/>
        <w:gridCol w:w="109"/>
        <w:gridCol w:w="109"/>
        <w:gridCol w:w="154"/>
      </w:tblGrid>
      <w:tr>
        <w:trPr/>
        <w:tc>
          <w:tcPr>
            <w:tcW w:w="2463"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Licensing, support and maintenance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royalties and other</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Loss before income taxes and loss from equity method investment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equity method investment,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attributable to common stockholders, basic and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used in computing per share amounts,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40,853,048 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37,709,058 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Comprehensive Loss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7794" w:type="dxa"/>
        <w:jc w:val="left"/>
        <w:tblInd w:w="0" w:type="dxa"/>
        <w:tblLayout w:type="fixed"/>
        <w:tblCellMar>
          <w:top w:w="28" w:type="dxa"/>
          <w:left w:w="28" w:type="dxa"/>
          <w:bottom w:w="28" w:type="dxa"/>
          <w:right w:w="28" w:type="dxa"/>
        </w:tblCellMar>
      </w:tblPr>
      <w:tblGrid>
        <w:gridCol w:w="1794"/>
        <w:gridCol w:w="1571"/>
        <w:gridCol w:w="1599"/>
        <w:gridCol w:w="211"/>
        <w:gridCol w:w="691"/>
        <w:gridCol w:w="109"/>
        <w:gridCol w:w="109"/>
        <w:gridCol w:w="109"/>
        <w:gridCol w:w="109"/>
        <w:gridCol w:w="211"/>
        <w:gridCol w:w="691"/>
        <w:gridCol w:w="109"/>
        <w:gridCol w:w="109"/>
        <w:gridCol w:w="109"/>
        <w:gridCol w:w="109"/>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available-for-sale securities, net of tax</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Stockholders' (Deficit) Equity</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10" w:type="dxa"/>
        <w:jc w:val="left"/>
        <w:tblInd w:w="0" w:type="dxa"/>
        <w:tblLayout w:type="fixed"/>
        <w:tblCellMar>
          <w:top w:w="28" w:type="dxa"/>
          <w:left w:w="28" w:type="dxa"/>
          <w:bottom w:w="28" w:type="dxa"/>
          <w:right w:w="28" w:type="dxa"/>
        </w:tblCellMar>
      </w:tblPr>
      <w:tblGrid>
        <w:gridCol w:w="809"/>
        <w:gridCol w:w="368"/>
        <w:gridCol w:w="369"/>
        <w:gridCol w:w="109"/>
        <w:gridCol w:w="109"/>
        <w:gridCol w:w="109"/>
        <w:gridCol w:w="540"/>
        <w:gridCol w:w="541"/>
        <w:gridCol w:w="216"/>
        <w:gridCol w:w="109"/>
        <w:gridCol w:w="109"/>
        <w:gridCol w:w="109"/>
        <w:gridCol w:w="232"/>
        <w:gridCol w:w="398"/>
        <w:gridCol w:w="121"/>
        <w:gridCol w:w="109"/>
        <w:gridCol w:w="109"/>
        <w:gridCol w:w="109"/>
        <w:gridCol w:w="211"/>
        <w:gridCol w:w="826"/>
        <w:gridCol w:w="109"/>
        <w:gridCol w:w="109"/>
        <w:gridCol w:w="109"/>
        <w:gridCol w:w="109"/>
        <w:gridCol w:w="442"/>
        <w:gridCol w:w="748"/>
        <w:gridCol w:w="161"/>
        <w:gridCol w:w="109"/>
        <w:gridCol w:w="109"/>
        <w:gridCol w:w="109"/>
        <w:gridCol w:w="211"/>
        <w:gridCol w:w="841"/>
        <w:gridCol w:w="109"/>
        <w:gridCol w:w="109"/>
        <w:gridCol w:w="109"/>
        <w:gridCol w:w="109"/>
        <w:gridCol w:w="211"/>
        <w:gridCol w:w="63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Deficit</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40,724,936 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145,959 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Restricted Stock Units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532,399 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available-for-sale securities,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41,403,294 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300" w:type="dxa"/>
        <w:jc w:val="left"/>
        <w:tblInd w:w="0" w:type="dxa"/>
        <w:tblLayout w:type="fixed"/>
        <w:tblCellMar>
          <w:top w:w="28" w:type="dxa"/>
          <w:left w:w="28" w:type="dxa"/>
          <w:bottom w:w="28" w:type="dxa"/>
          <w:right w:w="28" w:type="dxa"/>
        </w:tblCellMar>
      </w:tblPr>
      <w:tblGrid>
        <w:gridCol w:w="809"/>
        <w:gridCol w:w="368"/>
        <w:gridCol w:w="369"/>
        <w:gridCol w:w="109"/>
        <w:gridCol w:w="109"/>
        <w:gridCol w:w="109"/>
        <w:gridCol w:w="540"/>
        <w:gridCol w:w="541"/>
        <w:gridCol w:w="216"/>
        <w:gridCol w:w="109"/>
        <w:gridCol w:w="109"/>
        <w:gridCol w:w="109"/>
        <w:gridCol w:w="232"/>
        <w:gridCol w:w="398"/>
        <w:gridCol w:w="121"/>
        <w:gridCol w:w="109"/>
        <w:gridCol w:w="109"/>
        <w:gridCol w:w="109"/>
        <w:gridCol w:w="211"/>
        <w:gridCol w:w="826"/>
        <w:gridCol w:w="109"/>
        <w:gridCol w:w="109"/>
        <w:gridCol w:w="109"/>
        <w:gridCol w:w="109"/>
        <w:gridCol w:w="442"/>
        <w:gridCol w:w="748"/>
        <w:gridCol w:w="161"/>
        <w:gridCol w:w="109"/>
        <w:gridCol w:w="109"/>
        <w:gridCol w:w="109"/>
        <w:gridCol w:w="211"/>
        <w:gridCol w:w="841"/>
        <w:gridCol w:w="109"/>
        <w:gridCol w:w="109"/>
        <w:gridCol w:w="109"/>
        <w:gridCol w:w="109"/>
        <w:gridCol w:w="211"/>
        <w:gridCol w:w="72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Equity</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37,518,583 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246,692 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526,150 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available-for-sale securities,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38,291,425 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(112,650)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Cash Flows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8004" w:type="dxa"/>
        <w:jc w:val="left"/>
        <w:tblInd w:w="0" w:type="dxa"/>
        <w:tblLayout w:type="fixed"/>
        <w:tblCellMar>
          <w:top w:w="28" w:type="dxa"/>
          <w:left w:w="28" w:type="dxa"/>
          <w:bottom w:w="28" w:type="dxa"/>
          <w:right w:w="28" w:type="dxa"/>
        </w:tblCellMar>
      </w:tblPr>
      <w:tblGrid>
        <w:gridCol w:w="2076"/>
        <w:gridCol w:w="1824"/>
        <w:gridCol w:w="1830"/>
        <w:gridCol w:w="196"/>
        <w:gridCol w:w="646"/>
        <w:gridCol w:w="109"/>
        <w:gridCol w:w="109"/>
        <w:gridCol w:w="109"/>
        <w:gridCol w:w="109"/>
        <w:gridCol w:w="196"/>
        <w:gridCol w:w="646"/>
        <w:gridCol w:w="154"/>
      </w:tblGrid>
      <w:tr>
        <w:trPr/>
        <w:tc>
          <w:tcPr>
            <w:tcW w:w="2076"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accretion of discounts on available-for-sale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available-for-sale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maturities of available-for-sale securities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under vendor financing arrangements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exercise of stock options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financing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IN CASH, CASH EQUIVALENTS AND RESTRICTED CASH</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59" w:type="dxa"/>
        <w:jc w:val="left"/>
        <w:tblInd w:w="0" w:type="dxa"/>
        <w:tblLayout w:type="fixed"/>
        <w:tblCellMar>
          <w:top w:w="28" w:type="dxa"/>
          <w:left w:w="28" w:type="dxa"/>
          <w:bottom w:w="28" w:type="dxa"/>
          <w:right w:w="28" w:type="dxa"/>
        </w:tblCellMar>
      </w:tblPr>
      <w:tblGrid>
        <w:gridCol w:w="1838"/>
        <w:gridCol w:w="1618"/>
        <w:gridCol w:w="1629"/>
        <w:gridCol w:w="196"/>
        <w:gridCol w:w="646"/>
        <w:gridCol w:w="109"/>
        <w:gridCol w:w="109"/>
        <w:gridCol w:w="109"/>
        <w:gridCol w:w="109"/>
        <w:gridCol w:w="196"/>
        <w:gridCol w:w="646"/>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    </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exchanged for lease obligations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    DESCRIPTION OF BUSINESS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Arteris, Inc. was incorporated in Delaware on April 12, 2004. Arteris, Inc. and its subsidiaries (collectively, the Company or Arteris) develop, license, and support the on-chip interconnect fabric technology used in System-on-Chip (SoC) designs for a variety of devices and in the development and distribution of Networks-on-Chip (NoC) interconnect intellectual property (IP). The Company also provides software and services to enable efficient deployment of NoC IP, IP support &amp; maintenance services, professional services and training and on-site support services. The Company is headquartered in Campbell, California and has offices in the United States, France, Poland, Japan, South Korea, Taiwan and China.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    BASIS OF PRESENTATION AND SUMMARY OF SIGNIFICANT ACCOUNTING POLICIES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accompanying unaudited condensed consolidated financial statements have been prepared in accordance with accounting principles generally accepted in the United States of America (GAAP) for interim financial information and do not include all disclosures normally required in annual consolidated financial statements prepared in accordance with GAAP. Accordingly, these unaudited condensed consolidated financial statements should be read in conjunction with the audited consolidated financial statements for the year ended December 31, 2024 and the related notes included in the Company’s Form 10-K filed on February 18, 2025 (2024 Form 10-K) with the U.S. Securities and Exchange Commission (SEC). The December 31, 2024 condensed consolidated balance sheet was derived from the audited consolidated financial statements as of that date. In management’s opinion, the unaudited interim consolidated financial statements have been prepared on the same basis as the annual financial statements and reflect all adjustments, which include only normal recurring adjustments necessary for the fair statement of the unaudited condensed consolidated financial statements.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The operating results for the three months ended March 31, 2025 are not necessarily indicative of the results to be expected for the full year or any other future interim or annual period.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Principles of Consolidation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unaudited condensed consolidated financial statements include the accounts of Arteris, Inc. and its wholly-owned subsidiaries. All intercompany transactions and accounts have been eliminated.</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Segment Information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operates as a single operating segment. The chief operating decision maker (CODM) is the Company’s Chief Executive Officer, who makes resource allocation decisions and assesses performance based on financial information presented on a consolidated basis, accompanied by disaggregated revenue information. Accordingly, the Company has determined that it has a single reportable segment and operating segment.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80" w:after="283"/>
        <w:jc w:val="both"/>
        <w:rPr/>
      </w:pPr>
      <w:r>
        <w:rPr>
          <w:rFonts w:ascii="Arial;sans-serif" w:hAnsi="Arial;sans-serif"/>
          <w:b w:val="false"/>
          <w:color w:val="000000"/>
          <w:sz w:val="20"/>
        </w:rPr>
        <w:t xml:space="preserve">The preparation of the unaudited condensed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w:t>
      </w:r>
      <w:r>
        <w:rPr>
          <w:rFonts w:ascii="Arial;sans-serif" w:hAnsi="Arial;sans-serif"/>
          <w:b w:val="false"/>
          <w:color w:val="000000"/>
          <w:sz w:val="20"/>
          <w:shd w:fill="FFFFFF" w:val="clear"/>
        </w:rPr>
        <w:t>Such estimates relate to, among others, revenue recognition, the useful lives of assets, assessment of recoverability of property, plant and equipment, fair value of investments, impairment of the equity method investment, fair values of goodwill and other intangible assets, including impairments, leases, allowance for credit losses, deferred tax assets and related valuation allowance, stock-based compensation, potential reserves relating to litigation and tax matters, collectability of certain receivables, fair value and amortization of deferred income, as well as other accruals or reserves.</w:t>
      </w:r>
      <w:r>
        <w:rPr>
          <w:color w:val="000000"/>
        </w:rPr>
        <w:t xml:space="preserve"> </w:t>
      </w:r>
      <w:r>
        <w:rPr>
          <w:rFonts w:ascii="Arial;sans-serif" w:hAnsi="Arial;sans-serif"/>
          <w:b w:val="false"/>
          <w:color w:val="000000"/>
          <w:sz w:val="20"/>
        </w:rPr>
        <w:t>Actual results could differ from those estimates and such differences may be material to the unaudited condensed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considers all highly liquid investments purchased with original maturities of three months or less from the purchase date to be cash equivalents. The Company’s cash equivalents include deposits in money market accounts which were unrestricted as to withdrawal or use and are stated at fair value. The Company’s cash equivalents occasionally include certificates of deposit. As of March 31, 2025, cash and cash equivalents consisted primarily of checking, savings, money market accounts, and highly liquid investments with original maturities of three months or less. Interest earned on cash and cash equivalents is included in other income (expense), net in the unaudited consolidated statements of operations.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both March 31, 2025 and December 31, 2024, the Company’s restricted cash balance was $0.4 million, primarily related to a letter of credit for its facility lease agreement. Restricted cash, current is included in prepaid expenses and other current assets and restricted cash, noncurrent is included in other assets on the consolidated balance sheets.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Concentrations of Credit Risk</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Financial instruments that potentially subject us to concentration of credit risk consist of cash and cash equivalents, investments and accounts receivable. Cash is currently held in three financial institutions that the Company believes are creditworthy. Cash held at these financial institutions generally exceed federally insured limits. The Company is exposed to credit risk in the event of default by the financial institution holding its cash, cash equivalents, and investments to the extent recorded in the balance sheet. The Company has not experienced any losses to date related to these concentrations.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Company’s accounts receivable are derived principally from revenue earned from customers located in Americas, Europe, Middle East and Asia Pacific regions.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Accounts receivable from the Company’s major customers representing 10% or more of total accounts receivable was as follows:</w:t>
      </w:r>
    </w:p>
    <w:tbl>
      <w:tblPr>
        <w:tblW w:w="3400" w:type="dxa"/>
        <w:jc w:val="left"/>
        <w:tblInd w:w="0" w:type="dxa"/>
        <w:tblLayout w:type="fixed"/>
        <w:tblCellMar>
          <w:top w:w="28" w:type="dxa"/>
          <w:left w:w="28" w:type="dxa"/>
          <w:bottom w:w="28" w:type="dxa"/>
          <w:right w:w="28" w:type="dxa"/>
        </w:tblCellMar>
      </w:tblPr>
      <w:tblGrid>
        <w:gridCol w:w="364"/>
        <w:gridCol w:w="320"/>
        <w:gridCol w:w="321"/>
        <w:gridCol w:w="195"/>
        <w:gridCol w:w="195"/>
        <w:gridCol w:w="464"/>
        <w:gridCol w:w="109"/>
        <w:gridCol w:w="109"/>
        <w:gridCol w:w="109"/>
        <w:gridCol w:w="254"/>
        <w:gridCol w:w="254"/>
        <w:gridCol w:w="70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A</w:t>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Customer B</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Customer C</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Customer accounted for less than 10% of total accounts receivable at period end.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Revenue from the Company’s major customers representing 10% or more of total revenue was as follows:</w:t>
      </w:r>
    </w:p>
    <w:tbl>
      <w:tblPr>
        <w:tblW w:w="3286" w:type="dxa"/>
        <w:jc w:val="left"/>
        <w:tblInd w:w="0" w:type="dxa"/>
        <w:tblLayout w:type="fixed"/>
        <w:tblCellMar>
          <w:top w:w="28" w:type="dxa"/>
          <w:left w:w="28" w:type="dxa"/>
          <w:bottom w:w="28" w:type="dxa"/>
          <w:right w:w="28" w:type="dxa"/>
        </w:tblCellMar>
      </w:tblPr>
      <w:tblGrid>
        <w:gridCol w:w="358"/>
        <w:gridCol w:w="315"/>
        <w:gridCol w:w="316"/>
        <w:gridCol w:w="165"/>
        <w:gridCol w:w="166"/>
        <w:gridCol w:w="352"/>
        <w:gridCol w:w="150"/>
        <w:gridCol w:w="150"/>
        <w:gridCol w:w="150"/>
        <w:gridCol w:w="165"/>
        <w:gridCol w:w="166"/>
        <w:gridCol w:w="352"/>
        <w:gridCol w:w="109"/>
        <w:gridCol w:w="109"/>
        <w:gridCol w:w="109"/>
        <w:gridCol w:w="15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Customer A</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There have been no significant changes to the Company’s significant accounting policies during the three months ended March 31, 2025 from those disclosed in the annual consolidated financial statements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Recently Adopted Accounting Pronouncements</w:t>
      </w:r>
    </w:p>
    <w:p>
      <w:pPr>
        <w:pStyle w:val="TextBody"/>
        <w:bidi w:val="0"/>
        <w:spacing w:lineRule="auto" w:line="288" w:before="180" w:after="283"/>
        <w:jc w:val="both"/>
        <w:rPr/>
      </w:pPr>
      <w:r>
        <w:rPr>
          <w:rFonts w:ascii="Arial;sans-serif" w:hAnsi="Arial;sans-serif"/>
          <w:b w:val="false"/>
          <w:color w:val="000000"/>
          <w:sz w:val="20"/>
        </w:rPr>
        <w:t xml:space="preserve">In December 2023, the FASB issued ASU 2023-09, </w:t>
      </w:r>
      <w:r>
        <w:rPr>
          <w:rFonts w:ascii="Arial;sans-serif" w:hAnsi="Arial;sans-serif"/>
          <w:b w:val="false"/>
          <w:i/>
          <w:color w:val="000000"/>
          <w:sz w:val="20"/>
        </w:rPr>
        <w:t>Improvements to Income Tax Disclosures</w:t>
      </w:r>
      <w:r>
        <w:rPr>
          <w:rFonts w:ascii="Arial;sans-serif" w:hAnsi="Arial;sans-serif"/>
          <w:b w:val="false"/>
          <w:color w:val="000000"/>
          <w:sz w:val="20"/>
        </w:rPr>
        <w:t xml:space="preserve">, which amends the guidance in ASC 740, Income Taxes. This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This ASU is effective for fiscal years beginning after December 15, 2024. The adoption of ASU 2023-09 does not have a significant impact on the Company’s annual consolidated financial statements.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Recently Issued Accounting Pronouncements Not Yet Adopted</w:t>
      </w:r>
    </w:p>
    <w:p>
      <w:pPr>
        <w:pStyle w:val="TextBody"/>
        <w:bidi w:val="0"/>
        <w:spacing w:lineRule="auto" w:line="288" w:before="240" w:after="283"/>
        <w:jc w:val="both"/>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Disaggregation of Income Statement Expenses</w:t>
      </w:r>
      <w:r>
        <w:rPr>
          <w:rFonts w:ascii="Arial;sans-serif" w:hAnsi="Arial;sans-serif"/>
          <w:b w:val="false"/>
          <w:color w:val="000000"/>
          <w:sz w:val="20"/>
        </w:rPr>
        <w:t xml:space="preserve">, and in January 2025, the FASB issued ASU 2025-01, </w:t>
      </w:r>
      <w:r>
        <w:rPr>
          <w:rFonts w:ascii="Arial;sans-serif" w:hAnsi="Arial;sans-serif"/>
          <w:b w:val="false"/>
          <w:i/>
          <w:color w:val="000000"/>
          <w:sz w:val="20"/>
        </w:rPr>
        <w:t>Income Statement - Reporting Comprehensive Income - Expense Disaggregation Disclosures</w:t>
      </w:r>
      <w:r>
        <w:rPr>
          <w:rFonts w:ascii="Arial;sans-serif" w:hAnsi="Arial;sans-serif"/>
          <w:b w:val="false"/>
          <w:color w:val="000000"/>
          <w:sz w:val="20"/>
        </w:rPr>
        <w:t>, to provide disaggregated disclosures of specific expense categories underlying certain income statement expense line items on an annual and interim basis. ASU 2024-03, as clarified by ASU 2025-01, is effective for fiscal years beginning after December 15, 2026 and interim periods within fiscal years beginning after December 15, 2027. The Company is currently evaluating the impact of adopting these ASUs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3.    REVENUE</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Disaggregated Revenue</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following table shows revenue by product and services groups (in thousands):</w:t>
      </w:r>
    </w:p>
    <w:tbl>
      <w:tblPr>
        <w:tblW w:w="5454" w:type="dxa"/>
        <w:jc w:val="left"/>
        <w:tblInd w:w="0" w:type="dxa"/>
        <w:tblLayout w:type="fixed"/>
        <w:tblCellMar>
          <w:top w:w="28" w:type="dxa"/>
          <w:left w:w="28" w:type="dxa"/>
          <w:bottom w:w="28" w:type="dxa"/>
          <w:right w:w="28" w:type="dxa"/>
        </w:tblCellMar>
      </w:tblPr>
      <w:tblGrid>
        <w:gridCol w:w="995"/>
        <w:gridCol w:w="872"/>
        <w:gridCol w:w="877"/>
        <w:gridCol w:w="196"/>
        <w:gridCol w:w="646"/>
        <w:gridCol w:w="109"/>
        <w:gridCol w:w="109"/>
        <w:gridCol w:w="109"/>
        <w:gridCol w:w="109"/>
        <w:gridCol w:w="196"/>
        <w:gridCol w:w="646"/>
        <w:gridCol w:w="109"/>
        <w:gridCol w:w="109"/>
        <w:gridCol w:w="109"/>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Licensing, support and maintenance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royalties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Contract Balances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provides information about accounts receivable, net, contract assets and deferred revenue (in thousands):</w:t>
      </w:r>
    </w:p>
    <w:tbl>
      <w:tblPr>
        <w:tblW w:w="4938" w:type="dxa"/>
        <w:jc w:val="left"/>
        <w:tblInd w:w="0" w:type="dxa"/>
        <w:tblLayout w:type="fixed"/>
        <w:tblCellMar>
          <w:top w:w="28" w:type="dxa"/>
          <w:left w:w="28" w:type="dxa"/>
          <w:bottom w:w="28" w:type="dxa"/>
          <w:right w:w="28" w:type="dxa"/>
        </w:tblCellMar>
      </w:tblPr>
      <w:tblGrid>
        <w:gridCol w:w="886"/>
        <w:gridCol w:w="777"/>
        <w:gridCol w:w="782"/>
        <w:gridCol w:w="196"/>
        <w:gridCol w:w="646"/>
        <w:gridCol w:w="109"/>
        <w:gridCol w:w="109"/>
        <w:gridCol w:w="109"/>
        <w:gridCol w:w="109"/>
        <w:gridCol w:w="239"/>
        <w:gridCol w:w="788"/>
        <w:gridCol w:w="188"/>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20,608 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Contract assets, current portion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75,622 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recognized revenue of $13.5 million and $10.7 million for the three months ended March 31, 2025 and 2024, respectively, that was included in the deferred revenue balance at the beginning of the respective periods. Contract assets, current are included in prepaid expenses and other current assets and contract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March 31, 2025, non-cancelable contracted but unsatisfied or partially satisfied performance obligations that have not yet been recognized is $85.6 million which includes deferred revenue, amounts that will be invoiced and recognized as revenues in future periods and Flexible Spending Accounts (FSA) commitments, from customers where actual product selection and quantities of specific products are to be determined by customers at a future period. The Company expects to recognize $45.3 million of this balance over the next 12 months and the remainder thereafter. FSA commitments amounted to $4.4 million and $2.3 million as of March 31, 2025 and December 31, 2024, respectively. The Company has elected to exclude the potential future royalty receipts from these amounts.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Costs of Obtaining a Contract with a Customer</w:t>
      </w:r>
    </w:p>
    <w:p>
      <w:pPr>
        <w:pStyle w:val="TextBody"/>
        <w:bidi w:val="0"/>
        <w:spacing w:lineRule="auto" w:line="288" w:before="180" w:after="283"/>
        <w:jc w:val="both"/>
        <w:rPr/>
      </w:pPr>
      <w:r>
        <w:rPr>
          <w:rFonts w:ascii="Arial;sans-serif" w:hAnsi="Arial;sans-serif"/>
          <w:b w:val="false"/>
          <w:color w:val="000000"/>
          <w:sz w:val="20"/>
        </w:rPr>
        <w:t xml:space="preserve">Incremental costs of obtaining a contract with a customer consist primarily of direct sales commissions incurred upon execution of the contract. These costs are required to be capitalized under ASC 340-40, </w:t>
      </w:r>
      <w:r>
        <w:rPr>
          <w:rFonts w:ascii="Arial;sans-serif" w:hAnsi="Arial;sans-serif"/>
          <w:b w:val="false"/>
          <w:i/>
          <w:color w:val="000000"/>
          <w:sz w:val="20"/>
        </w:rPr>
        <w:t>Other Assets and Deferred Costs—Contracts With Customers</w:t>
      </w:r>
      <w:r>
        <w:rPr>
          <w:rFonts w:ascii="Arial;sans-serif" w:hAnsi="Arial;sans-serif"/>
          <w:b w:val="false"/>
          <w:color w:val="000000"/>
          <w:sz w:val="20"/>
        </w:rPr>
        <w:t>, and amortized over the license term. As direct sales commissions paid for term extensions are commensurate with the amounts paid for initial contracts, the deferred incremental costs for initial contracts and for term extensions are recognized over the respective contract terms. Total capitalized direct commission costs were as follows (in thousands):</w:t>
      </w:r>
    </w:p>
    <w:tbl>
      <w:tblPr>
        <w:tblW w:w="8387" w:type="dxa"/>
        <w:jc w:val="left"/>
        <w:tblInd w:w="0" w:type="dxa"/>
        <w:tblLayout w:type="fixed"/>
        <w:tblCellMar>
          <w:top w:w="28" w:type="dxa"/>
          <w:left w:w="28" w:type="dxa"/>
          <w:bottom w:w="28" w:type="dxa"/>
          <w:right w:w="28" w:type="dxa"/>
        </w:tblCellMar>
      </w:tblPr>
      <w:tblGrid>
        <w:gridCol w:w="2168"/>
        <w:gridCol w:w="1902"/>
        <w:gridCol w:w="1914"/>
        <w:gridCol w:w="196"/>
        <w:gridCol w:w="556"/>
        <w:gridCol w:w="109"/>
        <w:gridCol w:w="109"/>
        <w:gridCol w:w="109"/>
        <w:gridCol w:w="109"/>
        <w:gridCol w:w="262"/>
        <w:gridCol w:w="745"/>
        <w:gridCol w:w="208"/>
      </w:tblGrid>
      <w:tr>
        <w:trPr/>
        <w:tc>
          <w:tcPr>
            <w:tcW w:w="2168"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commission capitalized in prepaid expenses and other current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commission capitalized in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4,100 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Amortization of capitalized sales commissions was $0.8 million and $0.9 million for the three months ended March 31, 2025 and 2024, respectively, and are included in sales and marketing expense in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4.    NET LOSS PER SHARE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presents the calculation of basic and diluted net loss per share attributable to common stockholders (in thousands, except share and per share data):</w:t>
      </w:r>
    </w:p>
    <w:tbl>
      <w:tblPr>
        <w:tblW w:w="7148" w:type="dxa"/>
        <w:jc w:val="left"/>
        <w:tblInd w:w="0" w:type="dxa"/>
        <w:tblLayout w:type="fixed"/>
        <w:tblCellMar>
          <w:top w:w="28" w:type="dxa"/>
          <w:left w:w="28" w:type="dxa"/>
          <w:bottom w:w="28" w:type="dxa"/>
          <w:right w:w="28" w:type="dxa"/>
        </w:tblCellMar>
      </w:tblPr>
      <w:tblGrid>
        <w:gridCol w:w="1517"/>
        <w:gridCol w:w="1333"/>
        <w:gridCol w:w="1350"/>
        <w:gridCol w:w="245"/>
        <w:gridCol w:w="716"/>
        <w:gridCol w:w="109"/>
        <w:gridCol w:w="109"/>
        <w:gridCol w:w="109"/>
        <w:gridCol w:w="109"/>
        <w:gridCol w:w="245"/>
        <w:gridCol w:w="716"/>
        <w:gridCol w:w="109"/>
        <w:gridCol w:w="109"/>
        <w:gridCol w:w="109"/>
        <w:gridCol w:w="109"/>
        <w:gridCol w:w="154"/>
      </w:tblGrid>
      <w:tr>
        <w:trPr/>
        <w:tc>
          <w:tcPr>
            <w:tcW w:w="15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Numerator:</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Denominator:</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outstanding, basic and 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40,853,048 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37,709,058 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Since the Company was in a loss position for all periods presented, the diluted earnings per share is equal to the basic earnings per share as the effect of potentially dilutive securities would have been antidilutive.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summarizes the potentially dilutive securities that were excluded from the calculation of diluted earnings per share because they would be anti-dilutive:</w:t>
      </w:r>
    </w:p>
    <w:tbl>
      <w:tblPr>
        <w:tblW w:w="7518" w:type="dxa"/>
        <w:jc w:val="left"/>
        <w:tblInd w:w="0" w:type="dxa"/>
        <w:tblLayout w:type="fixed"/>
        <w:tblCellMar>
          <w:top w:w="28" w:type="dxa"/>
          <w:left w:w="28" w:type="dxa"/>
          <w:bottom w:w="28" w:type="dxa"/>
          <w:right w:w="28" w:type="dxa"/>
        </w:tblCellMar>
      </w:tblPr>
      <w:tblGrid>
        <w:gridCol w:w="1624"/>
        <w:gridCol w:w="1422"/>
        <w:gridCol w:w="1438"/>
        <w:gridCol w:w="435"/>
        <w:gridCol w:w="436"/>
        <w:gridCol w:w="421"/>
        <w:gridCol w:w="109"/>
        <w:gridCol w:w="109"/>
        <w:gridCol w:w="109"/>
        <w:gridCol w:w="435"/>
        <w:gridCol w:w="436"/>
        <w:gridCol w:w="544"/>
      </w:tblGrid>
      <w:tr>
        <w:trPr/>
        <w:tc>
          <w:tcPr>
            <w:tcW w:w="162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2,331,645 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2,600,072 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5,087,569 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5,877,561 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common shares issued for business combination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234,859 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234,859 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committed under the 2021 ESPP</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83,398 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7,737,471 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8,712,492 </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5.    INVESTMENTS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tables summarize the fair value and amortized cost of the Company’s cash equivalents and available-for-sale securities by major security type (in thousands):</w:t>
      </w:r>
    </w:p>
    <w:p>
      <w:pPr>
        <w:pStyle w:val="TextBody"/>
        <w:bidi w:val="0"/>
        <w:spacing w:before="0" w:after="0"/>
        <w:jc w:val="left"/>
        <w:rPr/>
      </w:pPr>
      <w:r>
        <w:rPr/>
      </w:r>
    </w:p>
    <w:tbl>
      <w:tblPr>
        <w:tblW w:w="7941" w:type="dxa"/>
        <w:jc w:val="left"/>
        <w:tblInd w:w="0" w:type="dxa"/>
        <w:tblLayout w:type="fixed"/>
        <w:tblCellMar>
          <w:top w:w="28" w:type="dxa"/>
          <w:left w:w="28" w:type="dxa"/>
          <w:bottom w:w="28" w:type="dxa"/>
          <w:right w:w="28" w:type="dxa"/>
        </w:tblCellMar>
      </w:tblPr>
      <w:tblGrid>
        <w:gridCol w:w="970"/>
        <w:gridCol w:w="853"/>
        <w:gridCol w:w="861"/>
        <w:gridCol w:w="278"/>
        <w:gridCol w:w="917"/>
        <w:gridCol w:w="154"/>
        <w:gridCol w:w="109"/>
        <w:gridCol w:w="109"/>
        <w:gridCol w:w="109"/>
        <w:gridCol w:w="447"/>
        <w:gridCol w:w="757"/>
        <w:gridCol w:w="250"/>
        <w:gridCol w:w="109"/>
        <w:gridCol w:w="109"/>
        <w:gridCol w:w="109"/>
        <w:gridCol w:w="354"/>
        <w:gridCol w:w="1168"/>
        <w:gridCol w:w="278"/>
      </w:tblGrid>
      <w:tr>
        <w:trPr/>
        <w:tc>
          <w:tcPr>
            <w:tcW w:w="97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Assets: </w:t>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15,309 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Money market funds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52,124 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941" w:type="dxa"/>
        <w:jc w:val="left"/>
        <w:tblInd w:w="0" w:type="dxa"/>
        <w:tblLayout w:type="fixed"/>
        <w:tblCellMar>
          <w:top w:w="28" w:type="dxa"/>
          <w:left w:w="28" w:type="dxa"/>
          <w:bottom w:w="28" w:type="dxa"/>
          <w:right w:w="28" w:type="dxa"/>
        </w:tblCellMar>
      </w:tblPr>
      <w:tblGrid>
        <w:gridCol w:w="970"/>
        <w:gridCol w:w="853"/>
        <w:gridCol w:w="861"/>
        <w:gridCol w:w="278"/>
        <w:gridCol w:w="917"/>
        <w:gridCol w:w="154"/>
        <w:gridCol w:w="109"/>
        <w:gridCol w:w="109"/>
        <w:gridCol w:w="109"/>
        <w:gridCol w:w="447"/>
        <w:gridCol w:w="757"/>
        <w:gridCol w:w="250"/>
        <w:gridCol w:w="109"/>
        <w:gridCol w:w="109"/>
        <w:gridCol w:w="109"/>
        <w:gridCol w:w="354"/>
        <w:gridCol w:w="1168"/>
        <w:gridCol w:w="278"/>
      </w:tblGrid>
      <w:tr>
        <w:trPr/>
        <w:tc>
          <w:tcPr>
            <w:tcW w:w="97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Assets: </w:t>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18,746 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11,753 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Money market funds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49,071 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maturity dates of the Company’s investments are as follows (in thousands):</w:t>
      </w:r>
    </w:p>
    <w:tbl>
      <w:tblPr>
        <w:tblW w:w="2834" w:type="dxa"/>
        <w:jc w:val="left"/>
        <w:tblInd w:w="0" w:type="dxa"/>
        <w:tblLayout w:type="fixed"/>
        <w:tblCellMar>
          <w:top w:w="28" w:type="dxa"/>
          <w:left w:w="28" w:type="dxa"/>
          <w:bottom w:w="28" w:type="dxa"/>
          <w:right w:w="28" w:type="dxa"/>
        </w:tblCellMar>
      </w:tblPr>
      <w:tblGrid>
        <w:gridCol w:w="553"/>
        <w:gridCol w:w="486"/>
        <w:gridCol w:w="490"/>
        <w:gridCol w:w="257"/>
        <w:gridCol w:w="847"/>
        <w:gridCol w:w="201"/>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than one year</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39,345 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1-2 years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12,779 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52,124 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 xml:space="preserve">As of both March 31, 2025 and December 31, 2024, there were no securities in a continuous net unrealized loss position for more than 12 months. As of both March 31, 2025 and December 31, 2024,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at maturity. Thus, as of both March 31, 2025 and December 31, 2024 no allowance for credit losses or impairment losses for the Company’s investments were recorded.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6.    FAIR VALUE MEASUREMENTS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Assets Measured and Recorded at Fair Value on a Non-Recurring Basis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Equity method investments, and certain non-financial assets, such as intangible assets are remeasured at fair value only if an impairment or observable price adjustment is recognized in the current period.</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Financial Instruments Not Recorded at Fair Value on a Recurring Basis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Financial instruments not recorded at fair value on a recurring basis include vendor financing arrangements. The carrying value of the vendor financing agreements was $1.8 million and $2.1 million as of March 31, 2025 and December 31, 2024, respectively. The Company’s vendor financing arrangements are classified within Level 2 because these borrowings are not actively traded and have a variable interest rate structure based upon the Company’s incremental borrowing rate. The estimated fair values of these financial instruments approximate their carrying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Financial Instruments Recorded at Fair Value on a Recurring Basis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following tables summarize the Company’s financial assets measured at fair value on a recurring basis by level within the fair value hierarchy (in thousands):</w:t>
      </w:r>
    </w:p>
    <w:p>
      <w:pPr>
        <w:pStyle w:val="TextBody"/>
        <w:bidi w:val="0"/>
        <w:spacing w:before="0" w:after="0"/>
        <w:jc w:val="left"/>
        <w:rPr/>
      </w:pPr>
      <w:r>
        <w:rPr/>
      </w:r>
    </w:p>
    <w:tbl>
      <w:tblPr>
        <w:tblW w:w="7274" w:type="dxa"/>
        <w:jc w:val="left"/>
        <w:tblInd w:w="0" w:type="dxa"/>
        <w:tblLayout w:type="fixed"/>
        <w:tblCellMar>
          <w:top w:w="28" w:type="dxa"/>
          <w:left w:w="28" w:type="dxa"/>
          <w:bottom w:w="28" w:type="dxa"/>
          <w:right w:w="28" w:type="dxa"/>
        </w:tblCellMar>
      </w:tblPr>
      <w:tblGrid>
        <w:gridCol w:w="968"/>
        <w:gridCol w:w="854"/>
        <w:gridCol w:w="862"/>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short-term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investments: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investments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274" w:type="dxa"/>
        <w:jc w:val="left"/>
        <w:tblInd w:w="0" w:type="dxa"/>
        <w:tblLayout w:type="fixed"/>
        <w:tblCellMar>
          <w:top w:w="28" w:type="dxa"/>
          <w:left w:w="28" w:type="dxa"/>
          <w:bottom w:w="28" w:type="dxa"/>
          <w:right w:w="28" w:type="dxa"/>
        </w:tblCellMar>
      </w:tblPr>
      <w:tblGrid>
        <w:gridCol w:w="968"/>
        <w:gridCol w:w="854"/>
        <w:gridCol w:w="862"/>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short-term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investments: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investments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Money market funds are highly liquid investments and are actively traded. The fair value is based on quoted prices for identical assets in active markets and therefore classified as Level 1 of the fair value hierarchy.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other investments are considered Level 2 financial instruments as their fair values are determined using inputs that are directly or indirectly observable in active or less active markets. There were no transfers between levels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7.    INTANGIBLE ASSETS AND GOODWILL</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Intangible assets, net</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Intangible assets, net consisted of the following as of March 31, 2025 (in thousands):</w:t>
      </w:r>
    </w:p>
    <w:p>
      <w:pPr>
        <w:pStyle w:val="TextBody"/>
        <w:bidi w:val="0"/>
        <w:spacing w:before="0" w:after="0"/>
        <w:jc w:val="left"/>
        <w:rPr/>
      </w:pPr>
      <w:r>
        <w:rPr/>
      </w:r>
    </w:p>
    <w:tbl>
      <w:tblPr>
        <w:tblW w:w="7464" w:type="dxa"/>
        <w:jc w:val="left"/>
        <w:tblInd w:w="0" w:type="dxa"/>
        <w:tblLayout w:type="fixed"/>
        <w:tblCellMar>
          <w:top w:w="28" w:type="dxa"/>
          <w:left w:w="28" w:type="dxa"/>
          <w:bottom w:w="28" w:type="dxa"/>
          <w:right w:w="28" w:type="dxa"/>
        </w:tblCellMar>
      </w:tblPr>
      <w:tblGrid>
        <w:gridCol w:w="653"/>
        <w:gridCol w:w="572"/>
        <w:gridCol w:w="575"/>
        <w:gridCol w:w="321"/>
        <w:gridCol w:w="911"/>
        <w:gridCol w:w="178"/>
        <w:gridCol w:w="109"/>
        <w:gridCol w:w="109"/>
        <w:gridCol w:w="109"/>
        <w:gridCol w:w="499"/>
        <w:gridCol w:w="1456"/>
        <w:gridCol w:w="280"/>
        <w:gridCol w:w="109"/>
        <w:gridCol w:w="109"/>
        <w:gridCol w:w="109"/>
        <w:gridCol w:w="295"/>
        <w:gridCol w:w="838"/>
        <w:gridCol w:w="232"/>
      </w:tblGrid>
      <w:tr>
        <w:trPr/>
        <w:tc>
          <w:tcPr>
            <w:tcW w:w="65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Book 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(1,995)</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Trade name and other</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intangibles</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(2,817)</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2,803 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Intangible assets, net consisted of the following as of December 31, 2024 (in thousands):</w:t>
      </w:r>
    </w:p>
    <w:p>
      <w:pPr>
        <w:pStyle w:val="TextBody"/>
        <w:bidi w:val="0"/>
        <w:spacing w:before="0" w:after="0"/>
        <w:jc w:val="left"/>
        <w:rPr/>
      </w:pPr>
      <w:r>
        <w:rPr/>
      </w:r>
    </w:p>
    <w:tbl>
      <w:tblPr>
        <w:tblW w:w="7464" w:type="dxa"/>
        <w:jc w:val="left"/>
        <w:tblInd w:w="0" w:type="dxa"/>
        <w:tblLayout w:type="fixed"/>
        <w:tblCellMar>
          <w:top w:w="28" w:type="dxa"/>
          <w:left w:w="28" w:type="dxa"/>
          <w:bottom w:w="28" w:type="dxa"/>
          <w:right w:w="28" w:type="dxa"/>
        </w:tblCellMar>
      </w:tblPr>
      <w:tblGrid>
        <w:gridCol w:w="653"/>
        <w:gridCol w:w="572"/>
        <w:gridCol w:w="575"/>
        <w:gridCol w:w="321"/>
        <w:gridCol w:w="911"/>
        <w:gridCol w:w="178"/>
        <w:gridCol w:w="109"/>
        <w:gridCol w:w="109"/>
        <w:gridCol w:w="109"/>
        <w:gridCol w:w="499"/>
        <w:gridCol w:w="1456"/>
        <w:gridCol w:w="280"/>
        <w:gridCol w:w="109"/>
        <w:gridCol w:w="109"/>
        <w:gridCol w:w="109"/>
        <w:gridCol w:w="295"/>
        <w:gridCol w:w="838"/>
        <w:gridCol w:w="232"/>
      </w:tblGrid>
      <w:tr>
        <w:trPr/>
        <w:tc>
          <w:tcPr>
            <w:tcW w:w="65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Book 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Trade name and other</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intangibles</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3,024 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 xml:space="preserve">Amortization expense of intangible assets was </w:t>
      </w:r>
      <w:r>
        <w:rPr>
          <w:rFonts w:ascii="Arial;sans-serif" w:hAnsi="Arial;sans-serif"/>
          <w:b w:val="false"/>
          <w:color w:val="000000"/>
          <w:sz w:val="20"/>
          <w:shd w:fill="FFFFFF" w:val="clear"/>
        </w:rPr>
        <w:t>$0.2 million</w:t>
      </w:r>
      <w:r>
        <w:rPr>
          <w:color w:val="000000"/>
        </w:rPr>
        <w:t xml:space="preserve"> </w:t>
      </w:r>
      <w:r>
        <w:rPr>
          <w:rFonts w:ascii="Arial;sans-serif" w:hAnsi="Arial;sans-serif"/>
          <w:b w:val="false"/>
          <w:color w:val="000000"/>
          <w:sz w:val="20"/>
        </w:rPr>
        <w:t>for both the three months ended March 31, 2025 and 2024.</w:t>
      </w:r>
    </w:p>
    <w:p>
      <w:pPr>
        <w:pStyle w:val="TextBody"/>
        <w:bidi w:val="0"/>
        <w:spacing w:lineRule="auto" w:line="288" w:before="180" w:after="283"/>
        <w:jc w:val="both"/>
        <w:rPr/>
      </w:pPr>
      <w:r>
        <w:rPr>
          <w:rFonts w:ascii="Arial;sans-serif" w:hAnsi="Arial;sans-serif"/>
          <w:b w:val="false"/>
          <w:color w:val="000000"/>
          <w:sz w:val="20"/>
          <w:shd w:fill="FFFFFF" w:val="clear"/>
        </w:rPr>
        <w:t xml:space="preserve">The expected future amortization expense of these intangible assets as of </w:t>
      </w:r>
      <w:r>
        <w:rPr>
          <w:rFonts w:ascii="Arial;sans-serif" w:hAnsi="Arial;sans-serif"/>
          <w:b w:val="false"/>
          <w:color w:val="000000"/>
          <w:sz w:val="20"/>
        </w:rPr>
        <w:t>March 31, 2025</w:t>
      </w:r>
      <w:r>
        <w:rPr>
          <w:color w:val="000000"/>
          <w:shd w:fill="FFFFFF" w:val="clear"/>
        </w:rPr>
        <w:t xml:space="preserve"> </w:t>
      </w:r>
      <w:r>
        <w:rPr>
          <w:rFonts w:ascii="Arial;sans-serif" w:hAnsi="Arial;sans-serif"/>
          <w:b w:val="false"/>
          <w:color w:val="000000"/>
          <w:sz w:val="20"/>
          <w:shd w:fill="FFFFFF" w:val="clear"/>
        </w:rPr>
        <w:t>is as follows (in thousands)</w:t>
      </w:r>
      <w:r>
        <w:rPr>
          <w:rFonts w:ascii="Arial;sans-serif" w:hAnsi="Arial;sans-serif"/>
          <w:b w:val="false"/>
          <w:color w:val="000000"/>
          <w:sz w:val="20"/>
        </w:rPr>
        <w:t>:</w:t>
      </w:r>
    </w:p>
    <w:p>
      <w:pPr>
        <w:pStyle w:val="TextBody"/>
        <w:bidi w:val="0"/>
        <w:spacing w:before="0" w:after="0"/>
        <w:jc w:val="both"/>
        <w:rPr/>
      </w:pPr>
      <w:r>
        <w:rPr/>
      </w:r>
    </w:p>
    <w:tbl>
      <w:tblPr>
        <w:tblW w:w="3575" w:type="dxa"/>
        <w:jc w:val="left"/>
        <w:tblInd w:w="0" w:type="dxa"/>
        <w:tblLayout w:type="fixed"/>
        <w:tblCellMar>
          <w:top w:w="28" w:type="dxa"/>
          <w:left w:w="28" w:type="dxa"/>
          <w:bottom w:w="28" w:type="dxa"/>
          <w:right w:w="28" w:type="dxa"/>
        </w:tblCellMar>
      </w:tblPr>
      <w:tblGrid>
        <w:gridCol w:w="966"/>
        <w:gridCol w:w="849"/>
        <w:gridCol w:w="854"/>
        <w:gridCol w:w="196"/>
        <w:gridCol w:w="55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Fiscal year ending December 31,</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future amortization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Goodwill</w:t>
      </w:r>
    </w:p>
    <w:p>
      <w:pPr>
        <w:pStyle w:val="TextBody"/>
        <w:bidi w:val="0"/>
        <w:spacing w:lineRule="auto" w:line="288" w:before="180" w:after="283"/>
        <w:jc w:val="both"/>
        <w:rPr/>
      </w:pPr>
      <w:r>
        <w:rPr>
          <w:rFonts w:ascii="Arial;sans-serif" w:hAnsi="Arial;sans-serif"/>
          <w:b w:val="false"/>
          <w:color w:val="000000"/>
          <w:sz w:val="20"/>
        </w:rPr>
        <w:t xml:space="preserve">As of both March 31, 2025 and December 31, 2024, goodwill was </w:t>
      </w:r>
      <w:r>
        <w:rPr>
          <w:rFonts w:ascii="Arial;sans-serif" w:hAnsi="Arial;sans-serif"/>
          <w:b w:val="false"/>
          <w:color w:val="000000"/>
          <w:sz w:val="20"/>
          <w:shd w:fill="FFFFFF" w:val="clear"/>
        </w:rPr>
        <w:t xml:space="preserve">$4.2 million. </w:t>
      </w:r>
      <w:r>
        <w:rPr>
          <w:rFonts w:ascii="Arial;sans-serif" w:hAnsi="Arial;sans-serif"/>
          <w:b w:val="false"/>
          <w:color w:val="000000"/>
          <w:sz w:val="20"/>
        </w:rPr>
        <w:t>No goodwill impairments were recorded during the three months ended March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8.    LEASES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leases its offices and data center housing space at various locations under non-cancelable operating lease agreements expiring at various dates through 2034. Under the terms of these agreements, the Company also bears the costs for certain insurance, property tax, and maintenance. The terms of certain lease agreements provide for increasing rental payments at fixed intervals.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Total operating lease related costs were as follows (in thousands):</w:t>
      </w:r>
    </w:p>
    <w:tbl>
      <w:tblPr>
        <w:tblW w:w="3955" w:type="dxa"/>
        <w:jc w:val="left"/>
        <w:tblInd w:w="0" w:type="dxa"/>
        <w:tblLayout w:type="fixed"/>
        <w:tblCellMar>
          <w:top w:w="28" w:type="dxa"/>
          <w:left w:w="28" w:type="dxa"/>
          <w:bottom w:w="28" w:type="dxa"/>
          <w:right w:w="28" w:type="dxa"/>
        </w:tblCellMar>
      </w:tblPr>
      <w:tblGrid>
        <w:gridCol w:w="613"/>
        <w:gridCol w:w="540"/>
        <w:gridCol w:w="542"/>
        <w:gridCol w:w="196"/>
        <w:gridCol w:w="421"/>
        <w:gridCol w:w="109"/>
        <w:gridCol w:w="109"/>
        <w:gridCol w:w="109"/>
        <w:gridCol w:w="109"/>
        <w:gridCol w:w="196"/>
        <w:gridCol w:w="421"/>
        <w:gridCol w:w="109"/>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lease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lease cost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weighted-average remaining term of the Company’s operating leases was 4.3 years and 3.9 years as of March 31, 2025 and December 31, 2024, respectively, and the weighted-average discount rate used to measure the present value of the operating lease liabilities was 9.5% as of March 31, 2025 and 10.0% as of December 31, 2024. Cash payments made related to operating lease liabilities were $0.3 million and $0.2 million for the three months ended March 31, 2025 and 2024, respectively.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Maturities of operating lease liabilities as of March 31, 2025 were as follows (in thousands):</w:t>
      </w:r>
    </w:p>
    <w:tbl>
      <w:tblPr>
        <w:tblW w:w="3696" w:type="dxa"/>
        <w:jc w:val="left"/>
        <w:tblInd w:w="0" w:type="dxa"/>
        <w:tblLayout w:type="fixed"/>
        <w:tblCellMar>
          <w:top w:w="28" w:type="dxa"/>
          <w:left w:w="28" w:type="dxa"/>
          <w:bottom w:w="28" w:type="dxa"/>
          <w:right w:w="28" w:type="dxa"/>
        </w:tblCellMar>
      </w:tblPr>
      <w:tblGrid>
        <w:gridCol w:w="1010"/>
        <w:gridCol w:w="887"/>
        <w:gridCol w:w="893"/>
        <w:gridCol w:w="196"/>
        <w:gridCol w:w="55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Fiscal year ending December 31,</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undiscounted cash flows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lease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lease liabilities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9.    BORROWINGS</w:t>
      </w:r>
    </w:p>
    <w:p>
      <w:pPr>
        <w:pStyle w:val="TextBody"/>
        <w:bidi w:val="0"/>
        <w:spacing w:lineRule="auto" w:line="288" w:before="180" w:after="283"/>
        <w:jc w:val="both"/>
        <w:rPr/>
      </w:pPr>
      <w:r>
        <w:rPr>
          <w:rFonts w:ascii="Arial;sans-serif" w:hAnsi="Arial;sans-serif"/>
          <w:b/>
          <w:color w:val="000000"/>
          <w:sz w:val="20"/>
        </w:rPr>
        <w:t>Vendor financing arrangements</w:t>
      </w:r>
      <w:r>
        <w:rPr>
          <w:color w:val="000000"/>
        </w:rPr>
        <w:t>—</w:t>
      </w:r>
      <w:r>
        <w:rPr>
          <w:rFonts w:ascii="Arial;sans-serif" w:hAnsi="Arial;sans-serif"/>
          <w:b w:val="false"/>
          <w:color w:val="000000"/>
          <w:sz w:val="20"/>
        </w:rPr>
        <w:t>The Company has various vendor financing arrangements with extended pa</w:t>
      </w:r>
      <w:r>
        <w:rPr>
          <w:rFonts w:ascii="Arial;sans-serif" w:hAnsi="Arial;sans-serif"/>
          <w:b w:val="false"/>
          <w:color w:val="000000"/>
          <w:sz w:val="20"/>
          <w:shd w:fill="FFFFFF" w:val="clear"/>
        </w:rPr>
        <w:t xml:space="preserve">yment terms on the purchase of software licenses and equipment. In order to determine the present value of the commitments, the Company used an imputed interest rate of </w:t>
      </w:r>
      <w:r>
        <w:rPr>
          <w:rFonts w:ascii="Arial;sans-serif" w:hAnsi="Arial;sans-serif"/>
          <w:b w:val="false"/>
          <w:color w:val="000000"/>
          <w:sz w:val="20"/>
        </w:rPr>
        <w:t>9.5%</w:t>
      </w:r>
      <w:r>
        <w:rPr>
          <w:rFonts w:ascii="Arial;sans-serif" w:hAnsi="Arial;sans-serif"/>
          <w:b w:val="false"/>
          <w:color w:val="000000"/>
          <w:sz w:val="20"/>
          <w:shd w:fill="FFFFFF" w:val="clear"/>
        </w:rPr>
        <w:t>, which is an estimate based on the Company’s collateralized borrowing rate.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Expected cash flows related to vendor financing arrangements as of March 31, 2025 were as follows (in thousands):</w:t>
      </w:r>
    </w:p>
    <w:tbl>
      <w:tblPr>
        <w:tblW w:w="4521" w:type="dxa"/>
        <w:jc w:val="left"/>
        <w:tblInd w:w="0" w:type="dxa"/>
        <w:tblLayout w:type="fixed"/>
        <w:tblCellMar>
          <w:top w:w="28" w:type="dxa"/>
          <w:left w:w="28" w:type="dxa"/>
          <w:bottom w:w="28" w:type="dxa"/>
          <w:right w:w="28" w:type="dxa"/>
        </w:tblCellMar>
      </w:tblPr>
      <w:tblGrid>
        <w:gridCol w:w="1308"/>
        <w:gridCol w:w="1150"/>
        <w:gridCol w:w="1157"/>
        <w:gridCol w:w="196"/>
        <w:gridCol w:w="55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Fiscal year ending December 31,</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undiscounted cash flows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vendor financing arrangements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arrangements, current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arrangements, noncurrent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20"/>
        </w:rPr>
        <w:t>Interest expense from vendor financing arrangements was less than $0.1 million for both the three months ended March 31, 2025 and 2024</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10.    COMMITMENTS AND CONTINGENCIES</w:t>
      </w:r>
    </w:p>
    <w:p>
      <w:pPr>
        <w:pStyle w:val="TextBody"/>
        <w:bidi w:val="0"/>
        <w:spacing w:lineRule="auto" w:line="288" w:before="180" w:after="283"/>
        <w:jc w:val="both"/>
        <w:rPr/>
      </w:pPr>
      <w:r>
        <w:rPr>
          <w:rFonts w:ascii="Arial;sans-serif" w:hAnsi="Arial;sans-serif"/>
          <w:b/>
          <w:color w:val="000000"/>
          <w:sz w:val="20"/>
          <w:shd w:fill="FFFFFF" w:val="clear"/>
        </w:rPr>
        <w:t>Letter of Credit</w:t>
      </w:r>
      <w:r>
        <w:rPr>
          <w:color w:val="000000"/>
          <w:shd w:fill="FFFFFF" w:val="clear"/>
        </w:rPr>
        <w:t>—</w:t>
      </w:r>
      <w:r>
        <w:rPr>
          <w:rFonts w:ascii="Arial;sans-serif" w:hAnsi="Arial;sans-serif"/>
          <w:b w:val="false"/>
          <w:color w:val="000000"/>
          <w:sz w:val="20"/>
          <w:shd w:fill="FFFFFF" w:val="clear"/>
        </w:rPr>
        <w:t xml:space="preserve">In conjunction with the execution of the operating lease for the Company’s new headquarters facility, a letter of credit in the amount of </w:t>
      </w:r>
      <w:r>
        <w:rPr>
          <w:rFonts w:ascii="Arial;sans-serif" w:hAnsi="Arial;sans-serif"/>
          <w:b w:val="false"/>
          <w:color w:val="000000"/>
          <w:sz w:val="20"/>
        </w:rPr>
        <w:t>$0.4 million</w:t>
      </w:r>
      <w:r>
        <w:rPr>
          <w:color w:val="000000"/>
          <w:shd w:fill="FFFFFF" w:val="clear"/>
        </w:rPr>
        <w:t xml:space="preserve"> </w:t>
      </w:r>
      <w:r>
        <w:rPr>
          <w:rFonts w:ascii="Arial;sans-serif" w:hAnsi="Arial;sans-serif"/>
          <w:b w:val="false"/>
          <w:color w:val="000000"/>
          <w:sz w:val="20"/>
          <w:shd w:fill="FFFFFF" w:val="clear"/>
        </w:rPr>
        <w:t xml:space="preserve">was issued and outstanding as of both March 31, 2025 and </w:t>
      </w:r>
      <w:r>
        <w:rPr>
          <w:rFonts w:ascii="Arial;sans-serif" w:hAnsi="Arial;sans-serif"/>
          <w:b w:val="false"/>
          <w:color w:val="000000"/>
          <w:sz w:val="20"/>
        </w:rPr>
        <w:t>December 31, 2024</w:t>
      </w:r>
      <w:r>
        <w:rPr>
          <w:rFonts w:ascii="Arial;sans-serif" w:hAnsi="Arial;sans-serif"/>
          <w:b w:val="false"/>
          <w:color w:val="000000"/>
          <w:sz w:val="20"/>
          <w:shd w:fill="FFFFFF" w:val="clear"/>
        </w:rPr>
        <w:t xml:space="preserve">. No draws have been made under such letter of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54305"/>
                <wp:effectExtent l="0" t="0" r="0" b="0"/>
                <wp:wrapNone/>
                <wp:docPr id="15" name="Frame15"/>
                <a:graphic xmlns:a="http://schemas.openxmlformats.org/drawingml/2006/main">
                  <a:graphicData uri="http://schemas.microsoft.com/office/word/2010/wordprocessingShape">
                    <wps:wsp>
                      <wps:cNvSpPr txBox="1"/>
                      <wps:spPr>
                        <a:xfrm>
                          <a:off x="0" y="0"/>
                          <a:ext cx="6480175" cy="154305"/>
                        </a:xfrm>
                        <a:prstGeom prst="rect"/>
                        <a:solidFill>
                          <a:srgbClr val="FFFFFF"/>
                        </a:solidFill>
                      </wps:spPr>
                      <wps:txbx>
                        <w:txbxContent>
                          <w:p>
                            <w:pPr>
                              <w:pStyle w:val="TextBody"/>
                              <w:bidi w:val="0"/>
                              <w:spacing w:lineRule="auto" w:line="288" w:before="0" w:after="0"/>
                              <w:jc w:val="center"/>
                              <w:rPr>
                                <w:rFonts w:ascii="Verdana;sans-serif" w:hAnsi="Verdana;sans-serif"/>
                                <w:b w:val="false"/>
                                <w:color w:val="000000"/>
                                <w:sz w:val="20"/>
                              </w:rPr>
                            </w:pPr>
                            <w:r>
                              <w:rPr>
                                <w:rFonts w:ascii="Verdana;sans-serif" w:hAnsi="Verdan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Verdana;sans-serif" w:hAnsi="Verdana;sans-serif"/>
                          <w:b w:val="false"/>
                          <w:color w:val="000000"/>
                          <w:sz w:val="20"/>
                        </w:rPr>
                      </w:pPr>
                      <w:r>
                        <w:rPr>
                          <w:rFonts w:ascii="Verdana;sans-serif" w:hAnsi="Verdana;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color w:val="000000"/>
          <w:sz w:val="20"/>
          <w:shd w:fill="FFFFFF" w:val="clear"/>
        </w:rPr>
        <w:t>Indemnifications</w:t>
      </w:r>
      <w:r>
        <w:rPr>
          <w:color w:val="000000"/>
          <w:shd w:fill="FFFFFF" w:val="clear"/>
        </w:rPr>
        <w:t>—</w:t>
      </w:r>
      <w:r>
        <w:rPr>
          <w:rFonts w:ascii="Arial;sans-serif" w:hAnsi="Arial;sans-serif"/>
          <w:b w:val="false"/>
          <w:color w:val="000000"/>
          <w:sz w:val="20"/>
          <w:shd w:fill="FFFFFF" w:val="clear"/>
        </w:rPr>
        <w:t>The Company often enters into limited indemnification provisions in license agreements in the ordinary course of the Company’s licensing business. Pursuant to these provisions, which are often inserted into license agreements in the semiconductor IP and software licensing industries, the Company agrees to indemnify, hold harmless, and reimburse the indemnified parties up to a capped amount for losses suffered or incurred by such indemnified parties due to third-party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pStyle w:val="TextBody"/>
        <w:bidi w:val="0"/>
        <w:spacing w:lineRule="auto" w:line="288" w:before="180" w:after="283"/>
        <w:jc w:val="both"/>
        <w:rPr/>
      </w:pPr>
      <w:r>
        <w:rPr>
          <w:rFonts w:ascii="Arial;sans-serif" w:hAnsi="Arial;sans-serif"/>
          <w:b w:val="false"/>
          <w:color w:val="000000"/>
          <w:sz w:val="20"/>
          <w:shd w:fill="FFFFFF" w:val="clear"/>
        </w:rPr>
        <w:t xml:space="preserve">The Company has incurred no actual payment obligations from these above-noted indemnification provisions and director and officer indemnity agreements for the three months ended March 31, 2025 and 2024 and the unaudited condensed consolidated financial statements do not include liabilities for any potential indemnity-related obligations as of March 31, 2025 and </w:t>
      </w:r>
      <w:r>
        <w:rPr>
          <w:rFonts w:ascii="Arial;sans-serif" w:hAnsi="Arial;sans-serif"/>
          <w:b w:val="false"/>
          <w:color w:val="000000"/>
          <w:sz w:val="20"/>
        </w:rPr>
        <w:t>December 31, 2024</w:t>
      </w:r>
      <w:r>
        <w:rPr>
          <w:rFonts w:ascii="Arial;sans-serif" w:hAnsi="Arial;sans-serif"/>
          <w:b w:val="false"/>
          <w:color w:val="000000"/>
          <w:sz w:val="20"/>
          <w:shd w:fill="FFFFFF" w:val="clear"/>
        </w:rPr>
        <w:t xml:space="preserve">. </w:t>
      </w:r>
    </w:p>
    <w:p>
      <w:pPr>
        <w:pStyle w:val="TextBody"/>
        <w:bidi w:val="0"/>
        <w:spacing w:lineRule="auto" w:line="288" w:before="180" w:after="283"/>
        <w:jc w:val="both"/>
        <w:rPr/>
      </w:pPr>
      <w:r>
        <w:rPr>
          <w:rFonts w:ascii="Arial;sans-serif" w:hAnsi="Arial;sans-serif"/>
          <w:b/>
          <w:color w:val="000000"/>
          <w:sz w:val="20"/>
          <w:shd w:fill="FFFFFF" w:val="clear"/>
        </w:rPr>
        <w:t>Legal</w:t>
      </w:r>
      <w:r>
        <w:rPr>
          <w:color w:val="000000"/>
          <w:shd w:fill="FFFFFF" w:val="clear"/>
        </w:rPr>
        <w:t>—</w:t>
      </w:r>
      <w:r>
        <w:rPr>
          <w:rFonts w:ascii="Arial;sans-serif" w:hAnsi="Arial;sans-serif"/>
          <w:b w:val="false"/>
          <w:color w:val="000000"/>
          <w:sz w:val="20"/>
          <w:shd w:fill="FFFFFF" w:val="clear"/>
        </w:rPr>
        <w:t>The Company has been and will continue to be subject to legal proceedings and claims.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the normal course of business, the Company may receive inquiries or become involved in legal disputes regarding such litigation matters. The resolution of these matters often develops over time and expectations can change as a result of new findings, rulings, appeals or settlement arrangements. These matters are subject to inherent uncertainties and management’s view of these matters may change in the future. Pursuant to ASC 450, Contingencies, the Company makes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Significant judgement is required in both the determination of probability and determination as to whether a loss is reasonably estimable. Intellectual property claims are inherently unpredictable and may have a material adverse effect on the Company’s financial position, results of operations, or cash flows. Due to the inherent uncertainties and complex technical issues arising from this or any intellectual property litigation, the Company cannot predict or guarantee any result of, and cannot reasonably estimate liability if any, or range of loss that could result from such intellectual property litigation. Future revisions to such estimates could materially impact the Company’s results.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December 2022, the Company received notice of a complaint filed against the Company and another defendant in the semiconductor industry, by Network System Technologies, LLC (NST) in the United States District Court for the Western District of Texas. Additional complaints were filed in the Eastern District of Texas against certain companies, including some customers of the Company, asserting among other things patent infringement seeking damages and injunctive relief. On September 4, 2024, the court in the Western District of Texas dismissed all claims against the Company without prejudice. The court will maintain jurisdiction solely for the purpose of enforcing discovery. The Company has not received any new claims involving the Company nor any new customer indemnity claims in connection with the NST litigation. The Company will continue to monitor this matter.</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has no material contractual non-cancelable commitments as of both March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11.     STOCK-BASED COMPENSATION</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 xml:space="preserve">2021 Stock Plan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adopted the 2021 Incentive Award Plan (the 2021 Plan) effective October 26, 2021. The 2021 Plan provides for a variety of stock-based compensation awards, including stock options, SARs, restricted stock awards, RSUs, performance bonus awards, performance stock unit awards, dividend equivalents, or other stock or cash based awards.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Following the effectiveness of the 2021 Plan, the Company will not make any further grants under the Arteris, Inc. 2016 Incentive Plan (the 2016 Plan). However, the 2016 Plan will continue to govern the terms and conditions of the outstanding awards granted under this plan. Shares of common stock subject to awards granted under the 2016 Plan that are forfeited or lapse unexercised and withheld to cover taxes which following the effective date of the 2021 Plan are not issued under the 2016 Plan will be available for issuance under the 2021 Plan.</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summarizes the stock option activities under the Company’s 2016 and 2021 Plan:</w:t>
      </w:r>
    </w:p>
    <w:tbl>
      <w:tblPr>
        <w:tblW w:w="10205" w:type="dxa"/>
        <w:jc w:val="left"/>
        <w:tblInd w:w="0" w:type="dxa"/>
        <w:tblLayout w:type="fixed"/>
        <w:tblCellMar>
          <w:top w:w="28" w:type="dxa"/>
          <w:left w:w="28" w:type="dxa"/>
          <w:bottom w:w="28" w:type="dxa"/>
          <w:right w:w="28" w:type="dxa"/>
        </w:tblCellMar>
      </w:tblPr>
      <w:tblGrid>
        <w:gridCol w:w="717"/>
        <w:gridCol w:w="630"/>
        <w:gridCol w:w="632"/>
        <w:gridCol w:w="509"/>
        <w:gridCol w:w="408"/>
        <w:gridCol w:w="330"/>
        <w:gridCol w:w="109"/>
        <w:gridCol w:w="109"/>
        <w:gridCol w:w="109"/>
        <w:gridCol w:w="488"/>
        <w:gridCol w:w="1162"/>
        <w:gridCol w:w="273"/>
        <w:gridCol w:w="109"/>
        <w:gridCol w:w="109"/>
        <w:gridCol w:w="109"/>
        <w:gridCol w:w="831"/>
        <w:gridCol w:w="831"/>
        <w:gridCol w:w="833"/>
        <w:gridCol w:w="109"/>
        <w:gridCol w:w="109"/>
        <w:gridCol w:w="109"/>
        <w:gridCol w:w="309"/>
        <w:gridCol w:w="1020"/>
        <w:gridCol w:w="25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 Outstanding</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Intrinsic Value ($'000s)</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BALANCE—December 31, 2024</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2,197,604 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280,000 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(145,959)</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Canceled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BALANCE—March 31, 2025</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2,331,645 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Options vested and exercisable—March 31, 2025</w:t>
            </w:r>
          </w:p>
        </w:tc>
        <w:tc>
          <w:tcPr>
            <w:tcW w:w="9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1,781,766 </w:t>
            </w:r>
          </w:p>
        </w:tc>
        <w:tc>
          <w:tcPr>
            <w:tcW w:w="3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aggregate intrinsic value of the options exercised for the three months ended March 31, 2025 and 2024 was $1.3 million and $1.4 million, respectively. The total grant-date fair value of options vested was $0.1 million for both the three months ended March 31, 2025 and 2024.</w:t>
      </w:r>
    </w:p>
    <w:p>
      <w:pPr>
        <w:pStyle w:val="TextBody"/>
        <w:bidi w:val="0"/>
        <w:spacing w:lineRule="auto" w:line="288" w:before="180" w:after="283"/>
        <w:jc w:val="both"/>
        <w:rPr/>
      </w:pPr>
      <w:r>
        <w:rPr>
          <w:rFonts w:ascii="Arial;sans-serif" w:hAnsi="Arial;sans-serif"/>
          <w:b w:val="false"/>
          <w:color w:val="000000"/>
          <w:sz w:val="20"/>
          <w:shd w:fill="FFFFFF" w:val="clear"/>
        </w:rPr>
        <w:t>As of March 31, 2025, there was $2.3 million</w:t>
      </w:r>
      <w:r>
        <w:rPr>
          <w:color w:val="000000"/>
        </w:rPr>
        <w:t xml:space="preserve"> </w:t>
      </w:r>
      <w:r>
        <w:rPr>
          <w:rFonts w:ascii="Arial;sans-serif" w:hAnsi="Arial;sans-serif"/>
          <w:b w:val="false"/>
          <w:color w:val="000000"/>
          <w:sz w:val="20"/>
        </w:rPr>
        <w:t>of unamortized stock-based compensation cost related to unvested stock options, which is expected to be recognized over a weighted-average period of 3.4 years.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fair value of each stock option granted is estimated using the Black-Scholes option-pricing model, which uses (i) a risk-free interest rate based on the U.S. Treasury zero coupon issues for an equivalent expected term of options; (ii) expected term based on the simplified method; (iii) volatility based on historical volatilities of the Company’s common stock and that of several peer companies, as the Company does not have sufficient trading history for its common stock; and (iv) an expected dividend yield of zero as the Company has never declared or paid any cash dividend and does not currently plan to pay a cash dividend in the foreseeable future.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Restricted Stock Units and Awards</w:t>
      </w:r>
    </w:p>
    <w:p>
      <w:pPr>
        <w:pStyle w:val="TextBody"/>
        <w:bidi w:val="0"/>
        <w:spacing w:lineRule="auto" w:line="288" w:before="180" w:after="283"/>
        <w:jc w:val="both"/>
        <w:rPr/>
      </w:pPr>
      <w:r>
        <w:rPr>
          <w:rFonts w:ascii="Arial;sans-serif" w:hAnsi="Arial;sans-serif"/>
          <w:b w:val="false"/>
          <w:color w:val="000000"/>
          <w:sz w:val="20"/>
        </w:rPr>
        <w:t xml:space="preserve">The Company granted 440,166 restricted stock units during the three months ended March 31, 2025. As of </w:t>
      </w:r>
      <w:r>
        <w:rPr>
          <w:rFonts w:ascii="Arial;sans-serif" w:hAnsi="Arial;sans-serif"/>
          <w:b w:val="false"/>
          <w:color w:val="000000"/>
          <w:sz w:val="20"/>
          <w:shd w:fill="FFFFFF" w:val="clear"/>
        </w:rPr>
        <w:t>March 31, 2025</w:t>
      </w:r>
      <w:r>
        <w:rPr>
          <w:rFonts w:ascii="Arial;sans-serif" w:hAnsi="Arial;sans-serif"/>
          <w:b w:val="false"/>
          <w:color w:val="000000"/>
          <w:sz w:val="20"/>
        </w:rPr>
        <w:t>, there was $30.9 million of unamortized stock-based compensation cost related to unvested restricted stock units, which is expected to be recognized over a weighted-average period of 2.6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Stock-based compensation expense is recorded on a departmental basis, based on the classification of the award holder. The following table presents the amount of stock-based compensation related to stock-based awards to employees on the Company’s unaudited condensed consolidated statements of operations (in thousands):</w:t>
      </w:r>
    </w:p>
    <w:tbl>
      <w:tblPr>
        <w:tblW w:w="5035" w:type="dxa"/>
        <w:jc w:val="left"/>
        <w:tblInd w:w="0" w:type="dxa"/>
        <w:tblLayout w:type="fixed"/>
        <w:tblCellMar>
          <w:top w:w="28" w:type="dxa"/>
          <w:left w:w="28" w:type="dxa"/>
          <w:bottom w:w="28" w:type="dxa"/>
          <w:right w:w="28" w:type="dxa"/>
        </w:tblCellMar>
      </w:tblPr>
      <w:tblGrid>
        <w:gridCol w:w="907"/>
        <w:gridCol w:w="796"/>
        <w:gridCol w:w="802"/>
        <w:gridCol w:w="196"/>
        <w:gridCol w:w="556"/>
        <w:gridCol w:w="109"/>
        <w:gridCol w:w="109"/>
        <w:gridCol w:w="109"/>
        <w:gridCol w:w="109"/>
        <w:gridCol w:w="196"/>
        <w:gridCol w:w="556"/>
        <w:gridCol w:w="109"/>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12.    EQUITY METHOD INVESTMENT</w:t>
      </w:r>
    </w:p>
    <w:p>
      <w:pPr>
        <w:pStyle w:val="TextBody"/>
        <w:bidi w:val="0"/>
        <w:spacing w:lineRule="auto" w:line="288" w:before="180" w:after="283"/>
        <w:jc w:val="both"/>
        <w:rPr/>
      </w:pPr>
      <w:r>
        <w:rPr>
          <w:rFonts w:ascii="Arial;sans-serif" w:hAnsi="Arial;sans-serif"/>
          <w:b w:val="false"/>
          <w:color w:val="000000"/>
          <w:sz w:val="20"/>
          <w:shd w:fill="FFFFFF" w:val="clear"/>
        </w:rPr>
        <w:t xml:space="preserve">On February 21, 2022, Arteris IP (Hong Kong) Ltd. (AHK), a wholly-owned subsidiary of the Company, entered into a Share Purchase and Shareholders Agreement (the SPA) with certain investors and Ningbo Transchip Information Consulting Partnership (Limited Partnership) (Management Co). </w:t>
      </w:r>
      <w:r>
        <w:rPr>
          <w:rFonts w:ascii="Arial;sans-serif" w:hAnsi="Arial;sans-serif"/>
          <w:b w:val="false"/>
          <w:color w:val="000000"/>
          <w:sz w:val="20"/>
        </w:rPr>
        <w:t xml:space="preserve">The Company’s ownership interest of Transchip’s registered capital was 35.0% on a fully diluted basis as of March 31, 2025. The Company’s loss from its proportionate share of its equity method investment in Transchip was $0.8 million for both the three months ended March 31, 2025 and 2024.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reviews its investment in Transchip for impairment if and when circumstances indicate that a decline in fair value below its carrying amount may have occurred. The Company identified certain factors which could indicate a decline in fair value of its equity method investment. After completing its impairment assessment based on the prevailing facts and circumstances, the Company determined that the impairment condition was not considered other than temporary. As such, no impairment charge has been recognized during the three months ended March 31, 2025. The Company will continue to closely monitor future events and developments that would impact its assessment and if future facts and circumstances indicate that decline in fair value of the investment is other than temporary, a significant impairment may be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13. INCOME TAXES</w:t>
      </w:r>
    </w:p>
    <w:p>
      <w:pPr>
        <w:pStyle w:val="TextBody"/>
        <w:bidi w:val="0"/>
        <w:spacing w:lineRule="auto" w:line="288" w:before="180" w:after="283"/>
        <w:jc w:val="both"/>
        <w:rPr/>
      </w:pPr>
      <w:r>
        <w:rPr>
          <w:rFonts w:ascii="Arial;sans-serif" w:hAnsi="Arial;sans-serif"/>
          <w:b w:val="false"/>
          <w:color w:val="000000"/>
          <w:sz w:val="20"/>
        </w:rPr>
        <w:t xml:space="preserve">The Company’s effective tax rate was (3.4)% and (4.1)% for the </w:t>
      </w:r>
      <w:r>
        <w:rPr>
          <w:rFonts w:ascii="Arial;sans-serif" w:hAnsi="Arial;sans-serif"/>
          <w:b w:val="false"/>
          <w:color w:val="000000"/>
          <w:sz w:val="20"/>
          <w:shd w:fill="FFFFFF" w:val="clear"/>
        </w:rPr>
        <w:t>three months ended March 31, 2025</w:t>
      </w:r>
      <w:r>
        <w:rPr>
          <w:color w:val="000000"/>
        </w:rPr>
        <w:t xml:space="preserve"> </w:t>
      </w:r>
      <w:r>
        <w:rPr>
          <w:rFonts w:ascii="Arial;sans-serif" w:hAnsi="Arial;sans-serif"/>
          <w:b w:val="false"/>
          <w:color w:val="000000"/>
          <w:sz w:val="20"/>
        </w:rPr>
        <w:t xml:space="preserve">and 2024, respectively. The Company’s income tax provision was $0.3 million and $0.4 million for the </w:t>
      </w:r>
      <w:r>
        <w:rPr>
          <w:rFonts w:ascii="Arial;sans-serif" w:hAnsi="Arial;sans-serif"/>
          <w:b w:val="false"/>
          <w:color w:val="000000"/>
          <w:sz w:val="20"/>
          <w:shd w:fill="FFFFFF" w:val="clear"/>
        </w:rPr>
        <w:t>three months ended March 31, 2025</w:t>
      </w:r>
      <w:r>
        <w:rPr>
          <w:color w:val="000000"/>
        </w:rPr>
        <w:t xml:space="preserve"> </w:t>
      </w:r>
      <w:r>
        <w:rPr>
          <w:rFonts w:ascii="Arial;sans-serif" w:hAnsi="Arial;sans-serif"/>
          <w:b w:val="false"/>
          <w:color w:val="000000"/>
          <w:sz w:val="20"/>
        </w:rPr>
        <w:t>and 2024, respectively. The change in forecasted foreign withholding tax, changes in the geographic mix of worldwide earnings which are taxed at different rates, and the impact of losses in jurisdictions with full valuation allowances, has resulted in a decrease in the income tax provision for the period ended March 31, 2025 compared to the period ended March 31, 2024.</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management continuously evaluates the need for a valuation allowance and, as of March 31, 2025, concluded that a full valuation allowance on its federal, state, and certain foreign jurisdictions deferred tax assets was still appropriate.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As of March 31, 2025 and 2024, the Company’s gross liability for unrecognized tax benefits was $3.6 million and $3.5 million, respectively. The Company’s practice is to recognize interest and/or penalties related to income tax matters in income tax expense. As of March 31, 2025 and 2024, the Company had immaterial accrued interest or penalties related to its unrecognized tax benefits. If any unrecognized tax benefits are realized, it would not result in any income tax benefit as the Company currently has a full valuation allowance against the deferred tax assets in which there is currently an uncertain tax benefit.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14. RELATED PARTY TRANSACTIONS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defines related parties as directors, executive officers, nominees for director, stockholders that have significant influence over the Company, or are a greater than 10% beneficial owner of the Company’s capital and their affiliates or immediate family members. Transchip Technology (Nanjing) Co., Ltd. (Transchip), an equity method investee of the Company, is also deemed as a related party.</w:t>
      </w:r>
    </w:p>
    <w:p>
      <w:pPr>
        <w:pStyle w:val="TextBody"/>
        <w:bidi w:val="0"/>
        <w:spacing w:lineRule="auto" w:line="288" w:before="180" w:after="283"/>
        <w:jc w:val="both"/>
        <w:rPr/>
      </w:pPr>
      <w:r>
        <w:rPr>
          <w:rFonts w:ascii="Arial;sans-serif" w:hAnsi="Arial;sans-serif"/>
          <w:b w:val="false"/>
          <w:color w:val="000000"/>
          <w:sz w:val="20"/>
        </w:rPr>
        <w:t>On November 15, 2024, the Company entered into a design services licensing collaboration agreement with Transchip. This arrangement gives Transchip a non-exclusive license right to make design house offerings using certain of the Company's products. The Company retains the manufacturing and royalty related rights in relation to the Company’s products used in the design house offerings. The Company recognized accounts receivable of $0.7 million as of March 31, 2025 under this arrangement</w:t>
      </w:r>
      <w:r>
        <w:rPr>
          <w:rFonts w:ascii="Arial;sans-serif" w:hAnsi="Arial;sans-serif"/>
          <w:b w:val="false"/>
          <w:color w:val="000000"/>
          <w:sz w:val="20"/>
          <w:shd w:fill="FFFFFF" w:val="clear"/>
        </w:rPr>
        <w:t xml:space="preserve">. Revenue related to this arrangement was not material for </w:t>
      </w:r>
      <w:r>
        <w:rPr>
          <w:rFonts w:ascii="Arial;sans-serif" w:hAnsi="Arial;sans-serif"/>
          <w:b w:val="false"/>
          <w:color w:val="000000"/>
          <w:sz w:val="20"/>
        </w:rPr>
        <w:t>the three months ended March 31, 2025.</w:t>
      </w:r>
    </w:p>
    <w:p>
      <w:pPr>
        <w:pStyle w:val="TextBody"/>
        <w:bidi w:val="0"/>
        <w:spacing w:lineRule="auto" w:line="288" w:before="180" w:after="283"/>
        <w:jc w:val="both"/>
        <w:rPr/>
      </w:pPr>
      <w:r>
        <w:rPr>
          <w:rFonts w:ascii="Arial;sans-serif" w:hAnsi="Arial;sans-serif"/>
          <w:b w:val="false"/>
          <w:color w:val="000000"/>
          <w:sz w:val="20"/>
        </w:rPr>
        <w:t xml:space="preserve">In November 2020, the Company entered into a lease agreement with Isabelle Geday, a former member of the board of directors, who resigned from her position as director of the Company effective March 27, 2025. The lease payments were less than $0.1 million for both the three months ended March 31, 2025 and </w:t>
      </w:r>
      <w:r>
        <w:rPr>
          <w:rFonts w:ascii="Arial;sans-serif" w:hAnsi="Arial;sans-serif"/>
          <w:b w:val="false"/>
          <w:color w:val="000000"/>
          <w:sz w:val="20"/>
          <w:shd w:fill="FFFFFF" w:val="clear"/>
        </w:rPr>
        <w:t>2024</w:t>
      </w:r>
      <w:r>
        <w:rPr>
          <w:rFonts w:ascii="Arial;sans-serif" w:hAnsi="Arial;sans-serif"/>
          <w:b w:val="false"/>
          <w:color w:val="000000"/>
          <w:sz w:val="20"/>
        </w:rPr>
        <w:t>. In addition, the Company signed a consulting agreement with Ms. Geday on December 1</w:t>
      </w:r>
      <w:r>
        <w:rPr>
          <w:rFonts w:ascii="Arial;sans-serif" w:hAnsi="Arial;sans-serif"/>
          <w:b w:val="false"/>
          <w:color w:val="000000"/>
          <w:sz w:val="20"/>
          <w:shd w:fill="FFFFFF" w:val="clear"/>
        </w:rPr>
        <w:t xml:space="preserve">, 2021, which was subsequently assigned to Magillem Design Services S.A., effective January 10, 2022. The consulting agreement term concluded in November 2024. Prior to signing the consulting agreement, Ms. Geday was paid as an executive employee of the Company from December 1, 2020 through November 30, 2021. As a consultant, Ms. Geday provided services for an initial three-year term and was eligible to receive $26,445 per month for the first 12 months of the consulting term and $19,445 per month for the remaining 24 months of the consulting term. For the </w:t>
      </w:r>
      <w:r>
        <w:rPr>
          <w:rFonts w:ascii="Arial;sans-serif" w:hAnsi="Arial;sans-serif"/>
          <w:b w:val="false"/>
          <w:color w:val="000000"/>
          <w:sz w:val="20"/>
        </w:rPr>
        <w:t>three months ended March 31, 2024</w:t>
      </w:r>
      <w:r>
        <w:rPr>
          <w:rFonts w:ascii="Arial;sans-serif" w:hAnsi="Arial;sans-serif"/>
          <w:b w:val="false"/>
          <w:color w:val="000000"/>
          <w:sz w:val="20"/>
          <w:shd w:fill="FFFFFF" w:val="clear"/>
        </w:rPr>
        <w:t xml:space="preserve">, the Company paid Ms. Geday </w:t>
      </w:r>
      <w:r>
        <w:rPr>
          <w:rFonts w:ascii="Arial;sans-serif" w:hAnsi="Arial;sans-serif"/>
          <w:b w:val="false"/>
          <w:color w:val="000000"/>
          <w:sz w:val="20"/>
        </w:rPr>
        <w:t>$0.1 million</w:t>
      </w:r>
      <w:r>
        <w:rPr>
          <w:color w:val="000000"/>
          <w:shd w:fill="FFFFFF" w:val="clear"/>
        </w:rPr>
        <w:t xml:space="preserve"> </w:t>
      </w:r>
      <w:r>
        <w:rPr>
          <w:rFonts w:ascii="Arial;sans-serif" w:hAnsi="Arial;sans-serif"/>
          <w:b w:val="false"/>
          <w:color w:val="000000"/>
          <w:sz w:val="20"/>
          <w:shd w:fill="FFFFFF" w:val="clear"/>
        </w:rPr>
        <w:t xml:space="preserve">for consulting services. Lastly, in connection with Ms. Geday’s prior employment, the Company granted 62,200 RSUs that fully vested as of March 31, 2025 and 455,000 stock options that fully vested as of December 31, 2024. </w:t>
      </w:r>
      <w:r>
        <w:rPr>
          <w:rFonts w:ascii="Arial;sans-serif" w:hAnsi="Arial;sans-serif"/>
          <w:b w:val="false"/>
          <w:color w:val="000000"/>
          <w:sz w:val="20"/>
        </w:rPr>
        <w:t>The Company recognized stock-based compensation expense of less than $0.1 million for both the three months ended March 31, 2025 and 2024, for the stock options and RSUs granted in connection with Ms. Geday’s prior employment.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15. SEGMENT AND GEOGRAPHIC INFORMATION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operates in one reportable segment, as more fully described in Note 2. The Company’s CODM reviews and allocates resources using the Company’s financial performance, primarily the net loss presented in the consolidated statements of operations. Other financial performance measures include Annual Contract Value (ACV), ACV plus royalties and remaining performance obligations. The CODM is regularly provided with only the consolidated expenses as noted on the face of the consolidated statements of operations, that are considered as significant expenses. Interest expense and other income (expense), net as presented in the consolidated statements of operations are not considered as significant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2024 included in the Annual Report on Form 10-K for the year ended December 31, 2024 (2024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in this Quarterly Report on Form 10-Q. You should carefully read the “Risk Factors” section of this Quarterly Report on Form 10-Q to gain an understanding of the important factors that could cause actual results to differ materially from forward-looking statements. Please also see the section under the heading “Cautionary Note Regarding Forward-Looking Statements” in the 2024 Form 10-K.</w:t>
      </w:r>
    </w:p>
    <w:p>
      <w:pPr>
        <w:pStyle w:val="TextBody"/>
        <w:bidi w:val="0"/>
        <w:spacing w:lineRule="auto" w:line="26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Unless the context otherwise requires, all references in this report to “we,” “us,” “our,” the “Company,” and “Arteris” refer to Arteris,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are a leading provider of semiconductor system IP, including interconnect and other intellectual property, (collectively, System IP) technology. Our System IP technology manages the on-chip communications and IP block deployments in System-on-Chip (SoC) semiconductors and systems of chiplets. Our leading proprietary System IP products achieve this by connecting client IP blocks such as processors, memories, artificial intelligence/machine learning (AI/ML) accelerators, graphics subsystems, safety and security, and other input/output subsystems (I/Os) via multiple Networks-on-Chips (NoCs) in order for our customers to experience faster SoC targeting, as well as, more efficient, and lower cost solutions. Growth for our solutions is being driven by growing SoC sophistication and associated complexity, now extending into disaggregation of SoCs into systems which implement the communication protocol aspects and partner with industry leading providers like Synopsys, Cadence, Alphawave and others to connect to their die-to-die interfaces. The addition of more processors, channels of memory access, machine learning sections, additional I/Os interface standards, and other subsystems within SoCs is driving the need for more advanced System IP, including NoC interconnect IP’s. The growth in the numbers of these connected on-chip subsystems places an increasing premium on the interconnect IP capability to move data inside complex SoCs. We believe this increase in SoC complexity has created a significant opportunity for sophisticated System IP products that incorporate NoC interconnect IP, SoC Integration Automation software (formerly IP deployment software) and NoC interface IP (consisting of peripheral data transport IP and control plane networks connected to NoC interconnect IPs). Moreover, our technology can also provide more cost-effective solutions and reduce the risks of building and maintaining in-house NoC teams, which we believe has positively contributed to our market segment share growth.</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SoC Integration Automation software solutions, which were significantly enhanced by our acquisition of Magillem Design Services S.A. (Magillem) in 2020,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automotive, enterprise computing, communications, consumer electronics, and industrial markets.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March 31, 2025, we had 270 full-time employees and offices in eleven locations in the United States, France, China, South Korea, Japan, Taiwan and Poland. For the three months ended March 31, 2025, we generated revenue of $16.5 million, net loss of $8.1 million, and net loss per share, basic and diluted of $0.20. As of March 31, 2025, we had Annual Contract Value (as defined below) and Annual Contract Value plus royalties of $62.1 million and $66.8 million, respectively. During the three months ended March 31, 2025, we had 17 Confirmed Design Starts (as defined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color w:val="000000"/>
          <w:sz w:val="20"/>
          <w:shd w:fill="FFFFFF" w:val="clear"/>
        </w:rPr>
      </w:pPr>
      <w:r>
        <w:rPr>
          <w:rFonts w:ascii="Arial;sans-serif" w:hAnsi="Arial;sans-serif"/>
          <w:b/>
          <w:color w:val="000000"/>
          <w:sz w:val="20"/>
          <w:shd w:fill="FFFFFF" w:val="clear"/>
        </w:rPr>
        <w:t>Factors Affecting Our Business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that the growth of our business and our future success are dependent upon many factors including those described under “Risk Factors” and elsewhere in this report, in addition to those described below. While each of these factors presents significant opportunities for us, these factors also pose challenges that we must successfully address in order to sustain the growth of our business and enhance our results of operations.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License Agreements with New and Existing Customers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using our interconnect IP solutions between one to five years following completion of their product design, known as mass production, at which point we start to receive royalties; this typically lasts for up to seven years depending on the particular market. Any significant delay in the ramp-up of volume production of the customer’s products into which our product is designed could adversely affect our business due to delayed or significantly reduced revenues. Further, because the average selling prices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End Customer Product Demand and Market Conditions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Demand for our interconnect IP solutions and associated royalty revenue is highly dependent on market conditions in the end markets in which our customers operate. These end markets, which include the automotive, enterprise computing, communications, artificial intelligence and machine learning, consumer electronics, and industrial markets,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and global trade restrictions resulting in fewer semiconductors utilizing our IP solutions being available for sale, our revenue would be adversely affected. Further, royalty revenue can be significantly impacted period to period due to changing trends in consumer spending, especially as it relates to the automotive market.</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Terms of our Agreements with Customers</w:t>
      </w:r>
    </w:p>
    <w:p>
      <w:pPr>
        <w:pStyle w:val="TextBody"/>
        <w:bidi w:val="0"/>
        <w:spacing w:lineRule="auto" w:line="288" w:before="180" w:after="283"/>
        <w:jc w:val="both"/>
        <w:rPr/>
      </w:pPr>
      <w:r>
        <w:rPr>
          <w:rFonts w:ascii="Arial;sans-serif" w:hAnsi="Arial;sans-serif"/>
          <w:b w:val="false"/>
          <w:color w:val="000000"/>
          <w:sz w:val="20"/>
          <w:shd w:fill="FFFFFF" w:val="clear"/>
        </w:rPr>
        <w:t xml:space="preserve">Our revenue from period to period can be impacted by the terms of the agreements we enter into with our customers. As a result of how these contracts are structured and the revenue is recognized, our revenue in the </w:t>
      </w:r>
      <w:r>
        <w:rPr>
          <w:rFonts w:ascii="Arial;sans-serif" w:hAnsi="Arial;sans-serif"/>
          <w:b w:val="false"/>
          <w:color w:val="000000"/>
          <w:sz w:val="20"/>
        </w:rPr>
        <w:t>three months ended March 31, 2025</w:t>
      </w:r>
      <w:r>
        <w:rPr>
          <w:color w:val="000000"/>
          <w:shd w:fill="FFFFFF" w:val="clear"/>
        </w:rPr>
        <w:t xml:space="preserve"> </w:t>
      </w:r>
      <w:r>
        <w:rPr>
          <w:rFonts w:ascii="Arial;sans-serif" w:hAnsi="Arial;sans-serif"/>
          <w:b w:val="false"/>
          <w:color w:val="000000"/>
          <w:sz w:val="20"/>
          <w:shd w:fill="FFFFFF" w:val="clear"/>
        </w:rPr>
        <w:t>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Technological Development and Market Growth</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our growth has been and will continue to be driven by technology trends in our end markets. For example, the requirements of smaller die size, lower power consumption, a higher frequency of operation and management of critical net latency in a timely and cost-effective manner for on-chip processing in the automotive, enterprise computing, communications, consumer electronics, and industrial markets have resulted in increased SoC design complexity for chips used in these markets. This trend in turn has created increased demand for in-licensing commercial semiconductor design IP, which in turn has positively impacted our revenue and growth.</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order to address technological developments such as the above and expand our offerings, we have invested significantly in our research and development efforts. These investments, which continue to include growth in engineering headcount, have resulted in substantially increased research and development expenses in recent periods. As we continue to invest in our technology and new product design efforts, we anticipate research and development expense will continue to increase on an absolute basis and as a percentage of revenue in the near term. In the medium to longer term, however, while we expect to increase our research and development expense on an absolute basis, we expect this expense to reduce as a percentage of revenue.</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will continue to evaluate growth opportunities through acquisitions of other businesses.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Impact of Operating Globally</w:t>
      </w:r>
    </w:p>
    <w:p>
      <w:pPr>
        <w:pStyle w:val="TextBody"/>
        <w:bidi w:val="0"/>
        <w:spacing w:lineRule="auto" w:line="288" w:before="180" w:after="283"/>
        <w:jc w:val="both"/>
        <w:rPr/>
      </w:pPr>
      <w:r>
        <w:rPr>
          <w:rFonts w:ascii="Arial;sans-serif" w:hAnsi="Arial;sans-serif"/>
          <w:b w:val="false"/>
          <w:color w:val="000000"/>
          <w:sz w:val="20"/>
          <w:shd w:fill="FFFFFF" w:val="clear"/>
        </w:rPr>
        <w:t xml:space="preserve">We believe our products’ global footprint provides us with the opportunity to enter new markets and accelerate our growth. For the </w:t>
      </w:r>
      <w:r>
        <w:rPr>
          <w:rFonts w:ascii="Arial;sans-serif" w:hAnsi="Arial;sans-serif"/>
          <w:b w:val="false"/>
          <w:color w:val="000000"/>
          <w:sz w:val="20"/>
        </w:rPr>
        <w:t xml:space="preserve">three months ended March 31, 2025, 60.1% of our revenue was derived from sales to customers outside of the United States and 25.1% of our revenue was derived from customers located in China, respectively. </w:t>
      </w:r>
      <w:r>
        <w:rPr>
          <w:rFonts w:ascii="Arial;sans-serif" w:hAnsi="Arial;sans-serif"/>
          <w:b w:val="false"/>
          <w:color w:val="000000"/>
          <w:sz w:val="20"/>
          <w:shd w:fill="FFFFFF" w:val="clear"/>
        </w:rPr>
        <w:t xml:space="preserve">For 2024, 62.3% of our revenue was derived from sales to customers outside of the United States and 29.2% of our revenue was derived from customers located in China. While we believe operating internationally has beneficially impacted our results of operations, we are subject to inherent risks attributed to operating in a global economy. Further, our international operations have been, and may in the future continue to be, subject to restrictive government regulations. For example, U.S. export regulations, including regulations announced on October 7, 2022 (as further amended), that impose broad end-use and other restrictions on doing business with certain customers and facilities in China that develop or produce semiconductor chips or manufacturing equipment, may limit or adversely impact our ability to license or support our products to entities in or doing business with certain advanced AI or “supercomputer” design companies, foundries and manufacturers of assemblies and components in China. As a result of these restrictions, our customers may experience changes to or delays in their design projects, and we may face challenges to maintain our revenue and/or our revenue may decrease.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Further, our global footprint and operations expose us to currency exchange rate movements given we have significant operating expenses denominated in foreign currencies. If the volume of our international operations remains the same or increases and foreign currency exchange rates changes, especially the Euro, the impact to our consolidated statements of operations could be significant and may affect the comparability of operating results from period to period.</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Cyclical Nature of the Semiconductor Industry</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semiconductor industry in which our customers operate is highly cyclical and is characterized by increasingly rapid technological change, product obsolescence, competitive pricing pressures, evolving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During periods of slower growth or industry contractions, our sales generally suffer due to a decrease in customers’ Confirmed Design Starts or in sales of our customers’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Key Performance Indicators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Annual Contract Value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 licensing, support and maintenance and other fixed fees under IP licensing or software licensing agreements but exclude variable revenue derived from licensing agreements with customers, particularly royalties. ACV was $62.1 million and $53.5 million as of March 31, 2025 and 2024, respectively. In addition, total ACV plus royalties was $66.8 million and $58.2 million as of March 31, 2025 and 2024, respectively. ACV plus royalties is calculated based on ACV and the trailing-twelve-months variable royalties and other revenue. We monitor ACV to measure our success and believe the increase in the number shows our progress in expanding our customers’ adoption of our platform. We believe ACV provides investors with useful information to assess the strength and trajectory of our business as growth demonstrates the expansion of customer adoption of our platform. ACV fluctuates due to a number of factors, including the timing, duration and dollar amount of customer contracts.</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Confirmed Design Starts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Our interconnect IP and NoC interface IP customer base contributed to a total of 17 and 21 design starts during the three months ended March 31, 2025 and 2024, respectively. We believe that the number of Confirmed Design Starts is an important indicator of the growth of our business and future royalty revenue trends.</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Remaining Performance Obligations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define Remaining Performance Obligations (RPO) as the amount of contracted future revenue that has not yet been recognized, including deferred revenue, billed and unbilled cancelable and non-cancelable contracted amounts.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RPO amount is intended to provide visibility into future revenue streams. We expect RPO to fluctuate up or down from period to period for several reasons, including variations in amounts, timing, and duration of customer contracts, as well as the timing of billing cycles for each contract. Our RPO was $88.9 million and $74.7 million as of March 31, 2025 and 2024, respectively.</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Active Customers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previously provided active customers for the period as a key performance indicator. As we strategically shift our focus to increased sales volume from existing larger customers, rather than number of new customers added in the period, we no longer consider active customers as a key metric to evaluate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Components of Our Results of Operations</w:t>
      </w:r>
    </w:p>
    <w:p>
      <w:pPr>
        <w:pStyle w:val="TextBody"/>
        <w:bidi w:val="0"/>
        <w:spacing w:lineRule="auto" w:line="288" w:before="180" w:after="283"/>
        <w:jc w:val="both"/>
        <w:rPr/>
      </w:pPr>
      <w:r>
        <w:rPr>
          <w:rFonts w:ascii="Arial;sans-serif" w:hAnsi="Arial;sans-serif"/>
          <w:b/>
          <w:i/>
          <w:color w:val="000000"/>
          <w:sz w:val="20"/>
          <w:shd w:fill="FFFFFF" w:val="clear"/>
        </w:rPr>
        <w:t xml:space="preserve">Revenue: </w:t>
      </w:r>
      <w:r>
        <w:rPr>
          <w:rFonts w:ascii="Arial;sans-serif" w:hAnsi="Arial;sans-serif"/>
          <w:b w:val="false"/>
          <w:color w:val="000000"/>
          <w:sz w:val="20"/>
          <w:shd w:fill="FFFFFF" w:val="clear"/>
        </w:rPr>
        <w:t xml:space="preserve">Our revenue is primarily derived from licensing intellectual property, licensing software, support and maintenance services, professional services, training services, and royalties. Our agreements often include other service elements including training and professional services which were immaterial for both the </w:t>
      </w:r>
      <w:r>
        <w:rPr>
          <w:rFonts w:ascii="Arial;sans-serif" w:hAnsi="Arial;sans-serif"/>
          <w:b w:val="false"/>
          <w:color w:val="000000"/>
          <w:sz w:val="20"/>
        </w:rPr>
        <w:t>three months ended March 31, 2025 and 2024</w:t>
      </w:r>
      <w:r>
        <w:rPr>
          <w:rFonts w:ascii="Arial;sans-serif" w:hAnsi="Arial;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interconnect solutions product arrangements provide customers the right to software licenses, services, and support and maintenance. We enter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 Support Services) to perform certain verifications including benchmark performance, simulations and ultimately, through the RTL, instantiate designs into silicon over the design term.</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Application Engineer Support Services are integral and fundamental to the customer’s ability to derive its intended benefit from the IP. Besides Application Engineer Support Services, support and maintenance services also consist of a stand-ready obligation to provide technical support and software updates over the support term. Generally, the first year of technical support and software updates are bundled with and into the license fee with a customer option to renew additional years of support throughout the license term. However, we may continue to provide technical support and software updates throughout the license term even if the customer does not renew these services in subsequent years, making the license term and support and maintenance term co-terminus.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the majority of our royalty revenues, we receive the actual sales data from our customers after the quarter ends and account for it as unbilled receivables. When we do not receive actual sales data from the customer prior to the finalization of our financial statements, royalty revenues are recognized based on our estimation of the customer’s sales during the quarter.</w:t>
      </w:r>
    </w:p>
    <w:p>
      <w:pPr>
        <w:pStyle w:val="TextBody"/>
        <w:bidi w:val="0"/>
        <w:spacing w:lineRule="auto" w:line="288" w:before="180" w:after="283"/>
        <w:jc w:val="both"/>
        <w:rPr/>
      </w:pPr>
      <w:r>
        <w:rPr>
          <w:rFonts w:ascii="Arial;sans-serif" w:hAnsi="Arial;sans-serif"/>
          <w:b w:val="false"/>
          <w:color w:val="000000"/>
          <w:sz w:val="20"/>
          <w:shd w:fill="FFFFFF" w:val="clear"/>
        </w:rPr>
        <w:t xml:space="preserve">Our </w:t>
      </w:r>
      <w:r>
        <w:rPr>
          <w:rFonts w:ascii="Arial;sans-serif" w:hAnsi="Arial;sans-serif"/>
          <w:b w:val="false"/>
          <w:color w:val="000000"/>
          <w:sz w:val="20"/>
        </w:rPr>
        <w:t>SoC Integration Automation software</w:t>
      </w:r>
      <w:r>
        <w:rPr>
          <w:color w:val="000000"/>
          <w:shd w:fill="FFFFFF" w:val="clear"/>
        </w:rPr>
        <w:t xml:space="preserve"> </w:t>
      </w:r>
      <w:r>
        <w:rPr>
          <w:rFonts w:ascii="Arial;sans-serif" w:hAnsi="Arial;sans-serif"/>
          <w:b w:val="false"/>
          <w:color w:val="000000"/>
          <w:sz w:val="20"/>
          <w:shd w:fill="FFFFFF" w:val="clear"/>
        </w:rPr>
        <w:t xml:space="preserve">products and CSRCompiler product arrangements provide customers with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Majority of our </w:t>
      </w:r>
      <w:r>
        <w:rPr>
          <w:rFonts w:ascii="Arial;sans-serif" w:hAnsi="Arial;sans-serif"/>
          <w:b w:val="false"/>
          <w:color w:val="000000"/>
          <w:sz w:val="20"/>
        </w:rPr>
        <w:t>SoC Integration Automation software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w:t>
      </w:r>
    </w:p>
    <w:p>
      <w:pPr>
        <w:pStyle w:val="TextBody"/>
        <w:bidi w:val="0"/>
        <w:spacing w:lineRule="auto" w:line="288" w:before="180" w:after="283"/>
        <w:jc w:val="both"/>
        <w:rPr/>
      </w:pPr>
      <w:r>
        <w:rPr>
          <w:rFonts w:ascii="Arial;sans-serif" w:hAnsi="Arial;sans-serif"/>
          <w:b/>
          <w:i/>
          <w:color w:val="000000"/>
          <w:sz w:val="20"/>
          <w:shd w:fill="FFFFFF" w:val="clear"/>
        </w:rPr>
        <w:t>Cost of revenue</w:t>
      </w:r>
      <w:r>
        <w:rPr>
          <w:rFonts w:ascii="Arial;sans-serif" w:hAnsi="Arial;sans-serif"/>
          <w:b w:val="false"/>
          <w:color w:val="000000"/>
          <w:sz w:val="20"/>
        </w:rPr>
        <w:t xml:space="preserve">: </w:t>
      </w:r>
      <w:r>
        <w:rPr>
          <w:rFonts w:ascii="Arial;sans-serif" w:hAnsi="Arial;sans-serif"/>
          <w:b w:val="false"/>
          <w:color w:val="000000"/>
          <w:sz w:val="20"/>
          <w:shd w:fill="FFFFFF" w:val="clear"/>
        </w:rPr>
        <w:t>Cost of revenue relates to costs associated with our licensing agreements and support and maintenance, including applicable FAE personnel-related costs such as stock-based compensation, travel, amortization of developed technology acquired intangibles and allocated overhead. We expect cost of revenue as a percentage of revenue to modestly decline over time due to productivity improvements of our FAE processes.</w:t>
      </w:r>
      <w:r>
        <w:rPr>
          <w:color w:val="000000"/>
        </w:rPr>
        <w:t xml:space="preserve"> </w:t>
      </w:r>
    </w:p>
    <w:p>
      <w:pPr>
        <w:pStyle w:val="TextBody"/>
        <w:bidi w:val="0"/>
        <w:spacing w:lineRule="auto" w:line="288" w:before="180" w:after="283"/>
        <w:jc w:val="both"/>
        <w:rPr/>
      </w:pPr>
      <w:r>
        <w:rPr>
          <w:rFonts w:ascii="Arial;sans-serif" w:hAnsi="Arial;sans-serif"/>
          <w:b/>
          <w:i/>
          <w:color w:val="000000"/>
          <w:sz w:val="20"/>
          <w:shd w:fill="FFFFFF" w:val="clear"/>
        </w:rPr>
        <w:t>Allocation of Overhead Costs:</w:t>
      </w:r>
      <w:r>
        <w:rPr>
          <w:color w:val="000000"/>
          <w:shd w:fill="FFFFFF" w:val="clear"/>
        </w:rPr>
        <w:t xml:space="preserve"> </w:t>
      </w:r>
      <w:r>
        <w:rPr>
          <w:rFonts w:ascii="Arial;sans-serif" w:hAnsi="Arial;sans-serif"/>
          <w:b w:val="false"/>
          <w:color w:val="000000"/>
          <w:sz w:val="20"/>
          <w:shd w:fill="FFFFFF" w:val="clear"/>
        </w:rPr>
        <w:t>Overhead costs that are not substantially dedicated for use by a specific functional group are allocated based on headcount. Such costs include costs associated with office facilities, depreciation of property and equipment, certain support function personnel costs and other expenses.</w:t>
      </w:r>
    </w:p>
    <w:p>
      <w:pPr>
        <w:pStyle w:val="TextBody"/>
        <w:bidi w:val="0"/>
        <w:spacing w:lineRule="auto" w:line="288" w:before="180" w:after="283"/>
        <w:jc w:val="both"/>
        <w:rPr/>
      </w:pPr>
      <w:r>
        <w:rPr>
          <w:rFonts w:ascii="Arial;sans-serif" w:hAnsi="Arial;sans-serif"/>
          <w:b/>
          <w:i/>
          <w:color w:val="000000"/>
          <w:sz w:val="20"/>
          <w:shd w:fill="FFFFFF" w:val="clear"/>
        </w:rPr>
        <w:t xml:space="preserve">Research and development (R&amp;D) expenses: </w:t>
      </w:r>
      <w:r>
        <w:rPr>
          <w:rFonts w:ascii="Arial;sans-serif" w:hAnsi="Arial;sans-serif"/>
          <w:b w:val="false"/>
          <w:color w:val="000000"/>
          <w:sz w:val="20"/>
          <w:shd w:fill="FFFFFF" w:val="clear"/>
        </w:rPr>
        <w:t>R&amp;D expenses consist primarily of salaries and associated personnel-related costs, facilities expenses associated with research and development activities, third-party project-related expenses connected with the development of our intellectual property which are expensed as incurred, and stock-based compensation expense and other allocated costs. We expect R&amp;D expenses to increase in absolute terms and as a percentage of revenue in the short term and to continue to increase in absolute terms in the medium to long term but decrease as a percentage of revenue as certain new products are launched.</w:t>
      </w:r>
    </w:p>
    <w:p>
      <w:pPr>
        <w:pStyle w:val="TextBody"/>
        <w:bidi w:val="0"/>
        <w:spacing w:lineRule="auto" w:line="288" w:before="180" w:after="283"/>
        <w:jc w:val="both"/>
        <w:rPr/>
      </w:pPr>
      <w:r>
        <w:rPr>
          <w:rFonts w:ascii="Arial;sans-serif" w:hAnsi="Arial;sans-serif"/>
          <w:b/>
          <w:i/>
          <w:color w:val="000000"/>
          <w:sz w:val="20"/>
          <w:shd w:fill="FFFFFF" w:val="clear"/>
        </w:rPr>
        <w:t>Sales and marketing (S&amp;M) expenses:</w:t>
      </w:r>
      <w:r>
        <w:rPr>
          <w:color w:val="000000"/>
        </w:rPr>
        <w:t xml:space="preserve"> </w:t>
      </w:r>
      <w:r>
        <w:rPr>
          <w:rFonts w:ascii="Arial;sans-serif" w:hAnsi="Arial;sans-serif"/>
          <w:b w:val="false"/>
          <w:color w:val="000000"/>
          <w:sz w:val="20"/>
          <w:shd w:fill="FFFFFF" w:val="clear"/>
        </w:rPr>
        <w:t>S&amp;M expenses consist primarily of salaries, commissions, travel and other costs associated with S&amp;M activities, as well as advertising, trade show participation, public relations, and other marketing costs, stock-based compensation expenses and other allocated costs. We expect S&amp;M expenses to increase in absolute terms but decrease as a percentage of revenue due to productivity improvements of our sales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i/>
          <w:color w:val="000000"/>
          <w:sz w:val="20"/>
          <w:shd w:fill="FFFFFF" w:val="clear"/>
        </w:rPr>
        <w:t>General and administrative (G&amp;A) expenses:</w:t>
      </w:r>
      <w:r>
        <w:rPr>
          <w:color w:val="000000"/>
        </w:rPr>
        <w:t xml:space="preserve"> </w:t>
      </w:r>
      <w:r>
        <w:rPr>
          <w:rFonts w:ascii="Arial;sans-serif" w:hAnsi="Arial;sans-serif"/>
          <w:b w:val="false"/>
          <w:color w:val="000000"/>
          <w:sz w:val="20"/>
          <w:shd w:fill="FFFFFF" w:val="clear"/>
        </w:rPr>
        <w:t>G&amp;A expenses consist primarily of salaries for management and administrative employees, depreciation, insurance costs, accounting, legal and consulting fees, other professional service fees, expenses related to the development of corporate initiatives and facilities expenses associated with G&amp;A activities and stock-based compensation expense, fees for directors and other allocated costs.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incur additional expenses as a result of operating as a public company, including costs to comply with the rules and regulations applicable to companies listed on a national securities exchange, costs related to compliance and reporting obligations, and increased expenses for additional G&amp;A personnel, directors’ and officers’ insurance, investor relations, and professional services. We expect G&amp;A expenses to increase as our business grows. In addition, we expect G&amp;A expenses as a percentage of revenue to vary from period to period but generally decrease over the long term.</w:t>
      </w:r>
    </w:p>
    <w:p>
      <w:pPr>
        <w:pStyle w:val="TextBody"/>
        <w:bidi w:val="0"/>
        <w:spacing w:lineRule="auto" w:line="288" w:before="180" w:after="283"/>
        <w:jc w:val="both"/>
        <w:rPr/>
      </w:pPr>
      <w:r>
        <w:rPr>
          <w:rFonts w:ascii="Arial;sans-serif" w:hAnsi="Arial;sans-serif"/>
          <w:b/>
          <w:i/>
          <w:color w:val="000000"/>
          <w:sz w:val="20"/>
          <w:shd w:fill="FFFFFF" w:val="clear"/>
        </w:rPr>
        <w:t xml:space="preserve">Interest expense: </w:t>
      </w:r>
      <w:r>
        <w:rPr>
          <w:rFonts w:ascii="Arial;sans-serif" w:hAnsi="Arial;sans-serif"/>
          <w:b w:val="false"/>
          <w:color w:val="000000"/>
          <w:sz w:val="20"/>
          <w:shd w:fill="FFFFFF" w:val="clear"/>
        </w:rPr>
        <w:t>Interest expense consists primarily of interest expense on our vendor financing arrangements.</w:t>
      </w:r>
    </w:p>
    <w:p>
      <w:pPr>
        <w:pStyle w:val="TextBody"/>
        <w:bidi w:val="0"/>
        <w:spacing w:lineRule="auto" w:line="288" w:before="180" w:after="283"/>
        <w:jc w:val="both"/>
        <w:rPr/>
      </w:pPr>
      <w:r>
        <w:rPr>
          <w:rFonts w:ascii="Arial;sans-serif" w:hAnsi="Arial;sans-serif"/>
          <w:b/>
          <w:i/>
          <w:color w:val="000000"/>
          <w:sz w:val="20"/>
          <w:shd w:fill="FFFFFF" w:val="clear"/>
        </w:rPr>
        <w:t>Other income (expense), net:</w:t>
      </w:r>
      <w:r>
        <w:rPr>
          <w:color w:val="000000"/>
          <w:shd w:fill="FFFFFF" w:val="clear"/>
        </w:rPr>
        <w:t xml:space="preserve"> </w:t>
      </w:r>
      <w:r>
        <w:rPr>
          <w:rFonts w:ascii="Arial;sans-serif" w:hAnsi="Arial;sans-serif"/>
          <w:b w:val="false"/>
          <w:color w:val="000000"/>
          <w:sz w:val="20"/>
          <w:shd w:fill="FFFFFF" w:val="clear"/>
        </w:rPr>
        <w:t>Other income (expense), net consists primarily of interest income earned on our cash and cash equivalents and available-for-sale investments, gains and losses from foreign currency exchange, gain on deconsolidation of subsidiary, realized gains and losses from available-for-sale investments as well as deferred income.</w:t>
      </w:r>
    </w:p>
    <w:p>
      <w:pPr>
        <w:pStyle w:val="TextBody"/>
        <w:bidi w:val="0"/>
        <w:spacing w:lineRule="auto" w:line="288" w:before="180" w:after="283"/>
        <w:jc w:val="both"/>
        <w:rPr/>
      </w:pPr>
      <w:r>
        <w:rPr>
          <w:rFonts w:ascii="Arial;sans-serif" w:hAnsi="Arial;sans-serif"/>
          <w:b/>
          <w:i/>
          <w:color w:val="000000"/>
          <w:sz w:val="20"/>
          <w:shd w:fill="FFFFFF" w:val="clear"/>
        </w:rPr>
        <w:t xml:space="preserve">Loss from equity method investment: </w:t>
      </w:r>
      <w:r>
        <w:rPr>
          <w:rFonts w:ascii="Arial;sans-serif" w:hAnsi="Arial;sans-serif"/>
          <w:b w:val="false"/>
          <w:color w:val="000000"/>
          <w:sz w:val="20"/>
          <w:shd w:fill="FFFFFF" w:val="clear"/>
        </w:rPr>
        <w:t xml:space="preserve">Loss from equity method investment consists of our proportionate share of net losses from our equity method investee. </w:t>
      </w:r>
    </w:p>
    <w:p>
      <w:pPr>
        <w:pStyle w:val="TextBody"/>
        <w:bidi w:val="0"/>
        <w:spacing w:lineRule="auto" w:line="288" w:before="180" w:after="283"/>
        <w:jc w:val="both"/>
        <w:rPr/>
      </w:pPr>
      <w:r>
        <w:rPr>
          <w:rFonts w:ascii="Arial;sans-serif" w:hAnsi="Arial;sans-serif"/>
          <w:b/>
          <w:i/>
          <w:color w:val="000000"/>
          <w:sz w:val="20"/>
          <w:shd w:fill="FFFFFF" w:val="clear"/>
        </w:rPr>
        <w:t>Provision for income taxes:</w:t>
      </w:r>
      <w:r>
        <w:rPr>
          <w:color w:val="000000"/>
          <w:shd w:fill="FFFFFF" w:val="clear"/>
        </w:rPr>
        <w:t xml:space="preserve"> </w:t>
      </w:r>
      <w:r>
        <w:rPr>
          <w:rFonts w:ascii="Arial;sans-serif" w:hAnsi="Arial;sans-serif"/>
          <w:b w:val="false"/>
          <w:color w:val="000000"/>
          <w:sz w:val="20"/>
          <w:shd w:fill="FFFFFF" w:val="clear"/>
        </w:rPr>
        <w:t>Our income tax provision consists primarily of income taxes in certain foreign jurisdictions in which we conduct 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following table summarizes our GAAP results of operations for the periods presented. The results below are not necessarily indicative of results to be expected for future periods. </w:t>
      </w:r>
    </w:p>
    <w:tbl>
      <w:tblPr>
        <w:tblW w:w="7660" w:type="dxa"/>
        <w:jc w:val="left"/>
        <w:tblInd w:w="0" w:type="dxa"/>
        <w:tblLayout w:type="fixed"/>
        <w:tblCellMar>
          <w:top w:w="28" w:type="dxa"/>
          <w:left w:w="28" w:type="dxa"/>
          <w:bottom w:w="28" w:type="dxa"/>
          <w:right w:w="28" w:type="dxa"/>
        </w:tblCellMar>
      </w:tblPr>
      <w:tblGrid>
        <w:gridCol w:w="1792"/>
        <w:gridCol w:w="1574"/>
        <w:gridCol w:w="1584"/>
        <w:gridCol w:w="196"/>
        <w:gridCol w:w="646"/>
        <w:gridCol w:w="109"/>
        <w:gridCol w:w="109"/>
        <w:gridCol w:w="109"/>
        <w:gridCol w:w="109"/>
        <w:gridCol w:w="196"/>
        <w:gridCol w:w="646"/>
        <w:gridCol w:w="109"/>
        <w:gridCol w:w="109"/>
        <w:gridCol w:w="109"/>
        <w:gridCol w:w="109"/>
        <w:gridCol w:w="154"/>
      </w:tblGrid>
      <w:tr>
        <w:trPr/>
        <w:tc>
          <w:tcPr>
            <w:tcW w:w="1792"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 (1)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 (1)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before income taxes and loss from equity method investment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 net of tax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 xml:space="preserve">(1)Includes stock-based compensation expense as follows: </w:t>
      </w:r>
    </w:p>
    <w:tbl>
      <w:tblPr>
        <w:tblW w:w="5035" w:type="dxa"/>
        <w:jc w:val="left"/>
        <w:tblInd w:w="0" w:type="dxa"/>
        <w:tblLayout w:type="fixed"/>
        <w:tblCellMar>
          <w:top w:w="28" w:type="dxa"/>
          <w:left w:w="28" w:type="dxa"/>
          <w:bottom w:w="28" w:type="dxa"/>
          <w:right w:w="28" w:type="dxa"/>
        </w:tblCellMar>
      </w:tblPr>
      <w:tblGrid>
        <w:gridCol w:w="907"/>
        <w:gridCol w:w="796"/>
        <w:gridCol w:w="802"/>
        <w:gridCol w:w="196"/>
        <w:gridCol w:w="556"/>
        <w:gridCol w:w="109"/>
        <w:gridCol w:w="109"/>
        <w:gridCol w:w="109"/>
        <w:gridCol w:w="109"/>
        <w:gridCol w:w="196"/>
        <w:gridCol w:w="556"/>
        <w:gridCol w:w="109"/>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summarizes our results of operations as a percentage of total revenue for each of the periods indicated:</w:t>
      </w:r>
    </w:p>
    <w:tbl>
      <w:tblPr>
        <w:tblW w:w="8004" w:type="dxa"/>
        <w:jc w:val="left"/>
        <w:tblInd w:w="0" w:type="dxa"/>
        <w:tblLayout w:type="fixed"/>
        <w:tblCellMar>
          <w:top w:w="28" w:type="dxa"/>
          <w:left w:w="28" w:type="dxa"/>
          <w:bottom w:w="28" w:type="dxa"/>
          <w:right w:w="28" w:type="dxa"/>
        </w:tblCellMar>
      </w:tblPr>
      <w:tblGrid>
        <w:gridCol w:w="1791"/>
        <w:gridCol w:w="1572"/>
        <w:gridCol w:w="1586"/>
        <w:gridCol w:w="220"/>
        <w:gridCol w:w="220"/>
        <w:gridCol w:w="517"/>
        <w:gridCol w:w="220"/>
        <w:gridCol w:w="220"/>
        <w:gridCol w:w="220"/>
        <w:gridCol w:w="220"/>
        <w:gridCol w:w="220"/>
        <w:gridCol w:w="517"/>
        <w:gridCol w:w="109"/>
        <w:gridCol w:w="109"/>
        <w:gridCol w:w="109"/>
        <w:gridCol w:w="154"/>
      </w:tblGrid>
      <w:tr>
        <w:trPr/>
        <w:tc>
          <w:tcPr>
            <w:tcW w:w="1791"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(as a percentage of total revenue)</w:t>
            </w:r>
          </w:p>
        </w:tc>
        <w:tc>
          <w:tcPr>
            <w:tcW w:w="481" w:type="dxa"/>
            <w:gridSpan w:val="4"/>
            <w:tcBorders/>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before income taxes and loss from equity method investment</w:t>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 net of tax</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Comparison of the Three Months Ended March 31, 2025 and 2024</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tbl>
      <w:tblPr>
        <w:tblW w:w="7194" w:type="dxa"/>
        <w:jc w:val="left"/>
        <w:tblInd w:w="0" w:type="dxa"/>
        <w:tblLayout w:type="fixed"/>
        <w:tblCellMar>
          <w:top w:w="28" w:type="dxa"/>
          <w:left w:w="28" w:type="dxa"/>
          <w:bottom w:w="28" w:type="dxa"/>
          <w:right w:w="28" w:type="dxa"/>
        </w:tblCellMar>
      </w:tblPr>
      <w:tblGrid>
        <w:gridCol w:w="995"/>
        <w:gridCol w:w="872"/>
        <w:gridCol w:w="877"/>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01"/>
        <w:gridCol w:w="204"/>
        <w:gridCol w:w="301"/>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Licensing, support and maintenance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Variable royalties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Revenue from licensing, support and maintenance increased $3.6 million for the three months ended March 31, 2025, compared to the three months ended March 31, 2024. The increase was primarily due to new license arrangements with existing customers. Growth in our variable royalty revenue was primarily due to an increase in product sales of certain existing customers. Other revenue decreased primarily due to revenue from professional services that was recognized during the three months ended March 31, 2024, which did not repeat during the three months ended March 31, 2025.</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Cost of revenue</w:t>
      </w:r>
    </w:p>
    <w:tbl>
      <w:tblPr>
        <w:tblW w:w="5171" w:type="dxa"/>
        <w:jc w:val="left"/>
        <w:tblInd w:w="0" w:type="dxa"/>
        <w:tblLayout w:type="fixed"/>
        <w:tblCellMar>
          <w:top w:w="28" w:type="dxa"/>
          <w:left w:w="28" w:type="dxa"/>
          <w:bottom w:w="28" w:type="dxa"/>
          <w:right w:w="28" w:type="dxa"/>
        </w:tblCellMar>
      </w:tblPr>
      <w:tblGrid>
        <w:gridCol w:w="467"/>
        <w:gridCol w:w="410"/>
        <w:gridCol w:w="413"/>
        <w:gridCol w:w="196"/>
        <w:gridCol w:w="556"/>
        <w:gridCol w:w="109"/>
        <w:gridCol w:w="109"/>
        <w:gridCol w:w="109"/>
        <w:gridCol w:w="109"/>
        <w:gridCol w:w="196"/>
        <w:gridCol w:w="556"/>
        <w:gridCol w:w="109"/>
        <w:gridCol w:w="109"/>
        <w:gridCol w:w="109"/>
        <w:gridCol w:w="109"/>
        <w:gridCol w:w="196"/>
        <w:gridCol w:w="331"/>
        <w:gridCol w:w="109"/>
        <w:gridCol w:w="109"/>
        <w:gridCol w:w="109"/>
        <w:gridCol w:w="109"/>
        <w:gridCol w:w="120"/>
        <w:gridCol w:w="121"/>
        <w:gridCol w:w="301"/>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Cost of revenue remained relatively flat for the three months ended March 31, 2025 compared to the three months ended March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Operating expenses</w:t>
      </w:r>
    </w:p>
    <w:tbl>
      <w:tblPr>
        <w:tblW w:w="6581" w:type="dxa"/>
        <w:jc w:val="left"/>
        <w:tblInd w:w="0" w:type="dxa"/>
        <w:tblLayout w:type="fixed"/>
        <w:tblCellMar>
          <w:top w:w="28" w:type="dxa"/>
          <w:left w:w="28" w:type="dxa"/>
          <w:bottom w:w="28" w:type="dxa"/>
          <w:right w:w="28" w:type="dxa"/>
        </w:tblCellMar>
      </w:tblPr>
      <w:tblGrid>
        <w:gridCol w:w="772"/>
        <w:gridCol w:w="677"/>
        <w:gridCol w:w="681"/>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01"/>
        <w:gridCol w:w="205"/>
        <w:gridCol w:w="30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R&amp;D expenses increased, $1.0 million, or 9%, to $11.9 million for the three months ended March 31, 2025 from $10.8 million for the three months ended March 31, 2024. The increase in R&amp;D expenses was due to higher employee-related costs of $0.7 million, including stock-based compensation expense. We also received lower grants of $0.2 million by our subsidiary in France for R&amp;D projects and incurred higher professional fees of $0.1 million.</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Sales and marketing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S&amp;M expenses increased $1.1 million or 20%, to $6.5 million for the three months ended March 31, 2025 from $5.5 million for the three months ended March 31, 2024. The increase in S&amp;M expenses was primarily due to higher employee-related costs of $0.8 million mainly driven by increased headcount to support growth of our business, including stock-based compensation expense.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General and administrative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G&amp;A expenses remained relatively flat for the three months ended March 31, 2025 compared to the three months ended March 31, 2024.</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expense</w:t>
      </w:r>
    </w:p>
    <w:tbl>
      <w:tblPr>
        <w:tblW w:w="5144" w:type="dxa"/>
        <w:jc w:val="left"/>
        <w:tblInd w:w="0" w:type="dxa"/>
        <w:tblLayout w:type="fixed"/>
        <w:tblCellMar>
          <w:top w:w="28" w:type="dxa"/>
          <w:left w:w="28" w:type="dxa"/>
          <w:bottom w:w="28" w:type="dxa"/>
          <w:right w:w="28" w:type="dxa"/>
        </w:tblCellMar>
      </w:tblPr>
      <w:tblGrid>
        <w:gridCol w:w="489"/>
        <w:gridCol w:w="429"/>
        <w:gridCol w:w="431"/>
        <w:gridCol w:w="201"/>
        <w:gridCol w:w="418"/>
        <w:gridCol w:w="112"/>
        <w:gridCol w:w="112"/>
        <w:gridCol w:w="112"/>
        <w:gridCol w:w="112"/>
        <w:gridCol w:w="201"/>
        <w:gridCol w:w="418"/>
        <w:gridCol w:w="112"/>
        <w:gridCol w:w="109"/>
        <w:gridCol w:w="109"/>
        <w:gridCol w:w="109"/>
        <w:gridCol w:w="196"/>
        <w:gridCol w:w="331"/>
        <w:gridCol w:w="109"/>
        <w:gridCol w:w="109"/>
        <w:gridCol w:w="109"/>
        <w:gridCol w:w="109"/>
        <w:gridCol w:w="203"/>
        <w:gridCol w:w="203"/>
        <w:gridCol w:w="30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Interest expense remained relatively flat for the three months ended March 31, 2025 compared to the three months ended March 31, 2024.</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income (expense), net</w:t>
      </w:r>
    </w:p>
    <w:tbl>
      <w:tblPr>
        <w:tblW w:w="6180" w:type="dxa"/>
        <w:jc w:val="left"/>
        <w:tblInd w:w="0" w:type="dxa"/>
        <w:tblLayout w:type="fixed"/>
        <w:tblCellMar>
          <w:top w:w="28" w:type="dxa"/>
          <w:left w:w="28" w:type="dxa"/>
          <w:bottom w:w="28" w:type="dxa"/>
          <w:right w:w="28" w:type="dxa"/>
        </w:tblCellMar>
      </w:tblPr>
      <w:tblGrid>
        <w:gridCol w:w="803"/>
        <w:gridCol w:w="706"/>
        <w:gridCol w:w="711"/>
        <w:gridCol w:w="198"/>
        <w:gridCol w:w="426"/>
        <w:gridCol w:w="110"/>
        <w:gridCol w:w="110"/>
        <w:gridCol w:w="110"/>
        <w:gridCol w:w="110"/>
        <w:gridCol w:w="198"/>
        <w:gridCol w:w="426"/>
        <w:gridCol w:w="110"/>
        <w:gridCol w:w="109"/>
        <w:gridCol w:w="109"/>
        <w:gridCol w:w="109"/>
        <w:gridCol w:w="196"/>
        <w:gridCol w:w="496"/>
        <w:gridCol w:w="109"/>
        <w:gridCol w:w="109"/>
        <w:gridCol w:w="109"/>
        <w:gridCol w:w="109"/>
        <w:gridCol w:w="203"/>
        <w:gridCol w:w="203"/>
        <w:gridCol w:w="301"/>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Other income (expense), net decreased $0.2 million, or 23%, to $0.7 million for the three months ended March 31, 2025, from $0.9 million for the three months ended March 31, 2024. The decrease in interest and other income (expense), net was primarily related to foreign currency exchange, as well as lower interest rates on cash balances and lower interest income earned on our available-for-sale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19"/>
          <w:shd w:fill="FFFFFF" w:val="clear"/>
        </w:rPr>
      </w:pPr>
      <w:r>
        <w:rPr>
          <w:rFonts w:ascii="Arial;sans-serif" w:hAnsi="Arial;sans-serif"/>
          <w:b/>
          <w:i/>
          <w:color w:val="000000"/>
          <w:sz w:val="19"/>
          <w:shd w:fill="FFFFFF" w:val="clear"/>
        </w:rPr>
        <w:t>Loss from equity method investment</w:t>
      </w:r>
    </w:p>
    <w:tbl>
      <w:tblPr>
        <w:tblW w:w="6390" w:type="dxa"/>
        <w:jc w:val="left"/>
        <w:tblInd w:w="0" w:type="dxa"/>
        <w:tblLayout w:type="fixed"/>
        <w:tblCellMar>
          <w:top w:w="28" w:type="dxa"/>
          <w:left w:w="28" w:type="dxa"/>
          <w:bottom w:w="28" w:type="dxa"/>
          <w:right w:w="28" w:type="dxa"/>
        </w:tblCellMar>
      </w:tblPr>
      <w:tblGrid>
        <w:gridCol w:w="1000"/>
        <w:gridCol w:w="877"/>
        <w:gridCol w:w="883"/>
        <w:gridCol w:w="198"/>
        <w:gridCol w:w="426"/>
        <w:gridCol w:w="110"/>
        <w:gridCol w:w="110"/>
        <w:gridCol w:w="110"/>
        <w:gridCol w:w="110"/>
        <w:gridCol w:w="198"/>
        <w:gridCol w:w="426"/>
        <w:gridCol w:w="110"/>
        <w:gridCol w:w="109"/>
        <w:gridCol w:w="109"/>
        <w:gridCol w:w="109"/>
        <w:gridCol w:w="196"/>
        <w:gridCol w:w="331"/>
        <w:gridCol w:w="109"/>
        <w:gridCol w:w="109"/>
        <w:gridCol w:w="109"/>
        <w:gridCol w:w="109"/>
        <w:gridCol w:w="120"/>
        <w:gridCol w:w="121"/>
        <w:gridCol w:w="301"/>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Loss from equity method investment remained relatively flat for the three months ended March 31, 2025 compared to the three months ended March 31, 2024. Such losses are expected to continue in the near future.</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Provision for income taxes</w:t>
      </w:r>
    </w:p>
    <w:tbl>
      <w:tblPr>
        <w:tblW w:w="6014" w:type="dxa"/>
        <w:jc w:val="left"/>
        <w:tblInd w:w="0" w:type="dxa"/>
        <w:tblLayout w:type="fixed"/>
        <w:tblCellMar>
          <w:top w:w="28" w:type="dxa"/>
          <w:left w:w="28" w:type="dxa"/>
          <w:bottom w:w="28" w:type="dxa"/>
          <w:right w:w="28" w:type="dxa"/>
        </w:tblCellMar>
      </w:tblPr>
      <w:tblGrid>
        <w:gridCol w:w="743"/>
        <w:gridCol w:w="653"/>
        <w:gridCol w:w="658"/>
        <w:gridCol w:w="198"/>
        <w:gridCol w:w="426"/>
        <w:gridCol w:w="110"/>
        <w:gridCol w:w="110"/>
        <w:gridCol w:w="110"/>
        <w:gridCol w:w="110"/>
        <w:gridCol w:w="198"/>
        <w:gridCol w:w="426"/>
        <w:gridCol w:w="110"/>
        <w:gridCol w:w="109"/>
        <w:gridCol w:w="109"/>
        <w:gridCol w:w="109"/>
        <w:gridCol w:w="196"/>
        <w:gridCol w:w="496"/>
        <w:gridCol w:w="109"/>
        <w:gridCol w:w="109"/>
        <w:gridCol w:w="109"/>
        <w:gridCol w:w="109"/>
        <w:gridCol w:w="203"/>
        <w:gridCol w:w="203"/>
        <w:gridCol w:w="30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provision for income taxes was $0.3 million for the three months ended March 31, 2025 compared to $0.4 million for the three months ended March 31, 2024. The decrease in our income tax expense was due to a change in the forecasted geographic mix of worldwide earnings which are taxed at different statutory tax rates, the impact of losses in jurisdictions which have full valuation allowances, and changes in current year foreign withholding taxes. Foreign withholding taxes are generally assessed on gross revenue generated, rather than pre-tax income, in certain countries in which the Company does not file an income tax return.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240" w:after="283"/>
        <w:jc w:val="both"/>
        <w:rPr/>
      </w:pPr>
      <w:r>
        <w:rPr>
          <w:rFonts w:ascii="Arial;sans-serif" w:hAnsi="Arial;sans-serif"/>
          <w:b w:val="false"/>
          <w:color w:val="000000"/>
          <w:sz w:val="20"/>
        </w:rPr>
        <w:t xml:space="preserve">Since inception, we have financed operations primarily from payments received from our customers, the net proceeds from the sale of our common stock in the IPO as well as the net proceeds from the private issuance of our convertible preferred stock and common stock. As of March 31, 2025, we had </w:t>
      </w:r>
      <w:r>
        <w:rPr>
          <w:rFonts w:ascii="Arial;sans-serif" w:hAnsi="Arial;sans-serif"/>
          <w:b w:val="false"/>
          <w:color w:val="000000"/>
          <w:sz w:val="20"/>
          <w:shd w:fill="FFFFFF" w:val="clear"/>
        </w:rPr>
        <w:t>$42.3 million</w:t>
      </w:r>
      <w:r>
        <w:rPr>
          <w:color w:val="000000"/>
        </w:rPr>
        <w:t xml:space="preserve"> </w:t>
      </w:r>
      <w:r>
        <w:rPr>
          <w:rFonts w:ascii="Arial;sans-serif" w:hAnsi="Arial;sans-serif"/>
          <w:b w:val="false"/>
          <w:color w:val="000000"/>
          <w:sz w:val="20"/>
        </w:rPr>
        <w:t xml:space="preserve">in cash and cash equivalents and short-term investments of which $2.0 million was held by our foreign subsidiaries. In addition, as of March 31, 2025, we also had </w:t>
      </w:r>
      <w:r>
        <w:rPr>
          <w:rFonts w:ascii="Arial;sans-serif" w:hAnsi="Arial;sans-serif"/>
          <w:b w:val="false"/>
          <w:color w:val="000000"/>
          <w:sz w:val="20"/>
          <w:shd w:fill="FFFFFF" w:val="clear"/>
        </w:rPr>
        <w:t>$12.8 million</w:t>
      </w:r>
      <w:r>
        <w:rPr>
          <w:color w:val="000000"/>
        </w:rPr>
        <w:t xml:space="preserve"> </w:t>
      </w:r>
      <w:r>
        <w:rPr>
          <w:rFonts w:ascii="Arial;sans-serif" w:hAnsi="Arial;sans-serif"/>
          <w:b w:val="false"/>
          <w:color w:val="000000"/>
          <w:sz w:val="20"/>
        </w:rPr>
        <w:t>in long-term investments.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believe our cash and cash equivalents, investments and cash provided by sales of our products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Cash Flows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changes in our cash flows for the periods indicated:</w:t>
      </w:r>
    </w:p>
    <w:tbl>
      <w:tblPr>
        <w:tblW w:w="5919" w:type="dxa"/>
        <w:jc w:val="left"/>
        <w:tblInd w:w="0" w:type="dxa"/>
        <w:tblLayout w:type="fixed"/>
        <w:tblCellMar>
          <w:top w:w="28" w:type="dxa"/>
          <w:left w:w="28" w:type="dxa"/>
          <w:bottom w:w="28" w:type="dxa"/>
          <w:right w:w="28" w:type="dxa"/>
        </w:tblCellMar>
      </w:tblPr>
      <w:tblGrid>
        <w:gridCol w:w="1351"/>
        <w:gridCol w:w="1187"/>
        <w:gridCol w:w="1197"/>
        <w:gridCol w:w="196"/>
        <w:gridCol w:w="556"/>
        <w:gridCol w:w="109"/>
        <w:gridCol w:w="109"/>
        <w:gridCol w:w="109"/>
        <w:gridCol w:w="109"/>
        <w:gridCol w:w="196"/>
        <w:gridCol w:w="64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investing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financing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and obligations under our property leases. Our primary source of cash inflows is receipts from our customers. The timing of receipts of accounts receivable from customers is based upon the completion of agreed milestones or agreed dates as set forth in the contracts.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the three months ended March 31, 2025, net cash provided by operating activities was $2.9 million, primarily due to our net loss of $8.1 million, adjusted for non-cash charges of $5.7 million and $5.2 million of changes in operating assets and liabilities. Non-cash charges primarily consisted of stock-based compensation of $4.3 million, depreciation and amortization of $0.8 million and loss from our equity method investment of $0.8 million, partially offset by amortization of deferred income of $0.3 million and net accretion of discounts on available-for-sale securities of $0.1 million. The drivers of the changes in operating assets and liabilities were a $10.3 million decrease in accounts receivable, partially offset by a $2.0 million decrease in accrued expenses and other liabilities, a $1.9 million decrease in deferred revenue, a $0.9 million increase in prepaid expense and other assets and a $0.3 million decrease in accounts payable.</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For the three months ended March 31, 2024, net cash provided by operating activities was $0.5 million, primarily due to our net loss of $9.4 million, adjusted for non-cash charges of $4.8 million and $5.1 million of changes in operating assets and liabilities. Non-cash charges primarily consisted of stock-based compensation of $3.7 million, loss from our equity method investment of $0.8 million and depreciation and amortization of $0.8 million, partially offset by amortization of deferred income of $0.3 million and net accretion of discounts on available-for-sale securities of $0.2 million. The drivers of the changes in operating assets and liabilities were a $0.3 million increase in accounts receivable, partially offset by a $3.4 million increase in deferred revenue, a $0.9 million increase in accrued expenses and other liabilities, a $0.5 million increase in accounts payable and a $0.5 million decrease in prepaid expense and other current assets.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used in investing activities for the three months ended March 31, 2025 was $0.1 million, primarily attributable to purchases of available-for-sale securities and property and equipment, partially offset by proceeds from maturities of available-for-sale securities and certificate of deposit.</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Net cash provided by investing activities for the three months ended March 31, 2024 was $11.9 million, primarily attributable to proceeds from maturities of available-for-sale securities and certificate of deposit, partially offset by purchases of available-for-sale securities and property and equipment.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used in financing activities for the three months ended March 31, 2025 was $0.1 million, primarily attributable to principal payments under vendor financing arrangements, partially offset by proceeds from exercise of stock options.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Net cash provided by financing activities for the three months ended March 31, 2024 was less than $0.1 million, primarily attributable to proceeds from exercise of stock options, primarily offset by principal payments under vendor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 xml:space="preserve">Critical Accounting Estimates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unaudited condensed consolidated financial statements and the related notes thereto included elsewhere in this Quarterly Report on Form 10-Q are prepared in accordance with GAAP. The preparation of these unaudited condensed consolidated financial statements requires us to make certain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financial condition, results of operations, and cash flows will be affected.</w:t>
      </w:r>
    </w:p>
    <w:p>
      <w:pPr>
        <w:pStyle w:val="TextBody"/>
        <w:bidi w:val="0"/>
        <w:spacing w:lineRule="auto" w:line="288" w:before="240" w:after="283"/>
        <w:jc w:val="both"/>
        <w:rPr/>
      </w:pPr>
      <w:r>
        <w:rPr>
          <w:rFonts w:ascii="Arial;sans-serif" w:hAnsi="Arial;sans-serif"/>
          <w:b w:val="false"/>
          <w:color w:val="000000"/>
          <w:sz w:val="20"/>
        </w:rPr>
        <w:t>There have been no material changes to our critical accounting estimates as compared to those described in “Management’s Discussion and Analysis of Financial Condition and Results of Operations” set forth in our 2024 Form 10-K, other than those discussed in Note 2 to our unaudited condensed consolidated financial statements.</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Recently Issued and Adopted Accounting Pronouncements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more information regarding recently issued accounting pronouncements, see Note 2 Basis of Presentation and Summary of Significant Accounting Policies, to our unaudited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JOBS Act </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See Note 2, Basis of Presentation and Summary of Significant Accounting Policies, in the notes to our consolidated financial statements included on our 2024 Form 10-K. As a result, our financial statements may not be comparable to companies that comply with new or revised accounting pronouncements as of public company effective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Not required for the Company as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Evaluation of Disclosure Controls and Procedures</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management, with the participation of our Chief Executive Officer (CEO) and Chief Financial Officer (CFO),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CEO and CFO concluded that, as of the end of the period covered by this Quarterly Report on Form 10-Q, our disclosure controls and procedures were effective at the reasonable assurance level.</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Changes in Internal Control over Financial Reporting</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connection with the evaluation required by Rule 13a-15(d) and 15d-15(d) of the Exchange Act that occurred during the period covered by this Quarterly Report on Form 10-Q that have materially affected, or are reasonably likely to materially affect, our internal control over financial reporting.</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Inherent Limitations on Effectiveness of Controls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management, including our CEO and CFO,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See Note 10 Commitments and Contingencies, to our unaudited condensed consolidated financial statements included elsewhere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an event, the trading price of our common stock could decline, and you could lose all or part of your investment. Additional risks and uncertainties not presently known to us or not believed by us to be material may also negatively impact us.</w:t>
      </w:r>
    </w:p>
    <w:p>
      <w:pPr>
        <w:pStyle w:val="TextBody"/>
        <w:bidi w:val="0"/>
        <w:spacing w:lineRule="auto" w:line="288" w:before="240" w:after="283"/>
        <w:jc w:val="left"/>
        <w:rPr>
          <w:rFonts w:ascii="Arial;sans-serif" w:hAnsi="Arial;sans-serif"/>
          <w:b/>
          <w:color w:val="000000"/>
          <w:sz w:val="19"/>
          <w:shd w:fill="FFFFFF" w:val="clear"/>
        </w:rPr>
      </w:pPr>
      <w:r>
        <w:rPr>
          <w:rFonts w:ascii="Arial;sans-serif" w:hAnsi="Arial;sans-serif"/>
          <w:b/>
          <w:color w:val="000000"/>
          <w:sz w:val="19"/>
          <w:shd w:fill="FFFFFF" w:val="clear"/>
        </w:rPr>
        <w:t>Risk Factors Summary</w:t>
      </w:r>
    </w:p>
    <w:p>
      <w:pPr>
        <w:pStyle w:val="TextBody"/>
        <w:bidi w:val="0"/>
        <w:spacing w:lineRule="auto" w:line="288" w:before="12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The principal risks and uncertainties affecting our business includes, but is not limited to,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We face significant competition from larger companies and third party providers that may deploy their resources so they can develop their IP solutions internally.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have a history of net losses, and we may not achieve or maintain profitability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depend on market acceptance of third-party semiconductor IP.</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success of our business depends on sustaining or growing our licensing revenue, and the failure to achieve such revenue would lead to a material decline in our results of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nature of the design win process requires us to incur significant expenses without any guarantee that research and development and sales efforts will generate revenue, which could adversely affect our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Even if we succeed in securing design wins for our IP interconnect and other solutions and our SoC Integration Automation software solutions (formerly IP deployment solutions), we may not generate timely or sufficient margins or margins from those wins and our financial results could suffer.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continually pursue new IP interconnect, SoC integration automation, and other technology initiatives, and if we fail to successfully carry out these initiatives, our business could be harmed.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have to invest more resources in research and development than anticipated, which could increase our operating expenses and negatively affect our operating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Product errors or defects could expose us to liability and harm our reputation and we could lose market share.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If we fail to offer high-quality support, our reputation could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dependence on international customers and operations also subjects us to a range of other additional regulatory, trade policy, operational, financial, and political risks that could adversely impact our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Changes in legislation and regulation in the U.S. and other countries, including new trade policies and the imposition of tariffs, may adversely impact our business, results of operations and financial condition.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If we are unable to protect our proprietary technology and inventions through patents and other intellectual property rights, our ability to compete successfully and our financial results could be adversely impacted.</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We are subject to government regulations, including import, export and economic sanctions laws and artificial intelligence regulations that may expose us to liability and increase our costs.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face risks associated with doing business in China.</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Litigation, including securities class action litigation, may impair our reputation and lead us to incur significant costs. </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Our Business and Industry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face significant competition from larger companies and third-party providers that may deploy their resources so they can develop their IP solutions internally.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operate in industries characterized by rapidly changing technologies as well as rapid innovation and technological obsolescence. The appearance of new competitors, including start-up enterprises, introduction of new products by our competitors or our failure to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Often, we compete against larger companies that possess substantial financial, technical, research and development and engineering resources that can be deployed so they can develop their IP solutions internally. In addition, we compete against other third-party providers of IP integration solutions, such as Arm and Cadence that similarly possess substantial financial, technical, research and development and engineering resources.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The consolidation of our 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ability to compete in our market is subject to a variety of factors, many of which are beyond our control. The occurrence of any of the below could adversely affect our ability to compete and harm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ability to anticipate and lead critical product development cycles and technological shifts as driven by our target markets, to innovate rapidly and efficiently and to improve our existing solutions.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any competitor substantially increases its engineering and marketing resources to compete with us in the semiconductor IP interconnect and SoC Integration Automation software technology arena.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 new entrant with substantially greater resources and/or supported by governmental resources decides to enter the markets in which we compete.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any existing or new competitor bundles its technologies into one package at a discounted price that would make it uneconomical for our customers to license our products separately.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challenges of developing, or acquiring externally developed, technology solutions that are adequate and competitive in meeting the rapidly evolving requirements of next-generation design challenges.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ability to compete on the basis of payment, pricing, features and/or terms.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Decisions by semiconductor companies, fabless chip design or system companies, device or other end product producers, and/or OEMs to develop IP development internally, rather than license IP from outside vendors due to budget constraints or excess engineering capacity.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Actions by regulators or governmental entities to impose license requirements, limit product availability, limit trade and exportability of our products, the features or contractual terms that either we or our customers can apply to product and service offerings, or to affect monetary policy or to impose tariffs.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Actions by regulators or governmental entities to modify or augment tax treatment of our product and service offerings.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impact of global and regional inflation on ours and our customers’ profitability and expansion plans due to among other effects of inflation, increases in wages, availability of capital, salaries, operating expenses, and costs of insurance, benefits and medical coverage.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potential effects of geopolitical conflicts, such as the military conflict between Russia and Ukraine and the conflict in Israel, including retaliatory, military and regulatory actions, or other actions that escalate tensions, including with respect to the conflict in Israel, actions involving Iran and other groups in the Middle East, on our customers’ engineering resources, design schedules, purchasing, development, sales and innovation responses and trends in response to such conflicts. Specifically, the conflict in Israel and Gaza continues to result in an uncertain business and investment environment in the region. Many companies in the affected regions, particularly small to medium enterprises, are experiencing extended challenges raising money leading to cutbacks and project delays.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Competition, embargoes, sanctions, boycotts and/or social unrest.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Local or international economic headwind trends that may lead to recessions, economic slowdowns or sudden changes in the economic needs of regions and consumers.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Silicon chip supply chain and shipment volume restrictions on our customers and their end customers that will impact the amount of royalties payable to us.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may be unable to reduce the cost of our products sufficiently to compete effectively against our competitors. Our cost reduction efforts may not allow us to keep pace with competitive pricing pressures and/or other economic factors including inflation, impact from and response to U.S. trade policy, and customer and end market supply chain constraints which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have a history of net losses, and we may not achieve or maintain profitability in the future.</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have incurred net losses in certain periods historically. We incurred a net loss of </w:t>
      </w:r>
      <w:r>
        <w:rPr>
          <w:rFonts w:ascii="Arial;sans-serif" w:hAnsi="Arial;sans-serif"/>
          <w:b w:val="false"/>
          <w:color w:val="000000"/>
          <w:sz w:val="19"/>
        </w:rPr>
        <w:t>$8.1 million</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$9.4 million</w:t>
      </w:r>
      <w:r>
        <w:rPr>
          <w:color w:val="000000"/>
          <w:shd w:fill="FFFFFF" w:val="clear"/>
        </w:rPr>
        <w:t xml:space="preserve"> </w:t>
      </w:r>
      <w:r>
        <w:rPr>
          <w:rFonts w:ascii="Arial;sans-serif" w:hAnsi="Arial;sans-serif"/>
          <w:b w:val="false"/>
          <w:color w:val="000000"/>
          <w:sz w:val="19"/>
          <w:shd w:fill="FFFFFF" w:val="clear"/>
        </w:rPr>
        <w:t xml:space="preserve">for the </w:t>
      </w:r>
      <w:r>
        <w:rPr>
          <w:rFonts w:ascii="Arial;sans-serif" w:hAnsi="Arial;sans-serif"/>
          <w:b w:val="false"/>
          <w:color w:val="000000"/>
          <w:sz w:val="19"/>
        </w:rPr>
        <w:t>three months ended March 31, 2025 and</w:t>
      </w:r>
      <w:r>
        <w:rPr>
          <w:color w:val="000000"/>
          <w:shd w:fill="FFFFFF" w:val="clear"/>
        </w:rPr>
        <w:t xml:space="preserve"> </w:t>
      </w:r>
      <w:r>
        <w:rPr>
          <w:rFonts w:ascii="Arial;sans-serif" w:hAnsi="Arial;sans-serif"/>
          <w:b w:val="false"/>
          <w:color w:val="000000"/>
          <w:sz w:val="19"/>
          <w:shd w:fill="FFFFFF" w:val="clear"/>
        </w:rPr>
        <w:t xml:space="preserve">2024, respectively. As of March 31, 2025, we had an accumulated deficit of </w:t>
      </w:r>
      <w:r>
        <w:rPr>
          <w:rFonts w:ascii="Arial;sans-serif" w:hAnsi="Arial;sans-serif"/>
          <w:b w:val="false"/>
          <w:color w:val="000000"/>
          <w:sz w:val="19"/>
        </w:rPr>
        <w:t>$145.0 million</w:t>
      </w:r>
      <w:r>
        <w:rPr>
          <w:rFonts w:ascii="Arial;sans-serif" w:hAnsi="Arial;sans-serif"/>
          <w:b w:val="false"/>
          <w:color w:val="000000"/>
          <w:sz w:val="19"/>
          <w:shd w:fill="FFFFFF" w:val="clear"/>
        </w:rPr>
        <w:t>. We have spent significant funds on organizational and start-up activities, to recruit engineers and other employees and to support our research and development. The net losses we incur may fluctuate significantly from quarter to quarter and may increase as a result of geopolitical and market fluctuations, inflation, economic slowdown and/or recessionary pressures and other global economic factors.</w:t>
      </w:r>
    </w:p>
    <w:p>
      <w:pPr>
        <w:pStyle w:val="TextBody"/>
        <w:bidi w:val="0"/>
        <w:spacing w:lineRule="auto" w:line="288" w:before="180" w:after="283"/>
        <w:jc w:val="both"/>
        <w:rPr/>
      </w:pPr>
      <w:r>
        <w:rPr>
          <w:rFonts w:ascii="Arial;sans-serif" w:hAnsi="Arial;sans-serif"/>
          <w:b w:val="false"/>
          <w:color w:val="000000"/>
          <w:sz w:val="19"/>
          <w:shd w:fill="FFFFFF" w:val="clear"/>
        </w:rPr>
        <w:t xml:space="preserve">Our long-term success is dependent upon our ability to successfully market our 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 xml:space="preserve">solutions, develop new 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earn revenue, obtain additional capital when needed and, ultimately, to maintain profitable operations.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IP solutions include technology that manages on-chip communications in SoC semiconductor devices. We do not license our IP solutions and deployment tools directly to end-users; we license our technology primarily to companies in the automotive market, enterprise computing market, communications market, consumer electronics market, and industrial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even after customers agree to incorporate our technology into their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and willingness to start their own new product designs and to manufacture and ship their products, including target product market conditions, our customers’ financial stability, our customers’ competitive positioning and external economic conditions (such as, but not, limited to inflation, recessions, customer and end market supply chain constraints, geopolitical conflict, sanctions, and competition) that may prolong the customers’ decision-making process and design cycle.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growth and economic stability in the end markets that use our products. Any slowdown in the growth and economic stability of these end markets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continued success will depend in large part on general economic growth and stability, and growth and stability within our target markets in the automotive market, enterprise computing market, communications market, consumer electronics market, and industrial market. Factors affecting these markets could seriously harm our customers and/or end customers and, as a result, harm us, examples of which include: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Reduced sales of our customers’ and/or end customers’ products.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effects of catastrophic and other disruptive events at our customers’ and/or end customers’ offices or facilities including, but not limited to, natural disasters, telecommunications failures, cyber-attacks, terrorist attacks, regional conflicts, pandemics, epidemics or other outbreaks of infectious disease, breaches of security or loss of critical data.</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Increased costs associated with potential disruptions to our customers’ and/or end markets’ supply chain and other manufacturing and production operations.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deterioration of our customers’ and/or end customers’ financial condition.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Delays and project cancellations as a result of design flaws in the products developed by our customers and/or end customers.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inability of our customers and/or end customers to expand or dedicate the resources necessary to promote and commercialize their products.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inability of our customers and/or end customers to adapt to changing technological demands resulting in their products becoming obsolete.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failure of our customers’ and/or end customers’ products to achieve market success and gain broad market acceptance.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Disruption and uncertainty caused by new developments in U.S. trade and tariff policy, reciprocal tariffs imposed by other countries, export, foreign direct investment, and related regulations.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Regional and global effects of inflation or other adverse economic conditions, such as rising interest rates, recessions or economic slowdowns, resulting in delays or cancellations of new product design starts.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Adverse impact of multiple interest rate increases implemented and forecasted by the U.S. Federal Reserve.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delaying the deployment of automated driving, or the emergence of economic instability in end markets arising from factors such as inflationary trends, deteriorating purchasing power, trade or supply chain disruptions and regional and/or worldwide chip shortages or excess supply, demand fluctuations, unemployment spikes, labor shortages or end market reactions to regional or global geopolitical uncertainties or conflicts, or other factors beyond our control, it would adversely affect demand for our products from customers and royalty revenue and impact our ability to execute our growth strategy.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market acceptance of third-party semiconductor IP.</w:t>
      </w:r>
    </w:p>
    <w:p>
      <w:pPr>
        <w:pStyle w:val="TextBody"/>
        <w:bidi w:val="0"/>
        <w:spacing w:lineRule="auto" w:line="288" w:before="180" w:after="283"/>
        <w:jc w:val="both"/>
        <w:rPr/>
      </w:pPr>
      <w:r>
        <w:rPr>
          <w:rFonts w:ascii="Arial;sans-serif" w:hAnsi="Arial;sans-serif"/>
          <w:b w:val="false"/>
          <w:color w:val="000000"/>
          <w:sz w:val="19"/>
          <w:shd w:fill="FFFFFF" w:val="clear"/>
        </w:rPr>
        <w:t xml:space="preserve">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w:t>
      </w:r>
      <w:r>
        <w:rPr>
          <w:rFonts w:ascii="Arial;sans-serif" w:hAnsi="Arial;sans-serif"/>
          <w:b w:val="false"/>
          <w:color w:val="000000"/>
          <w:sz w:val="19"/>
        </w:rPr>
        <w:t>SoC Integration Automation software</w:t>
      </w:r>
      <w:r>
        <w:rPr>
          <w:rFonts w:ascii="Arial;sans-serif" w:hAnsi="Arial;sans-serif"/>
          <w:b w:val="false"/>
          <w:color w:val="000000"/>
          <w:sz w:val="19"/>
          <w:shd w:fill="FFFFFF" w:val="clear"/>
        </w:rPr>
        <w:t>. Furthermore, the third-party licensable IP model is highly dependent on the market adoption of new services and products, including in the automotive market, enterprise computing market, communications market, consumer electronics market, and industrial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trends that would enable our growth are largely beyond our control. Semiconductor customers also may choose to adopt a multi-chip, off-the-shelf chip solution versus licensing or using highly integrated chipsets that embed our technologies or use our deployment software. If these market shifts do not materialize or third-party semiconductor IP does not achieve market acceptance, our business could be harmed.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success of our business depends on sustaining or growing our licensing revenue, and the failure to achieve such revenue would lead to a material decline in our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our customer acquisition cycle for new licenses and license renewals for existing licensees can be lengthy, typically between six to nine months, and can also be costly and unpredictable. Given the length of the sales cycle, we may incur costs in any particular financial period before any associated revenue stream begins, if at all. We cannot provide any assurance that we will be successful in signing new license agreements or renewing existing license agreements on equal or favorable terms or at all. If we do not achieve our revenue goals, our results of operations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nature of the design win process requires us to incur significant expenses without any guarantee that research and development and sales efforts will generate revenue, which could adversely affect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 critical to our future success and anticipate that for our newer products, we are and will remain highly dependent on revenue from newer design wins. Failure to achieve initial design wins may also weaken our position in future competitive selection processes because we may not be perceived as an industry leader.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pStyle w:val="TextBody"/>
        <w:bidi w:val="0"/>
        <w:spacing w:lineRule="auto" w:line="288" w:before="180" w:after="283"/>
        <w:jc w:val="both"/>
        <w:rPr/>
      </w:pPr>
      <w:r>
        <w:rPr>
          <w:rFonts w:ascii="Arial;sans-serif" w:hAnsi="Arial;sans-serif"/>
          <w:b/>
          <w:i/>
          <w:color w:val="000000"/>
          <w:sz w:val="19"/>
          <w:shd w:fill="FFFFFF" w:val="clear"/>
        </w:rPr>
        <w:t xml:space="preserve">Even if we succeed in securing design wins for our IP interconnect and other solutions and our </w:t>
      </w:r>
      <w:r>
        <w:rPr>
          <w:rFonts w:ascii="Arial;sans-serif" w:hAnsi="Arial;sans-serif"/>
          <w:b/>
          <w:i/>
          <w:color w:val="000000"/>
          <w:sz w:val="19"/>
        </w:rPr>
        <w:t xml:space="preserve">SoC Integration Automation software </w:t>
      </w:r>
      <w:r>
        <w:rPr>
          <w:rFonts w:ascii="Arial;sans-serif" w:hAnsi="Arial;sans-serif"/>
          <w:b/>
          <w:i/>
          <w:color w:val="000000"/>
          <w:sz w:val="19"/>
          <w:shd w:fill="FFFFFF" w:val="clear"/>
        </w:rPr>
        <w:t>solutions, we may not generate timely or sufficient margins or margins from those wins and our financial results could suffer.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Changing customer requirements, resulting in an extended development cycle for the product.</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Delay in the ramp-up of volume production of the customer’s products into which our solutions are designed.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Delay or cancellation of the customer’s product development plans.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Market or competitive pressures to reduce the selling price of the customer’s end-product.</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Lower than expected acceptance of the customers’ end-products.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continually pursue new IP interconnect, SoC integration automation, and other technology initiatives, and if we fail to successfully carry out these initiatives, our business could be harmed.</w:t>
      </w:r>
    </w:p>
    <w:p>
      <w:pPr>
        <w:pStyle w:val="TextBody"/>
        <w:bidi w:val="0"/>
        <w:spacing w:lineRule="auto" w:line="288" w:before="180" w:after="283"/>
        <w:jc w:val="both"/>
        <w:rPr/>
      </w:pPr>
      <w:r>
        <w:rPr>
          <w:rFonts w:ascii="Arial;sans-serif" w:hAnsi="Arial;sans-serif"/>
          <w:b w:val="false"/>
          <w:color w:val="000000"/>
          <w:sz w:val="19"/>
          <w:shd w:fill="FFFFFF" w:val="clear"/>
        </w:rPr>
        <w:t xml:space="preserve">As part of the evolution of our business, we have made substantial investments to develop IP interconnect, SoC integration automation solutions, other technology initiatives,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automotive market, enterprise computing market, communications market, consumer electronics market, and industrial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 xml:space="preserve">solutions in a timely and cost-effective manner, or if we fail to introduce new technologies that meet market demand, we may lose our competitive position, our products may become obsolete, and our business could be harmed.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new technologies and products may not be profitable, and even if they are profitable, operating margins for new products and businesses may not be as high as the margins we have experienced historically or originally anticipated.</w:t>
      </w:r>
    </w:p>
    <w:p>
      <w:pPr>
        <w:pStyle w:val="TextBody"/>
        <w:bidi w:val="0"/>
        <w:spacing w:lineRule="auto" w:line="288" w:before="180" w:after="283"/>
        <w:jc w:val="both"/>
        <w:rPr/>
      </w:pPr>
      <w:r>
        <w:rPr>
          <w:rFonts w:ascii="Arial;sans-serif" w:hAnsi="Arial;sans-serif"/>
          <w:b w:val="false"/>
          <w:color w:val="000000"/>
          <w:sz w:val="19"/>
          <w:shd w:fill="FFFFFF" w:val="clear"/>
        </w:rPr>
        <w:t xml:space="preserve">Additionally, from time to time, we invest in expansion into adjacent markets, including the acquisition of Magillem and Semifore, and our growth into the IP interconnect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market. Although we believe these solutions are complementary to our IP interconnect solutions, we have a more limited operating history in offering software that, among other things, manages register configurations of IP blocks, assembles multiple IP blocks into SoC platforms and links design parameters and metadata to documentation, and our ongoing efforts in this area may not be successful. Our success in these product areas depend on a variety of factors, including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continue to attract new customers in industries in which we have less experience.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successful development of sales and marketing strategies that meet customer requirements.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accurately predict, prepare for, and promptly respond to technological developments in existing and new fields.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compete with new and existing competitors, many of which may have more financial resources, industry experience, brand recognition, relevant intellectual property rights, and/or more established customer relationships than we currently do, and they could include free and open-source solutions that provide similar SoC Integration Automation software solutions.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continually balance our investment in adjacent markets with investment in our existing products and services.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attract and retain employees with expertise in new or emerging fields affecting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Difficulties in any of our new product development efforts or our efforts to enter adjacent markets, including delays or disruptions due to factors outside of our control such as any adverse impact resulting from changing macroeconomic and geopolitical environments, market and inflationary pressures, export and trade controls, and pandemics,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 fundamental shift in technologies, regulatory, trade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have to invest more resources in research and development than anticipated, which could increase our operating expenses and negatively affect our operating results.</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currently devote substantial resources to the research and development of new and enhanced 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be significant and increase in the foreseeable future as our technology development efforts continue, and there can be no guarantee that our research and development investments will result in products that create additional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may also decide to increase our research and development investment to seize customer or market opportunities, which could negatively impact our financial results.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expect that we will continue to experience hiring challenges, including for engineering resources.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Product errors or defects could expose us to liability and harm our reputation and we could lose market share.</w:t>
      </w:r>
    </w:p>
    <w:p>
      <w:pPr>
        <w:pStyle w:val="TextBody"/>
        <w:bidi w:val="0"/>
        <w:spacing w:lineRule="auto" w:line="288" w:before="180" w:after="283"/>
        <w:jc w:val="both"/>
        <w:rPr/>
      </w:pPr>
      <w:r>
        <w:rPr>
          <w:rFonts w:ascii="Arial;sans-serif" w:hAnsi="Arial;sans-serif"/>
          <w:b w:val="false"/>
          <w:color w:val="000000"/>
          <w:sz w:val="19"/>
          <w:shd w:fill="FFFFFF" w:val="clear"/>
        </w:rPr>
        <w:t xml:space="preserve">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 xml:space="preserve">solutions, could delay the development or release of new solutions or new versions and could adversely affect market acceptance or perception of our technology. In addition, any allegations of manufacturability issues resulting from use of our IP interconnect and other solutions or semiconductor design efficiency issues resulting from our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fail to offer high-quality support, our reputation could suffer.</w:t>
      </w:r>
    </w:p>
    <w:p>
      <w:pPr>
        <w:pStyle w:val="TextBody"/>
        <w:bidi w:val="0"/>
        <w:spacing w:lineRule="auto" w:line="288" w:before="180" w:after="283"/>
        <w:jc w:val="both"/>
        <w:rPr/>
      </w:pPr>
      <w:r>
        <w:rPr>
          <w:rFonts w:ascii="Arial;sans-serif" w:hAnsi="Arial;sans-serif"/>
          <w:b w:val="false"/>
          <w:color w:val="000000"/>
          <w:sz w:val="19"/>
          <w:shd w:fill="FFFFFF" w:val="clear"/>
        </w:rPr>
        <w:t xml:space="preserve">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technology is complex, and our customer support is critical for the successful deployment of our IP in our customers’ designs, and we maintain a team of corporate and field application engineers in our global support organization. High-quality support is important for customer retention, and the importance of our support function will increase as we expand our business and pursue new customers. If we do not help our customers quickly resolve issues and provide effective ongoing support, our ability to maintain and expand our offerings to existing and new customers could suffer, and our reputation with existing or potential customers could suffer.</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dependence on international customers and operations also subjects us to a range of other additional regulatory, operational, financial, and political risks that could adversely affect our financial results.</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derived 62.3% of our revenue for the year ended December 31, 2024 from sales to customers outside of the United States. In particular, we derived 29.2% of our revenue for the year ended December 31, 2024 from customers located in China. For the </w:t>
      </w:r>
      <w:r>
        <w:rPr>
          <w:rFonts w:ascii="Arial;sans-serif" w:hAnsi="Arial;sans-serif"/>
          <w:b w:val="false"/>
          <w:color w:val="000000"/>
          <w:sz w:val="19"/>
        </w:rPr>
        <w:t xml:space="preserve">three months ended March 31, 2025, 60.1% </w:t>
      </w:r>
      <w:r>
        <w:rPr>
          <w:rFonts w:ascii="Arial;sans-serif" w:hAnsi="Arial;sans-serif"/>
          <w:b w:val="false"/>
          <w:color w:val="000000"/>
          <w:sz w:val="19"/>
          <w:shd w:fill="FFFFFF" w:val="clear"/>
        </w:rPr>
        <w:t xml:space="preserve">of our revenue was derived from sales to customers outside of the United States and </w:t>
      </w:r>
      <w:r>
        <w:rPr>
          <w:rFonts w:ascii="Arial;sans-serif" w:hAnsi="Arial;sans-serif"/>
          <w:b w:val="false"/>
          <w:color w:val="000000"/>
          <w:sz w:val="19"/>
        </w:rPr>
        <w:t>25.1%</w:t>
      </w:r>
      <w:r>
        <w:rPr>
          <w:color w:val="000000"/>
          <w:shd w:fill="FFFFFF" w:val="clear"/>
        </w:rPr>
        <w:t xml:space="preserve"> </w:t>
      </w:r>
      <w:r>
        <w:rPr>
          <w:rFonts w:ascii="Arial;sans-serif" w:hAnsi="Arial;sans-serif"/>
          <w:b w:val="false"/>
          <w:color w:val="000000"/>
          <w:sz w:val="19"/>
          <w:shd w:fill="FFFFFF" w:val="clear"/>
        </w:rPr>
        <w:t>of our revenue was derived from customers located in China. Our revenue from China has been adversely impacted, and we expect it to continue to be adversely impacted, by the applicable U.S. government trade restrictions. As a result, the economic, political, legal and social conditions in China have and could continue to harm our business. In addition, we have offices globally with our sales and research and development being conducted in offices located in the San Francisco Bay Area, Texas, France, Poland, China, South Korea, and Japan. Moreover, conducting business outside the United States subjects us to a number of additional risks and challenges, including: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Changes in a specific country’s or region’s political, regulatory or 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Imposition of or changes to export control regulations, tariff policy and other barriers, restrictions and regional stability measures, such as the tariffs announced in 2025 by the United States, in particular with respect to China but also announced tariffs such as the tariffs on countries in the European Union, and any retaliatory tariffs or measures, including countermeasures by China, countries in the European Union, or other countries, that could negatively impact trade between, or increase the cost of operating in, or increase the cost of or negatively impact the demand for our products or our customers' products in, the countries in which we do business.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pandemic, epidemic or other outbreak of an infectious disease, which may cause us or our distributors, vendors and/or customers to temporarily suspend our or their respective operations in the affected city or country or completely.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Compliance with a wide variety of domestic and foreign laws and regulations (including those of municipalities or provinces where we have operations) and unexpected changes in those laws, export and trade controls, and regulatory requirements, including uncertainties regarding taxes, social insurance contributions and other payroll taxes and fees to governmental entities, tariffs, quotas, export controls, export licenses and other trade barriers.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Difficulties and costs of staffing and managing international operations across different geographic areas, time zones and cultures.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Potential political, legal and economic instability, armed conflict, and civil unrest in the countries in which we and our customers are located.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Difficulty and costs of maintaining effective data security particularly as state-sponsored threats and cyber espionage incidents increase.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Inadequate protection of our intellectual property.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Nationalization and the uncertain impact on the perception or reputation of our products or services in foreign markets.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Restrictions on the transfer of funds to and from foreign countries, including withholding taxes and other potentially negative tax consequences.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Unfavorable and/or changing foreign tax treaties and policies.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exposure to general market and economic conditions inside and outside of the United States.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Currency exchange rate fluctuations and the resulting effect on our revenue and expenses, and the cost and risk of entering into hedging transactions if we choose to do so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regulatory uncertainties with respect to our wholly foreign-owned enterprise operating in China and any joint ventures we may form or contribute IP or other resources to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Trends such as global and regional inflation, supply shortages and supply chain disruptions, geopolitical conflicts and retaliatory actions and regulations affecting or relating to regions such as but not limited to Ukraine, Russia, Eastern Europe, Israel and the Middle East, or in the Greater China region, may lead to the deterioration of our immediate customers’ and/or end market customers’ ability and/or willingness to purchase, use, develop, market or sell products or solutions that incorporate or are made while using our products. </w:t>
      </w:r>
    </w:p>
    <w:p>
      <w:pPr>
        <w:pStyle w:val="TextBody"/>
        <w:bidi w:val="0"/>
        <w:spacing w:lineRule="auto" w:line="288" w:before="180" w:after="283"/>
        <w:jc w:val="both"/>
        <w:rPr/>
      </w:pPr>
      <w:r>
        <w:rPr>
          <w:rFonts w:ascii="Arial;sans-serif" w:hAnsi="Arial;sans-serif"/>
          <w:b w:val="false"/>
          <w:color w:val="000000"/>
          <w:sz w:val="19"/>
          <w:shd w:fill="FFFFFF" w:val="clear"/>
        </w:rPr>
        <w:t xml:space="preserve">These factors, individually or in combination, could impair our ability to effectively operate one or more of our foreign facilities or deliver our semiconductor IP or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result in unexpected and material expenses, or cause an unexpected decline in the demand for our products in certain countries or regions. Our failure to manage the risks and challenges associated with our international business and operations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Downturns or volatility in general economic conditions, including as a result of geopolitical and macroeconomic conditions in the countries in which we conduct business,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gross margin, and ability to achieve and maintain profitability depend significantly on general economic conditions and the demand for products in the markets in which our customers compete. Weaknesses in the global economy and financial markets and any adverse changes in general domestic and global economic conditions that may occur in the future, including any recession, economic slowdown or disruption of credit markets, may lead to, lower demand for products that incorporate our solutions, including in the automotive market, enterprise computing market, communications market, consumer electronics market, and industrial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Because we conduct business, have offices in and derive revenue from customers in China, our business performance may be affected by increased political tensions and changes in China’s political, social and economic environment. For example, political instability resulting from changes in the relationship between the United States and China could negatively impact our business. Any significant armed conflict related to this matter is expected to materially and adversely damage our business. Moreover, the role of the Chinese government in the Chinese economy is significant. Chinese policies toward economic liberalization, and laws and policies affecting technology companies, foreign investment, currency exchange rates, taxes and other matters could change, resulting in greater restrictions on our ability and our suppliers’ ability to do business and operate facilities in China. If any of these changes were to occur, our business could be harmed, and our stock price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disruption in the credit markets could also impede our access to capital. If we have limited access to additional financing sources, we may be required to defer capital expenditure or seek other sources of liquidity, which may not be available to us on acceptable terms or at all. All of these factors related to global economic conditions, which are beyond our control, could harm our business.</w:t>
      </w:r>
    </w:p>
    <w:p>
      <w:pPr>
        <w:pStyle w:val="TextBody"/>
        <w:bidi w:val="0"/>
        <w:spacing w:lineRule="auto" w:line="276"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shd w:fill="FFFFFF" w:val="clear"/>
        </w:rPr>
      </w:pPr>
      <w:r>
        <w:rPr>
          <w:rFonts w:ascii="Arial;sans-serif" w:hAnsi="Arial;sans-serif"/>
          <w:b/>
          <w:i/>
          <w:color w:val="000000"/>
          <w:sz w:val="19"/>
          <w:shd w:fill="FFFFFF" w:val="clear"/>
        </w:rPr>
        <w:t>Changes in legislation and regulation in the U.S. and other countries, including new trade policies and the imposition of tariffs, may adversely impact our business, results of operations and financial condition.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operate in a highly regulated industry and changes in the U.S. political landscape have and could continue to significantly impact our business. The recent changes in the U.S. government administration has and may continue to result in substantial modifications to laws and regulations, including, but not limited to, those related to trade policies, tariffs, export controls and technology transfers as well as certain rules and regulations related to diversity, equity and inclusion practices. Executive orders and legislative actions have and could continue to alter the business environment in which we operate and result in adverse impacts to our business, results of operations and financial condition.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example, U.S. and Chinese governments may continue to enact changes in government trade policies, including the imposition of additional tariffs on countries where we do significant business such as China, that have and could adversely impact our ability to sell products globally, particularly in China. We cannot predict what actions may ultimately be taken with respect to tariffs or trade relations between the United States and U.S. trading partners including China and the European Union, or what actions may be taken by the trading partners in response. It is difficult to anticipate the timing or duration and macro-economic impacts of such tariffs, export restrictions, or other regulatory actions. These government trade policies are likely to materially adversely affect our customers and our business, impeding our ability to develop relationships with new customers in trade partner countries including with China and countries in the European Union.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changing regulatory policies, in particular in the United States, can affect regulatory and compliance costs and future revenues, all of which could materially and adversely affect our business operations and financial results. Changes in federal policy by the executive branch and regulatory agencies and personnel may occur over time, which could lead to changes in the level of oversight and focus on our industry including new laws, regulations and policies. At this time, it is unclear what laws, regulations and policies may change and whether future changes or uncertainty surrounding future changes will adversely affect our operating environment and therefore our business operations and financial results. Any future changes in federal and state laws and regulations, as well as the interpretation and implementation of any laws, executive orders, and regulations, could affect us in substantial and unpredictable ways.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changes in legislation and regulation have and could continue to create a highly unpredictable and volatile business environment, which could result in a recession, potential slowdown in capital markets, and potential impacts to the valuation of the U.S. dollar and other currencies.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cyclical nature of the semiconductor industry, including significant supply chain disruption, may limit our ability to maintain or improve our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geopolitical tensions and wide fluctuations in product supply and demand, all of which can result in significant declines in semiconductor demand. We have experienced downturns in the past and may experience such downturns in the future, including the potential likelihood of a recession. For example, the industry experienced a significant downturn in connection with the global recession in 2008, and further downturns in 2020 and 2022, which were prolonged as a result of the economic impact of the COVID-19 pandemic. These downturns have been characterized by diminished product demand, production overcapacity, high inventory levels and accelerated erosion of average selling prices. In the past several years, downturns in the semiconductor industry have been attributed to a variety of factors, including the COVID-19 pandemic, ongoing trade disputes among the United States and China, resulting in weakness in demand and pricing for semiconductors across applications and excess inventory.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Economic downturns have directly impacted our business, as has been the case with many other companies, suppliers, distributors and customers in the semiconductor industry and other industries around the world, and any prolonged or significant future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has also faced significant global supply chain issues as a result of the impact both on demand for devices as well as the increasing demand for semiconductors in automobiles and artificial intelligence, which together have resulted in the inability of fabrication plants to produce sufficient quantities of chips to meet demand, supply chain shortages and other disruptions. Numerous factors, including any further trade tensions and escalating countermeasures between the U.S. and China, as well as any revisions to U.S. regulations governing the export of certain semiconductor related hardware and software to China announced by the U.S. Department of Commerce’s Bureau of Industry and Security (BIS) on October 7, 2022 as subsequently further amended, and any geopolitical changes in China-Taiwan relations may prolong or deepen these challenges faced by the industry.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revenue has been concentrated among a small number of licensees and customers, and if we lose any of these customers and fail to replace them, our revenue may decrease substantially.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 significant amount of our revenue is derived from a limited number of customers. We expect that a relatively small number of customers will continue to account for a substantial portion of our revenue for the foreseeable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Failure to effectively expand our sales and marketing capabilities could harm our ability to increase our customer base and achieve broader market acceptance of our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typically experience a strong seasonality in sales in the fourth calendar quarter of the year. As a result, our results of operations are subject to substantial quarterly fluctuations, which may seriously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have experienced, and expect to continue to experience, seasonal fluctuations in sales due to the spending patterns of semiconductor customers who license our products. Historically, the number of total new license agreements we enter into has generally been lowest in the first and second calendar quarters.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Substantial portions of our sales are made, and we anticipate will be made, to automotive, enterprise computing, communications, consumer electronics, and industrial suppliers. Any downturn in any of these markets could significantly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Each of these sectors is subject to specific market risks. The consumer sector, for example, is subject to changes in end consumer spending patterns, technology developments and general economic conditions.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also exposed to the risks associated with the automotive market. For example, our anticipated future growth is highly dependent on the adoption of autonomous driving technologies, which are expected to have increased sensor and power product content. The reported downturn in the automotive market could delay automakers’ plans to introduce new vehicles with these features, which would negatively impact the demand for our products and our ability to grow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Several industries in which companies incorporate our technology, including the automotive industry and others, may undergo consolidation and reorganization and, in some cases, their suppliers may or have entered bankruptcy. Although we have not experienced any lost business or material bad debt write-offs as a result of such consolidation, such trends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the automotive industry is affected by general economic, trade policy, and geopolitical conditions and associated responses by governments of various countries, the automotive industry, including manufacturers, dealers, distributors, and third-party suppliers may be adversely impacted. In addition, government-imposed restrictions on businesses, operations and travel and the related economic uncertainty have impacted demand in many global markets. While demand in the automotive industry is dependent on a number of factors, any adverse effects on the automotive industry could harm our business, as well as our ability to execute our growth strategy.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 significant portion of our revenue comes from licensing fees, which may vary period to period.</w:t>
      </w:r>
    </w:p>
    <w:p>
      <w:pPr>
        <w:pStyle w:val="TextBody"/>
        <w:bidi w:val="0"/>
        <w:spacing w:lineRule="auto" w:line="288" w:before="180" w:after="283"/>
        <w:jc w:val="both"/>
        <w:rPr/>
      </w:pPr>
      <w:r>
        <w:rPr>
          <w:rFonts w:ascii="Arial;sans-serif" w:hAnsi="Arial;sans-serif"/>
          <w:b w:val="false"/>
          <w:color w:val="000000"/>
          <w:sz w:val="19"/>
          <w:shd w:fill="FFFFFF" w:val="clear"/>
        </w:rPr>
        <w:t xml:space="preserve">License agreements for our interconnect IP are generally treated as ratable revenue, with revenue being recognized evenly over the license term. In recent periods we have made and will continue to make certain changes to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agreements that result in ratable recognition of the related license revenue over the contract term. Still, significant portions of our anticipated future revenue depend upon our success in attracting new customers, or continuing or expanding our relationships with existing customers, and revenue recognized from licensing arrangements varies from period to period, depending on the number and size of deals closed during a quarter, and is difficult to predict. In addition, as we expand our business into new markets, our licensing deals may be smaller in volume but greater in value in volume, which may further fluctuate our licensing revenue quarter to quarter. Our ability to succeed in our licensing efforts will depend on a variety of factors, including the market positioning, performance, delivery, quality, breadth and depth of our current and future IP interconnect and other solutions as well as our sales and marketing skills. Our failure to obtain future licensing customers would impede our future revenue growth and could materially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Royalty rates could decrease for existing and future license agreements, which could materially adversely affect our operating results.</w:t>
      </w:r>
    </w:p>
    <w:p>
      <w:pPr>
        <w:pStyle w:val="TextBody"/>
        <w:bidi w:val="0"/>
        <w:spacing w:lineRule="auto" w:line="288" w:before="180" w:after="283"/>
        <w:jc w:val="both"/>
        <w:rPr/>
      </w:pPr>
      <w:r>
        <w:rPr>
          <w:rFonts w:ascii="Arial;sans-serif" w:hAnsi="Arial;sans-serif"/>
          <w:b w:val="false"/>
          <w:color w:val="000000"/>
          <w:sz w:val="19"/>
          <w:shd w:fill="FFFFFF" w:val="clear"/>
        </w:rPr>
        <w:t xml:space="preserve">Royalty payments to us under existing and future license agreements could be lower than currently anticipated for a variety of reasons. Average selling prices for semiconductor products generally decrease over time during the lifespan of a product. Our gross margins and financial results will suffer if we are unable to offset reductions in our average selling prices by reducing our costs, developing new or enhanced products or solutions on a timely basis with higher selling prices or gross margins, or increasing our sales volumes. In addition, there is significant pressure to maintain low royalty rates in certain markets where the end product may have a low average sales price, such as many consumer electronics products. In addition, there is increasing downward pricing pressures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the use of our technology could decrease with new or renewed customers, thereby decreasing future anticipated revenue and cash flow. Variable royalty revenue was </w:t>
      </w:r>
      <w:r>
        <w:rPr>
          <w:rFonts w:ascii="Arial;sans-serif" w:hAnsi="Arial;sans-serif"/>
          <w:b w:val="false"/>
          <w:color w:val="000000"/>
          <w:sz w:val="19"/>
        </w:rPr>
        <w:t>7.1%</w:t>
      </w:r>
      <w:r>
        <w:rPr>
          <w:color w:val="000000"/>
          <w:shd w:fill="FFFFFF" w:val="clear"/>
        </w:rPr>
        <w:t xml:space="preserve"> </w:t>
      </w:r>
      <w:r>
        <w:rPr>
          <w:rFonts w:ascii="Arial;sans-serif" w:hAnsi="Arial;sans-serif"/>
          <w:b w:val="false"/>
          <w:color w:val="000000"/>
          <w:sz w:val="19"/>
          <w:shd w:fill="FFFFFF" w:val="clear"/>
        </w:rPr>
        <w:t xml:space="preserve">of our revenue for </w:t>
      </w:r>
      <w:r>
        <w:rPr>
          <w:rFonts w:ascii="Arial;sans-serif" w:hAnsi="Arial;sans-serif"/>
          <w:b w:val="false"/>
          <w:color w:val="000000"/>
          <w:sz w:val="19"/>
        </w:rPr>
        <w:t>three months ended March 31, 2025</w:t>
      </w:r>
      <w:r>
        <w:rPr>
          <w:rFonts w:ascii="Arial;sans-serif" w:hAnsi="Arial;sans-serif"/>
          <w:b w:val="false"/>
          <w:color w:val="000000"/>
          <w:sz w:val="19"/>
          <w:shd w:fill="FFFFFF" w:val="clear"/>
        </w:rPr>
        <w:t>. Therefore, a significant decrease in our royalty revenue could materially adversely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royalty rates may be negatively affected by macroeconomic and geopolitical trends, including global semiconductor supply chain issues (such as shortages in the availability of the supply of chips in several semiconductor sectors and applications), and its world effects and changes in products mix. Furthermore, consolidation among our customers may increase the leverage of our existing customers to extract concessions from us in royalty rates.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Changing currency exchange rates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operations and assets in the U.S.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w:t>
      </w:r>
    </w:p>
    <w:p>
      <w:pPr>
        <w:pStyle w:val="TextBody"/>
        <w:bidi w:val="0"/>
        <w:spacing w:lineRule="auto" w:line="288" w:before="180" w:after="283"/>
        <w:jc w:val="both"/>
        <w:rPr/>
      </w:pPr>
      <w:r>
        <w:rPr>
          <w:rFonts w:ascii="Arial;sans-serif" w:hAnsi="Arial;sans-serif"/>
          <w:b w:val="false"/>
          <w:color w:val="000000"/>
          <w:sz w:val="19"/>
          <w:shd w:fill="FFFFFF" w:val="clear"/>
        </w:rPr>
        <w:t xml:space="preserve">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rates changes, the impact to our consolidated statements of operations could be significant and may affect the comparability of operating results. The impact from foreign currency exchange for the </w:t>
      </w:r>
      <w:r>
        <w:rPr>
          <w:rFonts w:ascii="Arial;sans-serif" w:hAnsi="Arial;sans-serif"/>
          <w:b w:val="false"/>
          <w:color w:val="000000"/>
          <w:sz w:val="19"/>
        </w:rPr>
        <w:t>three months ended March 31, 2025</w:t>
      </w:r>
      <w:r>
        <w:rPr>
          <w:rFonts w:ascii="Arial;sans-serif" w:hAnsi="Arial;sans-serif"/>
          <w:b w:val="false"/>
          <w:color w:val="000000"/>
          <w:sz w:val="19"/>
          <w:shd w:fill="FFFFFF" w:val="clear"/>
        </w:rPr>
        <w:t>, was immaterial. We do not believe a 10% increase or decrease in foreign exchange rates would have resulted in a material impact to our operating results. To the extent we fail to manage our foreign currency exposure adequately, we may suffer losses in the value of our net foreign currency investment, and our business may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particular, in light of the ongoing changes in government trade policies, including the imposition of additional tariffs, military conflict between Russia and Ukraine, the conflict in Israel, and the tensions between the United States, the European Union, other European countries, with Russia, any resulting material change to the valuation of the U.S. dollar, the Euro or other currency relative to the U.S. dollar could adversely impact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have made acquisitions and, in the future, expect to pursue acquisitions of and investments in new businesses, products or technologies, joint ventures and other strategic transactions that involve numerous risks and could disrupt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part of our business strategy, we make acquisitions of and investments in new businesses, such as our acquisitions of Magillem and Semifore, Inc.,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in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Changes in accounting or regulatory requirements or instability in the credit markets could also adversely impact our ability to consummate acquisitions and investments on acceptable terms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even if we are able to consummate acquisitions and enter into joint ventures and other strategic relationships, these transactions and relationships present a number of potential risks and challenges that could, if not met, disrupt our business operations, increase our operating costs, negatively affect our growth rate and the trading price of our common stock, and may harm our business. In addition, our Magillem and Semifore, Inc. acquisitions along with our Transchip investment as well as any acquisition, investment, joint venture or other strategic transaction that we may enter into in the future, involve a number of additional financial, accounting, managerial, operational, legal, regulatory and other risks, which may include, among others: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incur or assume significant debt in connection with our acquisitions, joint ventures and other strategic relationships, which could also cause a deterioration of our credit ratings, result in increased borrowing costs and interest expense and diminish our future access to the capital markets. Alternatively, we may issue additional equity securities, which could dilute your ownership and voting power.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expect to incur integration and startup costs.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Pre-closing and post-closing earnings charges could adversely impact operating results in any given period, and the impact may be substantially different from period to period.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Acquisitions, joint ventures and other strategic relationships could create demands on our management, operational resources and financial and internal control systems that we are unable to effectively address.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could experience difficulty in integrating personnel, operations and financial and other controls and systems and retaining key employees and customers.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be unable to achieve cost savings or other synergies anticipated in connection with an acquisition, joint venture or other strategic relationship.</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 connection with acquisitions and joint ventures, we often enter into post-closing financial arrangements such as purchase price adjustments, earn-out obligations and indemnification obligations, which may have unpredictable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have interests that diverge from or are adverse to those of our joint venture partners or other strategic partners, expose our IP and intellectual property rights to misappropriation or other licensing risks, and we may not be able to direct the management and operations of the joint venture or other strategic relationship in the manner we believe is most appropriate, exposing us to additional legal, financial, or technical risk.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Furthermore, potential acquisitions, investments, divestitures, joint ventures, expansions or divestitures, and other strategic transactions, whether or not consummated, may divert our management’s attention and require considerable cash outlays at the expense of our existing operations. This, and any of the risks set forth above,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raise capital in the future may be limited and could prevent us from executing our growth strategy.</w:t>
      </w:r>
    </w:p>
    <w:p>
      <w:pPr>
        <w:pStyle w:val="TextBody"/>
        <w:bidi w:val="0"/>
        <w:spacing w:lineRule="auto" w:line="288" w:before="180" w:after="283"/>
        <w:jc w:val="both"/>
        <w:rPr/>
      </w:pPr>
      <w:r>
        <w:rPr>
          <w:rFonts w:ascii="Arial;sans-serif" w:hAnsi="Arial;sans-serif"/>
          <w:b w:val="false"/>
          <w:color w:val="000000"/>
          <w:sz w:val="19"/>
          <w:shd w:fill="FFFFFF" w:val="clear"/>
        </w:rPr>
        <w:t xml:space="preserve">Our ability to operate and expand our business depends on the availability of adequate capital, which in turn depends on the cash flow generated by our business and equity or other applicable financing arrangements. We believe that our existing </w:t>
      </w:r>
      <w:r>
        <w:rPr>
          <w:rFonts w:ascii="Arial;sans-serif" w:hAnsi="Arial;sans-serif"/>
          <w:b w:val="false"/>
          <w:color w:val="000000"/>
          <w:sz w:val="19"/>
        </w:rPr>
        <w:t xml:space="preserve">cash and cash equivalents, short-term investments and </w:t>
      </w:r>
      <w:r>
        <w:rPr>
          <w:rFonts w:ascii="Arial;sans-serif" w:hAnsi="Arial;sans-serif"/>
          <w:b w:val="false"/>
          <w:color w:val="000000"/>
          <w:sz w:val="19"/>
          <w:shd w:fill="FFFFFF" w:val="clear"/>
        </w:rPr>
        <w:t>cash provided by sales of our products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market acceptance of our semiconductor IP and other solutions, and our SoC Integration Automation software solutions;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need to adapt to changing technologies and technical requirements;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existence of opportunities for expansion;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access to and availability of sufficient management, technical, marketing and financial personnel.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not be able to effectively manage our growth, and we may need to incur significant expenditures to address the additional operational and control requirements of our growth, either of which could harm our business and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order to succeed in executing our business plan, we will need to manage our growth effectively as we make significant investments in research and development and sales and marketing to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To continue to grow and to meet our ongoing obligations as a public company,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or effectively motivate and manage our new and future employees, it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we recruit from a limited pool of engineers with expertise in SoC design and the competition for such personnel can be intense. The loss of one or more of our executive officers or other key personnel, the loss of access to certain jurisdictions in the event of geopolitical conflict or changes in regulatory frameworks, or our inability to locate suitable or qualified replacements could be significantly detrimental to our product development efforts and could harm our business. We may experience disruptions in our research and development efforts resulting from the inability to hire qualified engineers globally including from the Middle East due to the Israel conflict and escalating conflicts and tensions with Iran.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and regulations, as well as by procedures and enforcement practices of various government agencies. Changes in immigration laws, executive orders and regulations or procedures may adversely affect our ability to hire or retain such workers, increase our operating expenses and negatively impact our ability to deliver our products and services, any of which would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depreciated or otherwise expressed volatility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could be harmed.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management team has limited experience managing a public company.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Many members of our management team have limited experience managing a publicly 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Catastrophic events may disrupt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our counterparties are unable to fulfill their financial and other obligations to us, our business and results of operations may be affected adversely.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downturn in economic conditions, geopolitical events or other business factors could threaten the financial health of our counterparties, including companies with which we have entered into licensing agreements, and their ability to fulfill their financial and other obligations to us. Such financial pressures on our counterparties may eventually lead to bankruptcy proceedings or other attempts to avoid financial obligations that are due to us. Because bankruptcy courts have the power to modify or cancel contracts of the petitioner which remain subject to future performance and alter or discharge payment obligations related to pre-petition debts, we may receive less than all of the payments that we would otherwise be entitled to receive from any such counterparty as a result of bankruptcy proceedings.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Intellectual Property, Information Technology and Data Security and Privacy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are unable to protect our proprietary technology and inventions through patents and other intellectual property rights, our ability to compete successfully and our financial results could be adversely impacted.</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seek to protect our proprietary technology and innovations, particularly those relating to the design of our products, through patents, trade secrets and other intellectual property rights. As of March 31, 2025, we had 226 total allowed or issued patents, pending patent applications and non-expired provisional patent applications worldwide. Of these, we had 100 allowed or issued patents, 82 are U.S. allowed or issued patents, 10 are allowed or issued China patents, four are South Korea issued patents, two are Europe issued patents, one is a U.K. issued patent, and one is a Japan issued patent. The 100 allowed or issued patents generally expire between July 2035 and July 2043. As of March 31, 2025, we had 126 pending non-provisional and provisional patent application filings, including 47 in the United States, 29 in Europe, 24 in China, 13 in South Korea and 13 in Japan.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Additionally, it is difficult to predict the impact of generative artificial intelligence (AI) on our intellectual property rights risk portfolio and costly to monitor the use of our intellectual property. It may be the case that our intellectual property is already being infringed, and infringement may occur in the future without our knowledge. Litigation may be necessary to enforce our intellectual property rights. While it is our policy to protect and defend our rights to our IP, we cannot predict whether steps taken by us to enforce and protect our intellectual property rights will be adequate to prevent infringement, misappropriation, or other violations of our intellectual property rights. Any inability to meaningfully enforce our intellectual property rights could harm our ability to compete. Moreover, 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Any litigation of this nature, regardless of outcome or merit, could materially harm our business and hurt our competitive advantage.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are unable to protect our proprietary technology and inventions through trade secrets, our competitive position and financial results could be adversely affected.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noted above, we seek to protect our proprietary technology and innovations, particularly those relating to our products, as patents, trade secrets and other forms of intellectual property. Additionally, while software and other forms of our proprietary works may be protected under copyright law, in some cases we have chosen not to register any copyrights in these works, and instead,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a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compete successfully depends in part on our ability to commercialize our IP solutions without infringing the patent, trade secret or other intellectual property rights of others.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To the same extent that we seek to protect our technology and inventions with patents, trade secrets and other intellectual property rights, our competitors and other third parties do the same for their technology and inventions. We have no means of knowing the content of patent applications filed by third parties until they are published. It is also difficult and costly to continuously monitor the intellectual property portfolios of our competitors to ensure our technologies do not violate the intellectual property rights of any third parties.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 xml:space="preserve">Claims by other companies that we infringe their intellectual property rights or that patents on which we rely are invalid could adversely affect our business.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is rife with patent assertion entities and is characterized by frequent litigation regarding patent and other intellectual property rights. From time to time, we receive communications from or are sued by third parties that allege that our products or technologies infringe their patent or other intellectual property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We may not prevail in lawsuits alleging patent infringement given the complex technical issues and inherent uncertainties in intellectual property litigation. If any of our products, technologies or services from which we derive or expect to derive a substantial portion of our revenues, were found to infringe on another company’s intellectual property rights, we could be subject to damages, an injunction and/or other equitable relief that would force the removal of such product from the market or we could be required to redesign such product, or take a license to the third-party technology, which could be costly. We could also be ordered to pay damages or other compensation, including punitive damages and attorneys’ fees to such other company. A negative outcome in any such litigation could also severely disrupt the sales of our marketed products to our customers or their customers, which in turn could harm our relationships with our customers, our market share and our product revenues. Even if we are ultimately successful in defending any intellectual property litigation, such litigation is expensive and time consuming, will divert our management’s attention from our business and may harm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the event that any third-party succeeds in asserting a valid claim against us or any of our customers, we could be forced to do one or more of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discontinue selling access to certain technologies that contain the allegedly infringing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which would result in a decline in our revenue and could result in breach of contract claim by our affected customers and damage to our reputation;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stop receiving payment from a customer that can no longer sell the end-product if it contains allegedly infringing </w:t>
      </w:r>
      <w:r>
        <w:rPr>
          <w:rFonts w:ascii="Arial;sans-serif" w:hAnsi="Arial;sans-serif"/>
          <w:b w:val="false"/>
          <w:color w:val="000000"/>
          <w:sz w:val="19"/>
          <w:shd w:fill="FFFFFF" w:val="clear"/>
        </w:rPr>
        <w:t>intellectual property</w:t>
      </w:r>
      <w:r>
        <w:rPr>
          <w:rFonts w:ascii="Arial;sans-serif" w:hAnsi="Arial;sans-serif"/>
          <w:b w:val="false"/>
          <w:color w:val="000000"/>
          <w:sz w:val="19"/>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seek to develop non-infringing technologies, which may not be feasible;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incur significant legal expenses;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pay substantial monetary damages to the party whose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rights we may be found to be infringing; and/or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or our customers could be required to seek licenses to the infringed technology that may not be available on commercially reasonable terms, if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a third-party causes us to discontinue the use of any of our technologies, we could be required to design around those technologies. This could be costly and time-consuming and could have an adverse impact on our financial results. Any significant impairments of our intellectual property rights from any litigation we face could harm our business and our ability to compete in our industry.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not be able to continue to obtain licenses to third-party software and intellectual property on reasonable terms or at all, which may disrupt our business and harm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license third-party software and other intellectual property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intellectual property rights may be licensed to us on a non-exclusive basis, and accordingly, the owners of such intellectual property rights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Agreement—Qualcomm Agreements” in our Annual Report on Form 10-K for the year ended December 31, 2024, for additional information. Third parties may stop adequately supporting or maintaining their technology, or they or their technology may be acquired by our competitors. If we are unable to obtain licenses to these third-party software and intellectual property rights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third-party licensors were to breach any material term of a license, such a breach could, among other things, prompt costly litigation, result in the license being terminated or result in fines and other damages. If any of the following were to occur, it could harm our business and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rights infringement claims brought by third parties against our licensors or against us, our ability to develop, maintain and support our products and technology incorporating that intellectual property could be severely limited and our business could be harmed. Furthermore, regardless of outcome, infringement claims may require us to use significant resources and may divert management’s attention.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some open-source software licenses require users who distribute that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such open-source software in a certain manner, we could, under certain circumstances, be required to comply with such license terms. Although we have tools and processes to monitor and restrict our use of open-source software, the risks associated with open-source usage cannot be eliminated and may, if not properly addressed, result in unanticipated obligations that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Any dispute regarding our intellectual property may require us to indemnify certain customers, the cost of which could severely harm our business.</w:t>
      </w:r>
    </w:p>
    <w:p>
      <w:pPr>
        <w:pStyle w:val="TextBody"/>
        <w:bidi w:val="0"/>
        <w:spacing w:lineRule="auto" w:line="288" w:before="180" w:after="283"/>
        <w:jc w:val="both"/>
        <w:rPr/>
      </w:pPr>
      <w:r>
        <w:rPr>
          <w:rFonts w:ascii="Arial;sans-serif" w:hAnsi="Arial;sans-serif"/>
          <w:b w:val="false"/>
          <w:color w:val="000000"/>
          <w:sz w:val="19"/>
          <w:shd w:fill="FFFFFF" w:val="clear"/>
        </w:rPr>
        <w:t>In any potential dispute involving our patents or other intellectual property, our customers could also become the target of litigation.</w:t>
      </w:r>
      <w:r>
        <w:rPr>
          <w:color w:val="000000"/>
        </w:rPr>
        <w:t xml:space="preserve"> </w:t>
      </w:r>
      <w:r>
        <w:rPr>
          <w:rFonts w:ascii="Arial;sans-serif" w:hAnsi="Arial;sans-serif"/>
          <w:b w:val="false"/>
          <w:color w:val="000000"/>
          <w:sz w:val="19"/>
        </w:rPr>
        <w:t xml:space="preserve">Some of our agreements, including those with key customers like Texas Instruments Incorporated and Samsung Electronics Co., Ltd., have historically </w:t>
      </w:r>
      <w:r>
        <w:rPr>
          <w:rFonts w:ascii="Arial;sans-serif" w:hAnsi="Arial;sans-serif"/>
          <w:b w:val="false"/>
          <w:color w:val="000000"/>
          <w:sz w:val="19"/>
          <w:shd w:fill="FFFFFF" w:val="clear"/>
        </w:rPr>
        <w:t>provided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Cybersecurity threats continue to increase in frequency and sophistication; a successful cybersecurity attack or prolonged outage regardless of cause could interrupt or disrupt our information technology systems, or those of our third-party service providers, or cause the loss of availability of confidential or protected data which could disrupt our business, force us to incur excessive costs or cause reputational harm.</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Security breaches, computer malware, prolonged outages,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external service providers, vendors, or from attacks by malicious third parties and state-sponsored actors. Such attacks are increasing in their frequency, levels of persistence, levels of sophistication and intensity, and are being conducted by sophisticated and organized groups and individuals with a wide range of motives and expertise. As a result of our reliance on internet technology and the number of our employees who are working remotely, this may create additional opportunities for cybercriminals to exploit vulnerabilities.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phishing,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measures for the protection of data and information technology, there can be no assurance that our efforts will prevent or quickly identify service interruptions or security breaches. The techniques used by cybercriminals to obtain unauthorized access to systems or sabotage systems, or to disable or degrade services, change frequently, and may not be recognized when launched against a target and can originate from a wide variety of sources, including outside groups such as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Data security breaches could also expose us to liability under various laws and regulations across jurisdictions and increase the risk of litigation and governmental or regulatory investigation. For example, the California Consumer Privacy Act of 2018 as amended by the California Privacy Rights Act, collectively the CCPA, includes a private right of action for security breaches that could lead to some form of remedy, as well as, regulatory scrutiny, fines, private right of action settlements, and other consequences. Where a security incident involves a breach of security leading to the accidental or unlawful destruction, loss, alternation, unauthorized disclosure of, or access to, personal data in respect of which we are a controller or processor under the GDPR or U.K. GDPR (as defined below), this could result in fines of up to €20.0 million or 4% of annual global turnover under the GDPR or £17.5 million and 4% of total annual revenue in the case of the U.K. GDPR. 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security of such data are possible. We may be required to notify such breaches to regulators and/or individuals which may result in us incurring additional costs. Moreover, any such compromise of our information security or that of our third parties could result in the misappropriation or unauthorized publication or other exploitation of our confidential business or proprietary information or personal information or that of other parties with which we do business, an interruption in our operations, the unauthorized transfer of cash or other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could expose us to liability to customer claims. Any of the foregoing could irreparably damage our reputation and business, could have a material adverse effect on our results of operations, and cause us to incur significant costs, including legal expenses and remediation costs.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maintain cyber liability and business interruption insurance renewed annually; however, this insurance may not be sufficient to cover the financial, legal, business or reputational losses that may result from an interruption or breach of our systems.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subject to data protection, privacy and security laws, regulations, standards and other requirements across different markets where we conduct our business. Our actual or perceived failure to comply with such obligations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global data protection landscape continues to evolve, and we are or may become subject to numerous state, federal and foreign laws, regulations, legal requirements, contractual obligations and industry standards regarding security, data protection and privacy and any actual or perceived failure to comply with these requirements, obligations or standards could harm our reputation and business. If we are found to have violated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 Implementation standards and enforcement practices continue to evolve,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part of our business, we collect personal data, and other potentially sensitive and/or regulated data from our customers. In the U.S., numerous federal and state laws and regulations, including data breach notification laws, data privacy and security laws, and consumer protection laws and regulations govern the collection, use, disclosure, protection and other processing of personal information. For example, the CCPA requires covered companies to, among other things, provide certain disclosures to California consumers about use of personal information, and affords such consumers privacy rights such as the ability to opt-out of certain sales of personal information and expanded rights to access and delete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The California Privacy Rights Act (CPRA) passed in California significantly amended the CCPA and imposed additional data protection obligations on covered businesses, including additional consumer rights, new cybersecurity audit requirements for businesses whose processing of personal information presents significant risk to consumer’s privacy or security, and opt outs for certain uses of sensitive personal information. As part of the CPRA, a new California Privacy Protection Agency is authorized to issue substantive regulations and could result in increased privacy and information security enforcement. The majority of the provisions went into effect on January 1, 2023, and additional compliance investment and potential business process changes may be required, including as the California Privacy Protection Agency continues to issue regulations. Further, several other states have passed state privacy laws. These state privacy laws may increase our compliance costs and potential liability, and could harm our business, including how we use personal information. A number of other proposals exist for new federal and state privacy legislation that, if passed, could increase our potential liability, increase our compliance costs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operations abroad may also be subject to increased scrutiny or attention from data protection authorities. For example, the EU General Data Protection Regulation (EU GDPR) and the U.K. General Data Protection Regulation and the U.K. Data Protection Act 2018 (UK GDPR) (collectively, the GDPR) imposes comprehensive data privacy compliance obligations on our collection, processing, sharing, disclosure, transfer and other use of data relating to an identifiable living individual or “personal data”. The EU and U.K. regimes also include laws which, among other things, require European Economic Area (EEA) member states and the U.K. to regulate marketing by electronic means and the use of cookies and similar technologies. The GDPR has resulted in, and will continue to result in, significant compliance burdens and costs for companies with customers and/or operations in the EEA and the U.K. The GDPR, and national implementing legislation in each member state, imposes a data protection compliance regime including: (i) providing detailed disclosures about how personal data is collected and processed; (ii) demonstrating that an appropriate legal basis is in place or otherwise exists to justify data processing activities; (iii) granting certain rights for data subjects in regard to their personal data (including transparency, the right to be “forgotten,” right to data portability, right of access, and right to rectification); (iv) obligation to notify data protection regulators or supervisory authorities (and in certain cases, affected individuals) of data breaches; (v) imposing limitations on retention of personal data; (vi) maintaining a record of data processing; and (vii) complying with the principal of accountability and the obligation to demonstrate compliance through policies, procedures, training and audit. If our privacy or data security measures fail to comply with applicable current or future laws and regulations, we may be subject to litigation, regulatory investigations, and enforcement notices requiring us to change the way we use personal data or our marketing practices. For example, under the GDPR we may be subject to fines of up to €20 million / £17.5 million or up to 4% of the total worldwide annual group turnover of the preceding financial year (whichever is higher) for major violations.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reputational harm and a potential loss of business.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also subject to European Union rules with respect to cross-border transfers of personal data out of the EEA and the U.K.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In March 2022, the US and EU announced the EU-U.S. DPF after determining that the additional safeguards included in Executive Order 14086 signed by former President Biden on October 7, 2022, provide an adequate level of protection for personal data transferred from the European Union. The adequacy decision allows the EU-U.S. DPF to facilitate the transfer of data from Europe to the United States. We currently rely on the SCCs to transfer personal data outside the EEA and the U.K., including to the U.S. As supervisory authorities issue further guidance on personal data export mechanisms, we could suffer additional costs, complaints and/or regulatory investigations or fines.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the exit of the U.K. from the EU, often referred to as Brexit, created uncertainty with regard to data protection regulation in the U.K.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European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we are subject to evolving data privacy and security laws, rules and regulations in the PRC, particularly the Personal Information Protection Law (PIPL), Cybersecurity Law (CSL) and Data Security Law (DSL), along with their implementing regulations and standards. Consent from the data subject is required for any collection or processing of personal data, unless one of a limited number of exemptions applies. Notably, the PIPL, similar to the EU GDPR, applies extraterritorially in certain circumstances.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PIPL, CSL and DSL also specify rules for transferring personal information and the sui-generis category of ‘important data’ out of the PRC. Compliance with security assessments, obtaining certifications of group privacy standards by designated agencies, or entering into standard contracts (in approved form) with overseas recipients (to be filed with a PRC government agency) are among the requirements for transfer of personal data. All businesses in China additionally require government approval to transfer any amount of ‘important data’ generated within the PRC overseas. (‘Important data’ is a special category of data regulated under the DSL that has a national security, economic security or public interest dimension to it, but which has yet to be extensively classified, leading to significant uncertainty as to the scope of application of this rule at the present time.) Chinese law also imposes restrictions on the disclosure of data to foreign judicial and law enforcement bodies, and the extent and modalities of the application of this rule remain highly uncertain.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to the CSL, the DSL and the PIPL, the relevant government authorities of the PRC have promulgated various regulations, draft regulations, guidelines and standards at both the national and provincial levels that are designed to provide further implemental guidance in accordance with the laws mentioned above. These laws and regulations continue to evolve, with an unpredictable impact on our operations in the PRC and related compliance costs. In addition, these laws and regulations are drafted broadly and thus leave significant discretion to the relevant PRC authorities, increasing the uncertainty about how they will be interpreted and enforced in practice.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Although we make reasonable efforts to comply with all applicable data protection laws and regulations, our interpretations and such measures have been or may prove to be insufficient or incorrect. The effects of any applicable state,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and cause reputational harm. In addition to government regulation, privacy advocates and industry groups may propose new and different self-regulatory standards. Because the interpretation and application of privacy and data protection laws continue to evolve, it is possible that these laws may be interpreted and applied in a manner that are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and increased exposure to the risk of litigation or the imposition of consent orders, resolution agreements, requirements to take particular actions with respect to training, policies or other activities, and civil and criminal penalties, including fines, which could harm our business. In addition, we or our third-party service providers could be required to fundamentally change our business activities and practices or modify our products and services, which could harm our business. Any of the foregoing could result in additional cost and liability to us, damage our reputation, inhibit sales, and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Legal, Regulatory, Accounting and Tax Matters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failure to comply with the large body of laws and regulations to which we are subject could materially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certain jurisdictions, regulatory requirements in one or more of these areas may be more stringent than in the United States.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failure to comply with the Foreign Corrupt Practices Act, other applicable anti-corruption and anti-bribery laws, and applicable anti-money laundering laws could subject us to penalties and other adverse consequences.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subject to government regulations, including import, export and economic sanctions laws and artificial intelligence regulations that may expose us to liability and increase our costs.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will lose sales if we are unable to obtain government authorization to export certain of our products and services, and we will be subject to legal and regulatory consequences if we do not comply with applicable export control laws and regulations or if such laws and regulations were to change.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BIS,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in October 2022, October 2023 and April 2024, BIS modified certain of its regulations affecting the export of semiconductor products and equipment, with particular focus on export to China. In December 2024, BIS further expanded export controls on certain advanced semiconductors that can be used in advanced weapon systems and in AI and advanced computing products. We must continue to comply with such regulations and take additional review and precautions as required when such export regulations are updated or changed by the U.S. federal government.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derive revenue from products that are not subject to the EAR from parties that are subject to the Entity List of the EAR (a list of entities to which the transfer of EAR-controlled technology or software requires a U.S. export license). Current and future business with these entities may be limited in scope or suspended entirely if regulations pertaining to such non-EAR products change, and our revenue could be adversely impacted. Regulatory changes concerning the export classification of our products, changes to the applicability of the EAR to certain product offerings, or the addition of new entities to the Entity List or other restricted party lists can further increase the scope of export restrictions applicable to our business. Failure to obtain export licenses for our products or having one or more of our customers be restricted from receiving exports from us could significantly reduce our revenue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U.S. federal government has increased its Entity List materially and expanded its regulatory scope with respect to semiconductors in recent years, which affects the range and number of customers, including Chinese customers available to license our products and technology. This raises an additional risk that China and/or other jurisdictions may enact retaliatory legislation or regulations that may raise similar adverse risks. As reflected in other Risk Factors, such risks may increase if additional Chinese entities are placed on the Entity List due, among other things, to their business with Russia in light of China’s stance and actions taken relating to Russia-Ukraine tensions and hostilities.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July 2021, we submitted a voluntary self-disclosure (VSD) to BIS, noting potential violations of the EAR. On April 28, 2022, the Office of Export Enforcement of BIS closed the matter with the issuance of a warning letter. In our VSD submission, we had identified discrete transactions with two customers, Bada and HiSilicon. We do not provide either customer with products or ongoing support. We have taken and continue to take remedial measures to help prevent similar situations from occurring in the future.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face risks associated with doing business in China.</w:t>
      </w:r>
    </w:p>
    <w:p>
      <w:pPr>
        <w:pStyle w:val="TextBody"/>
        <w:bidi w:val="0"/>
        <w:spacing w:lineRule="auto" w:line="288" w:before="180" w:after="283"/>
        <w:jc w:val="both"/>
        <w:rPr/>
      </w:pPr>
      <w:r>
        <w:rPr>
          <w:rFonts w:ascii="Arial;sans-serif" w:hAnsi="Arial;sans-serif"/>
          <w:b w:val="false"/>
          <w:color w:val="000000"/>
          <w:sz w:val="19"/>
          <w:shd w:fill="FFFFFF" w:val="clear"/>
        </w:rPr>
        <w:t xml:space="preserve">For the </w:t>
      </w:r>
      <w:r>
        <w:rPr>
          <w:rFonts w:ascii="Arial;sans-serif" w:hAnsi="Arial;sans-serif"/>
          <w:b w:val="false"/>
          <w:color w:val="000000"/>
          <w:sz w:val="19"/>
        </w:rPr>
        <w:t>three months ended March 31, 2025</w:t>
      </w:r>
      <w:r>
        <w:rPr>
          <w:rFonts w:ascii="Arial;sans-serif" w:hAnsi="Arial;sans-serif"/>
          <w:b w:val="false"/>
          <w:color w:val="000000"/>
          <w:sz w:val="19"/>
          <w:shd w:fill="FFFFFF" w:val="clear"/>
        </w:rPr>
        <w:t xml:space="preserve">, we derived </w:t>
      </w:r>
      <w:r>
        <w:rPr>
          <w:rFonts w:ascii="Arial;sans-serif" w:hAnsi="Arial;sans-serif"/>
          <w:b w:val="false"/>
          <w:color w:val="000000"/>
          <w:sz w:val="19"/>
        </w:rPr>
        <w:t>25.1%</w:t>
      </w:r>
      <w:r>
        <w:rPr>
          <w:color w:val="000000"/>
          <w:shd w:fill="FFFFFF" w:val="clear"/>
        </w:rPr>
        <w:t xml:space="preserve"> </w:t>
      </w:r>
      <w:r>
        <w:rPr>
          <w:rFonts w:ascii="Arial;sans-serif" w:hAnsi="Arial;sans-serif"/>
          <w:b w:val="false"/>
          <w:color w:val="000000"/>
          <w:sz w:val="19"/>
          <w:shd w:fill="FFFFFF" w:val="clear"/>
        </w:rPr>
        <w:t xml:space="preserve">of our revenue from customers located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or license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We have observed sustained reports of intellectual property theft and misappropriation in China.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of the other risks related to doing business in China include: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Chinese government exerts substantial influence over the manner in which we must conduct our business activities.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Restrictions on currency exchange may limit our ability to receive, transfer and use our cash effectively.</w:t>
      </w:r>
    </w:p>
    <w:p>
      <w:pPr>
        <w:pStyle w:val="TextBody"/>
        <w:bidi w:val="0"/>
        <w:spacing w:lineRule="auto" w:line="268" w:before="180" w:after="283"/>
        <w:ind w:left="0" w:right="0" w:hanging="360"/>
        <w:jc w:val="both"/>
        <w:rPr/>
      </w:pPr>
      <w:r>
        <w:rPr>
          <w:color w:val="000000"/>
          <w:shd w:fill="FFFFFF" w:val="clear"/>
        </w:rPr>
        <w:t>■</w:t>
      </w:r>
      <w:r>
        <w:rPr>
          <w:rFonts w:ascii="Arial;sans-serif" w:hAnsi="Arial;sans-serif"/>
          <w:b w:val="false"/>
          <w:color w:val="000000"/>
          <w:sz w:val="19"/>
        </w:rPr>
        <w:t xml:space="preserve">Increased uncertainties related to the protection and enforcement of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 xml:space="preserve">rights, including risk of theft or misappropriation of our products and intellectual property in China, as well as any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rights that we may license to a Chinese (or other emerging jurisdiction) entity, including any joint ventures we may form.</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uncertainties relating to Chinese regulation of exports of products and technology to and from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and rapidly changing export and related trade regulations including tariffs and restrictions imposed by U.S. and Chinese legislation, executive actions and regulations.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Chinese government may favor its local businesses and make it more difficult for foreign businesses to operate in China on an equal footing or create generally difficult conditions for foreign headquartered businesses to operate.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uncertainties related to the enforcement of contracts with certain parties.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More restrictive rules on foreign investment could adversely affect our ability to expand our operations in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Geopolitical tensions may lead to increased export sanctions against China and/or Chinese entities or U.S. companies operating in China or selling products or services into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Geopolitical changes in China-Taiwan relations could disrupt our operations in China and Taiwan and the operations of companies in China and Taiwan that are our customers, each of </w:t>
      </w:r>
      <w:r>
        <w:rPr>
          <w:rFonts w:ascii="Arial;sans-serif" w:hAnsi="Arial;sans-serif"/>
          <w:b w:val="false"/>
          <w:color w:val="000000"/>
          <w:sz w:val="19"/>
          <w:shd w:fill="FFFFFF" w:val="clear"/>
        </w:rPr>
        <w:t>which could materially and adversely affect our business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rPr>
        <w:t xml:space="preserve">Political instability, changes in government, elections, or destabilizing political developments in or around the major countries and jurisdictions in which we do business have created challenges and an adverse business environment which in turn has impacted our business and financial condition. Worldwide and regional geopolitical tensions and conflicts, including but not limited to China, Hong Kong, Israel, Korea and Taiwan where our customers are located, have resulted in changing regulatory requirements or other disruptions that have and could continue to impact our international operations and operating strategies, global product demand and sales, access to global markets, hiring, and profitability. If a disaster, war or catastrophic event affects our ability to work with customers in any of these countries, including China, our business could be harmed by a decline in sales, increased contract expense, and substantial time spent on alternative demand generation. </w:t>
      </w:r>
      <w:r>
        <w:rPr>
          <w:rFonts w:ascii="Arial;sans-serif" w:hAnsi="Arial;sans-serif"/>
          <w:b w:val="false"/>
          <w:color w:val="000000"/>
          <w:sz w:val="19"/>
          <w:shd w:fill="FFFFFF" w:val="clear"/>
        </w:rPr>
        <w:t>As a result of our growing operations in China, these risks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Further, on June 3, 2021, former President Biden issued Executive Order 14032 (Addressing the Threat from Securities Investments that Finance Certain Companies of the People’s Republic of China) targeting entities that are deemed part of the Chinese military-industrial complex.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Additionally, on October 7, 2022, BIS issued export controls related to the Chinese semiconductor manufacturing, advanced computing, and supercomputer industries. These export controls impose broad end-use and other restrictions on facilities in China that develop or produce semiconductor chips or manufacturing equipment and may impact our ability to license or support our products to entities in or doing business with certain advanced AI or “supercomputer” design companies, foundries and manufacturers of assemblies and components in China. On October 17, 2023, BIS issued regulations amending the October 7, 2022, export controls governing the export of certain semiconductor-related hardware and software to China. On December 2, 2024, BIS further expanded export controls on certain advanced semiconductors that can be used in advanced weapon systems and in AI and advanced computing products. These restrictions and any subsequent restrictions, may have an adverse effect on our business, results of operations, or financial condition and we may no longer be able to license or support our products to certain companies in China. Furthermore, increased restrictions on China exports may lead to regulatory retaliation by the Chinese government and possibly further escalate geopolitical tensions, and any such scenarios may adversely impact our business. It is difficult to predict what further trade-related actions governments may take, whether the new U.S. presidential administration may impact such tensions, the extent to which we may be able to mitigate the effects of any trade-related actions, and the longer-term implications of trade-related actions on the market opportunities for us. The prospect of future export controls that are implemented in a similar manner may continue to have an ongoing impact on our business, results of operation, or financial conditions.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have been additional regulatory mandates from the U.S. government that affect our current and future sales and operations in China. Beginning on January 2, 2025, the U.S. Department of the Treasury’s Outbound Investment Security Program went into effect. Codified at 31 C.F.R. § 850.101 et seq, the Outbound Investment Security Program prohibits or requires notification of certain types of outbound investments by U.S. persons into certain entities located in or subject to the jurisdiction of China, Hong Kong, and Macau (as well as certain entities subject to Chinese ownership or control) that are engaged in the development of certain national security technologies and products (presently, certain semiconductors and microelectronics, quantum information technologies, and artificial intelligence technologies), as well as any other countries that are or may be designated under the program’s regulations. As a result of the foregoing, we and our applicable subsidiaries may need to take appropriate steps to comply with these regulations and the cost of doing so, as well as any failure to comply, could have an adverse impact on our business, results of operation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anticipate conducting certain of our operations through joint venture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 There can be no assurance that the U.S. government will refrain from imposing additional restrictions or constraints on dealings or investments in China, including our investment in Transchip or any future joint venture arrangements.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Joint ventures or similar investments are subject to a number of risks, the occurrence of which could adversely impact any of our current or future joint ventures or similar investments, which in turn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Joint ventures or similar investments such as the investment in Transchip as discussed elsewhere in this report, and other joint ventures or similar investments we may form in the future are subject to a number of risks, including but not limited 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not commit sufficient resources to market and distribute our products or to otherwise support the joint venture and its intended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have economic or business interests or goals that are different from ours.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infringe the IP we assign or license to such joint venture, or the IP of other parties, which may be adverse to us, expose us to litigation and other potential liabilities.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Disputes may arise among us and our joint venture or investment partners that result in adverse business conditions, delays or termination of activities contemplated by such joint venture or investment or that could result in costly litigation or arbitration that diverts management attention and resources.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have and may in the future not provide us with timely and accurate information regarding the status, compliance or activities of the joint venture or investment which could, among other things, impact our ability to accurately forecast financial results, provide timely information to our shareholders and could create a potential risk of us having to restate our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Risks associated with the ability to generate sufficient revenue and or investment to continue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Any of the risks related to doing business in China or having a Chinese joint venture or investment that are discussed elsewhere in these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occurrence of one or more of the above risks, or any other negative events, could adversely impact our joint ventures or similar investments including our investment in Transchip and we may be required to incur impairment charges.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Social and environmental responsibility regulations, policies and provisions, as well as customer and investor demands, may make our supply chain more complex and may adversely affect our relationships with customers, investors and government regulators.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is an increased focus on corporate social and environmental responsibility in the semiconductor industry.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An increasing number of investors are also requiring companies to disclose corporate social and environmental policies, practices and metrics. Legal and regulatory requirements, as well as investor expectations, on corporate social responsibility practices and disclosure, are subject to change, can be unpredictable, and may be difficult and expensive for us to comply with, given the complexity of our supply. For example, the current U.S. presidential administration has a different view and approach to many social and environmental policies as compared to prior administrations and may result in us having to adopt positions that may be at odds with those of our customers and investors. If we are unable to comply, or are unable to cause our suppliers to comply, with such policies or provisions or meet the requirements of our customers and our investors, a customer may stop purchasing products from us or an investor may sell their shares, and may take legal action against us, which could harm our reputation, revenue and results of operations.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could be subject to changes in tax rates or the adoption of new tax legislation, whether in or out of the United States, or could otherwise have exposure to additional tax liabilities, which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use net operating losses to offset future taxable income may be subject to certain limitations.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requirements of being a public company require significant resources and management attention and affect our ability to attract and retain executive management and qualified board members.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prior to our initial public offering, we were not required to comply with SEC requirements to have our financial statements completed and reviewed or audited within a specified time and, as such, we may experience difficulty in meeting the applicable reporting requirements under the Exchange Act. Any failure by us to file our periodic reports with the SEC in a timely manner could harm our reputation and reduce the trading price of our 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the courts,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As a public company, we are required to provide an annual management report on the effectiveness of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an “emerging growth company,” and we cannot be certain if the reduced disclosure requirements applicable to emerging growth companies will make our common stock less attractive to investors.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an “emerging growth company,” as defined in the JOBS Act, and we could remain an emerging growth company until the last day of our fiscal year following the fifth anniversary of the closing of our initial public offering.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not being required to engage an auditor to report on our internal controls over financial reporting pursuant to Section 404(b) of the Sarbanes-Oxley Act;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submit certain executive compensation matters to stockholder advisory votes, such as “say-on-pay,” “say-on-frequency,” and “say-on-golden-parachutes”;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disclose certain executive compensation related items such as the correlation between executive compensation and performance and comparisons of the chief executive officer’s compensation to median employee compensation.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is $1.235 billion or more; (ii) the date on which we have, during the previous three-year period, issued more than $1.0 billion in non-convertible debt securities; and (iii) the date that we become a “large accelerated filer” as defined in Rule 12b-2 under the Exchange Act, which will occur as of the end of any fiscal year in which (x) the market value of our common equity held by non-affiliates is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Ownership of Our Common Stock</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An active and liquid trading market for our common stock may not be sustained.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stock price may be volatile, and investors in our common stock may not be able to resell shares of our common stock at or above the price paid,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trading price of our common stock could be volatile and subject to wide fluctuations in response to various factors, many of which are beyond our control, including, but not limited to:</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variations in our actual or anticipated annual or quarterly operating results or those of others in our industry;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potential effects arising if U.S. inflationary, tariffs and other trade and/or currency devaluation trends continue or increase;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results of operations that otherwise fail to meet the expectations of securities analysts and investors;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changes in earnings estimates or recommendations by securities analysts, or other changes in investor perceptions of the investment opportunity associated with our common stock relative to other investment alternatives;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market conditions in the semiconductor industry;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market volatility caused by the rapidly evolving AI-related developments;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failure to meet our publicly announced guidance or other expectations about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publications, reports or other media exposure of our products or those of others in our industry, or of our industry generally;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additions or departures of key management personnel;</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regulatory actions involving us or others in our industry, or actual or anticipated changes in applicable government regulations or enforcement thereof;</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development and sustainability of an active trading market for our common stock;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sales, or anticipated sales, of large blocks of our common stock, such as any sales that may occur following the expiration of the lockups entered into in connection with our initial public offering or any sales to cover tax obligations or exercise costs in connection with the vesting of restricted stock units or the exercise of options, respectively;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general economic and securities market conditions, including rising interest rates;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other factors discussed in this “Risk Factors” section and elsewhere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Since our stock price may be volatile, investors in our common stock may not be able to resell shares of our common stock at or above the price paid, or at all.</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fail to meet our publicly announced guidance or other expectations about our business, which could cause our stock price to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provide guidance regarding our expected financial and business performance including our anticipated future revenues, operating expenses and other financial metrics. Correctly identifying the key factors affecting business conditions and predicting future events is inherently uncertain. Any guidance that we provide may not always be accurate or may vary from actual results due to our inability to correctly identify risks and uncertainties and to quantify their impact on our financial performance. We provide no assurances that such guidance will ultimately be accurate, and any such guidance should be treated with appropriate caution. If we fail to meet our guidance or if we find it necessary to revise such guidance, even if seemingly insignificant, investors and analysts may lose confidence in us and the market value of our common stock could be materially adversely affected.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equity research analysts or industry analysts do not publish research or reports about our business, or if they change their recommendations regarding our stock adversely, our stock price and trading volume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Sales of a substantial number of shares of our common stock in the public market could cause our stock price to fall.</w:t>
      </w:r>
    </w:p>
    <w:p>
      <w:pPr>
        <w:pStyle w:val="TextBody"/>
        <w:bidi w:val="0"/>
        <w:spacing w:lineRule="auto" w:line="288" w:before="180" w:after="283"/>
        <w:jc w:val="both"/>
        <w:rPr/>
      </w:pPr>
      <w:r>
        <w:rPr>
          <w:rFonts w:ascii="Arial;sans-serif" w:hAnsi="Arial;sans-serif"/>
          <w:b w:val="false"/>
          <w:color w:val="000000"/>
          <w:sz w:val="19"/>
          <w:shd w:fill="FFFFFF" w:val="clear"/>
        </w:rPr>
        <w:t xml:space="preserve">If our existing stockholders, including current or former employees sell, or indicate an intention to sell, substantial amounts of our common stock in the public market, the market price of our common stock could decline. As of </w:t>
      </w:r>
      <w:r>
        <w:rPr>
          <w:rFonts w:ascii="Arial;sans-serif" w:hAnsi="Arial;sans-serif"/>
          <w:b w:val="false"/>
          <w:color w:val="000000"/>
          <w:sz w:val="20"/>
        </w:rPr>
        <w:t>March 31, 2025</w:t>
      </w:r>
      <w:r>
        <w:rPr>
          <w:rFonts w:ascii="Arial;sans-serif" w:hAnsi="Arial;sans-serif"/>
          <w:b w:val="false"/>
          <w:color w:val="000000"/>
          <w:sz w:val="19"/>
          <w:shd w:fill="FFFFFF" w:val="clear"/>
        </w:rPr>
        <w:t xml:space="preserve">, we had approximately </w:t>
      </w:r>
      <w:r>
        <w:rPr>
          <w:rFonts w:ascii="Arial;sans-serif" w:hAnsi="Arial;sans-serif"/>
          <w:b w:val="false"/>
          <w:color w:val="000000"/>
          <w:sz w:val="19"/>
        </w:rPr>
        <w:t xml:space="preserve">41.4 million </w:t>
      </w:r>
      <w:r>
        <w:rPr>
          <w:rFonts w:ascii="Arial;sans-serif" w:hAnsi="Arial;sans-serif"/>
          <w:b w:val="false"/>
          <w:color w:val="000000"/>
          <w:sz w:val="19"/>
          <w:shd w:fill="FFFFFF" w:val="clear"/>
        </w:rPr>
        <w:t>shares of common stock outstanding.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Shares of common stock that are either subject to outstanding options or reserved for future issuance pursuant to restricted stock unit grants, in each case,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certain of our executive officers, directors and stockholders affiliated with our directors have entered or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executive officers, directors and stockholders affiliated with our directors may also buy or sell additional shares outside of a Rule 10b5-1 plan when they are not in possession of material, nonpublic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K. Charles Janac, our President, Chief Executive Officer and Chairman, beneficially owns a significant percentage of our stock and will be able to exert significant control over matters subject to stockholder approval.</w:t>
      </w:r>
    </w:p>
    <w:p>
      <w:pPr>
        <w:pStyle w:val="TextBody"/>
        <w:bidi w:val="0"/>
        <w:spacing w:lineRule="auto" w:line="288" w:before="180" w:after="283"/>
        <w:jc w:val="both"/>
        <w:rPr/>
      </w:pPr>
      <w:r>
        <w:rPr>
          <w:rFonts w:ascii="Arial;sans-serif" w:hAnsi="Arial;sans-serif"/>
          <w:b w:val="false"/>
          <w:color w:val="000000"/>
          <w:sz w:val="19"/>
          <w:shd w:fill="FFFFFF" w:val="clear"/>
        </w:rPr>
        <w:t xml:space="preserve">As of </w:t>
      </w:r>
      <w:r>
        <w:rPr>
          <w:rFonts w:ascii="Arial;sans-serif" w:hAnsi="Arial;sans-serif"/>
          <w:b w:val="false"/>
          <w:color w:val="000000"/>
          <w:sz w:val="19"/>
        </w:rPr>
        <w:t>March 31, 2025</w:t>
      </w:r>
      <w:r>
        <w:rPr>
          <w:rFonts w:ascii="Arial;sans-serif" w:hAnsi="Arial;sans-serif"/>
          <w:b w:val="false"/>
          <w:color w:val="000000"/>
          <w:sz w:val="19"/>
          <w:shd w:fill="FFFFFF" w:val="clear"/>
        </w:rPr>
        <w:t>, K. Charles Janac, our President, Chief Executive Officer and Chairman, held voting power over approximately 24.4</w:t>
      </w:r>
      <w:r>
        <w:rPr>
          <w:rFonts w:ascii="Arial;sans-serif" w:hAnsi="Arial;sans-serif"/>
          <w:b w:val="false"/>
          <w:color w:val="000000"/>
          <w:sz w:val="19"/>
        </w:rPr>
        <w:t>%</w:t>
      </w:r>
      <w:r>
        <w:rPr>
          <w:color w:val="000000"/>
          <w:shd w:fill="FFFFFF" w:val="clear"/>
        </w:rPr>
        <w:t xml:space="preserve"> </w:t>
      </w:r>
      <w:r>
        <w:rPr>
          <w:rFonts w:ascii="Arial;sans-serif" w:hAnsi="Arial;sans-serif"/>
          <w:b w:val="false"/>
          <w:color w:val="000000"/>
          <w:sz w:val="19"/>
          <w:shd w:fill="FFFFFF" w:val="clear"/>
        </w:rPr>
        <w:t>of our outstanding voting stock. Therefore, this stockholder will have the ability to influence us through this ownership position. For example, this stockholder may be able to exercise significant influence over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issuance of additional capital stock in connection with financings, acquisitions, investments, our stock incentive plans or otherwise could dilute the ownership and voting power of our other stockholders.</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have 300,000,000 shares of common stock authorized as of </w:t>
      </w:r>
      <w:r>
        <w:rPr>
          <w:rFonts w:ascii="Arial;sans-serif" w:hAnsi="Arial;sans-serif"/>
          <w:b w:val="false"/>
          <w:color w:val="000000"/>
          <w:sz w:val="19"/>
        </w:rPr>
        <w:t>March 31, 2025</w:t>
      </w:r>
      <w:r>
        <w:rPr>
          <w:rFonts w:ascii="Arial;sans-serif" w:hAnsi="Arial;sans-serif"/>
          <w:b w:val="false"/>
          <w:color w:val="000000"/>
          <w:sz w:val="19"/>
          <w:shd w:fill="FFFFFF" w:val="clear"/>
        </w:rPr>
        <w:t>.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Any issuance of such securities could result in substantial dilution to our existing stockholders and cause the market price of shares of our common stock to decline.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do not expect to declare or pay any dividends on our common stock for the foreseeable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 in our Annual Report on Form 10-K for the year ended December 31, 2024 for additional information.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Management may apply our net proceeds from our initial public offering to uses that do not increase our market value or improve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management has broad discretion in the application of the net proceeds from our initial public offering and could use these proceeds in ways that do not improve our results of operations or enhance the value of our common stock. We intend to use these proceeds for general corporate purposes. We may also use a portion of our net proceeds to acquire or invest in complementary businesses, products, services or technologies, though we do not have any agreements or commitments for any significant acquisitions or investments at this time. We have not reserved or allocated our net proceeds for any specific purpose, and we cannot state with certainty how our management will use our net proceeds. Accordingly, our management will have considerable discretion in applying our net proceeds, and you will not have the opportunity, as part of your investment decision, to assess whether we are using our net proceeds appropriately. We may use our net proceeds for purposes that do not result in any improvement in our results of operations or increase the market value of our common stock. The failure by our management to apply the net proceeds from our initial public offering effectively could impair our growth prospects and result in financial losses that could harm our business and cause the price of our common stock to decline. Until the net proceeds we receive are used, they may be placed in investments that do not produce income or that lose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i/>
          <w:color w:val="000000"/>
          <w:sz w:val="19"/>
          <w:shd w:fill="FFFFFF" w:val="clear"/>
        </w:rPr>
        <w:t>Provisions</w:t>
      </w:r>
      <w:r>
        <w:rPr>
          <w:color w:val="000000"/>
        </w:rPr>
        <w:t xml:space="preserve"> </w:t>
      </w:r>
      <w:r>
        <w:rPr>
          <w:rFonts w:ascii="Arial;sans-serif" w:hAnsi="Arial;sans-serif"/>
          <w:b/>
          <w:i/>
          <w:color w:val="000000"/>
          <w:sz w:val="19"/>
        </w:rPr>
        <w:t>in our Certificate of Incorporation and Bylaws and under the DGCL contain antitakeover provisions that could prevent or discourage a takeover</w:t>
      </w:r>
      <w:r>
        <w:rPr>
          <w:rFonts w:ascii="Arial;sans-serif" w:hAnsi="Arial;sans-serif"/>
          <w:b w:val="false"/>
          <w:color w:val="000000"/>
          <w:sz w:val="19"/>
        </w:rPr>
        <w: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classified board of directors with three-year staggered terms, which may have the effect of deferring, delaying or discouraging hostile takeovers, or changes in control of us or our management;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 cumulative voting in the election of directors, which limits the ability of minority stockholders to elect director candidates;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ability of our board of directors to alter our bylaws without obtaining stockholder approval;</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prohibition on stockholder action by written consent, which forces stockholder action to be taken at an annual or special meeting of our stockholders;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shd w:fill="FFFFFF" w:val="clear"/>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w:t>
      </w:r>
      <w:r>
        <w:rPr>
          <w:color w:val="000000"/>
        </w:rPr>
        <w:t xml:space="preserve"> </w:t>
      </w:r>
      <w:r>
        <w:rPr>
          <w:rFonts w:ascii="Arial;sans-serif" w:hAnsi="Arial;sans-serif"/>
          <w:b w:val="false"/>
          <w:color w:val="000000"/>
          <w:sz w:val="19"/>
        </w:rPr>
        <w:t>purchasing or otherwise acquiring any interest in shares of our capital stock shall be deemed to have notice of and to have consented to the provisions of our Certificate of Incorporation described above.</w:t>
      </w:r>
    </w:p>
    <w:p>
      <w:pPr>
        <w:pStyle w:val="TextBody"/>
        <w:bidi w:val="0"/>
        <w:spacing w:lineRule="auto" w:line="288" w:before="180" w:after="283"/>
        <w:jc w:val="both"/>
        <w:rPr/>
      </w:pPr>
      <w:r>
        <w:rPr>
          <w:rFonts w:ascii="Arial;sans-serif" w:hAnsi="Arial;sans-serif"/>
          <w:b w:val="false"/>
          <w:color w:val="000000"/>
          <w:sz w:val="19"/>
          <w:shd w:fill="FFFFFF" w:val="clear"/>
        </w:rPr>
        <w:t>We</w:t>
      </w:r>
      <w:r>
        <w:rPr>
          <w:color w:val="000000"/>
        </w:rPr>
        <w:t xml:space="preserve"> </w:t>
      </w:r>
      <w:r>
        <w:rPr>
          <w:rFonts w:ascii="Arial;sans-serif" w:hAnsi="Arial;sans-serif"/>
          <w:b w:val="false"/>
          <w:color w:val="000000"/>
          <w:sz w:val="19"/>
        </w:rPr>
        <w:t>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General Risk Factors</w:t>
      </w:r>
    </w:p>
    <w:p>
      <w:pPr>
        <w:pStyle w:val="TextBody"/>
        <w:bidi w:val="0"/>
        <w:spacing w:lineRule="auto" w:line="288" w:before="180" w:after="283"/>
        <w:jc w:val="both"/>
        <w:rPr/>
      </w:pPr>
      <w:r>
        <w:rPr>
          <w:rFonts w:ascii="Arial;sans-serif" w:hAnsi="Arial;sans-serif"/>
          <w:b/>
          <w:i/>
          <w:color w:val="000000"/>
          <w:sz w:val="19"/>
          <w:shd w:fill="FFFFFF" w:val="clear"/>
        </w:rPr>
        <w:t>Actions</w:t>
      </w:r>
      <w:r>
        <w:rPr>
          <w:color w:val="000000"/>
        </w:rPr>
        <w:t xml:space="preserve"> </w:t>
      </w:r>
      <w:r>
        <w:rPr>
          <w:rFonts w:ascii="Arial;sans-serif" w:hAnsi="Arial;sans-serif"/>
          <w:b/>
          <w:i/>
          <w:color w:val="000000"/>
          <w:sz w:val="19"/>
        </w:rPr>
        <w:t>of stockholders could cause us to incur substantial costs, divert management’s attention and resources and have an adverse effect on our business</w:t>
      </w:r>
      <w:r>
        <w:rPr>
          <w:rFonts w:ascii="Arial;sans-serif" w:hAnsi="Arial;sans-serif"/>
          <w:b w:val="false"/>
          <w:color w:val="000000"/>
          <w:sz w:val="19"/>
        </w:rPr>
        <w:t>.</w:t>
      </w:r>
    </w:p>
    <w:p>
      <w:pPr>
        <w:pStyle w:val="TextBody"/>
        <w:bidi w:val="0"/>
        <w:spacing w:lineRule="auto" w:line="288" w:before="180" w:after="283"/>
        <w:jc w:val="both"/>
        <w:rPr/>
      </w:pPr>
      <w:r>
        <w:rPr>
          <w:rFonts w:ascii="Arial;sans-serif" w:hAnsi="Arial;sans-serif"/>
          <w:b w:val="false"/>
          <w:color w:val="000000"/>
          <w:sz w:val="19"/>
          <w:shd w:fill="FFFFFF" w:val="clear"/>
        </w:rPr>
        <w:t>As</w:t>
      </w:r>
      <w:r>
        <w:rPr>
          <w:color w:val="000000"/>
        </w:rPr>
        <w:t xml:space="preserve"> </w:t>
      </w:r>
      <w:r>
        <w:rPr>
          <w:rFonts w:ascii="Arial;sans-serif" w:hAnsi="Arial;sans-serif"/>
          <w:b w:val="false"/>
          <w:color w:val="000000"/>
          <w:sz w:val="19"/>
        </w:rPr>
        <w:t>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pStyle w:val="TextBody"/>
        <w:bidi w:val="0"/>
        <w:spacing w:lineRule="auto" w:line="288" w:before="180" w:after="283"/>
        <w:jc w:val="both"/>
        <w:rPr/>
      </w:pPr>
      <w:r>
        <w:rPr>
          <w:rFonts w:ascii="Arial;sans-serif" w:hAnsi="Arial;sans-serif"/>
          <w:b/>
          <w:i/>
          <w:color w:val="000000"/>
          <w:sz w:val="19"/>
          <w:shd w:fill="FFFFFF" w:val="clear"/>
        </w:rPr>
        <w:t>Litigation</w:t>
      </w:r>
      <w:r>
        <w:rPr>
          <w:rFonts w:ascii="Arial;sans-serif" w:hAnsi="Arial;sans-serif"/>
          <w:b/>
          <w:i/>
          <w:color w:val="000000"/>
          <w:sz w:val="19"/>
        </w:rPr>
        <w:t>, including securities class action litigation, may impair our reputation and lead us to incur significant costs. For example, we are currently involved in ongoing litigation related to patent infringement claims.</w:t>
      </w:r>
    </w:p>
    <w:p>
      <w:pPr>
        <w:pStyle w:val="TextBody"/>
        <w:bidi w:val="0"/>
        <w:spacing w:lineRule="auto" w:line="288" w:before="180" w:after="283"/>
        <w:jc w:val="both"/>
        <w:rPr/>
      </w:pPr>
      <w:r>
        <w:rPr>
          <w:rFonts w:ascii="Arial;sans-serif" w:hAnsi="Arial;sans-serif"/>
          <w:b w:val="false"/>
          <w:color w:val="000000"/>
          <w:sz w:val="19"/>
          <w:shd w:fill="FFFFFF" w:val="clear"/>
        </w:rPr>
        <w:t>From</w:t>
      </w:r>
      <w:r>
        <w:rPr>
          <w:color w:val="000000"/>
        </w:rPr>
        <w:t xml:space="preserve"> </w:t>
      </w:r>
      <w:r>
        <w:rPr>
          <w:rFonts w:ascii="Arial;sans-serif" w:hAnsi="Arial;sans-serif"/>
          <w:b w:val="false"/>
          <w:color w:val="000000"/>
          <w:sz w:val="19"/>
        </w:rPr>
        <w:t>time to time, we may be party to various lawsuits and claims arising in the normal course of business, which may include lawsuits or claims relating to contracts, third-party contractors, intellectual property rights, employment matters or other aspects of our business. We may face claims based on intellectual property rights from individuals, companies, non-practicing entities, academic and research institutions, and other parties, including claims from multiple sources against us and other companies. Claims that our products infringe the intellectual property rights of others, regardless of merit, may cause us to incur large costs to respond to, defend and resolve the claims, and they may divert the efforts and attention of our management and technical personnel from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pStyle w:val="TextBody"/>
        <w:bidi w:val="0"/>
        <w:spacing w:lineRule="auto" w:line="288" w:before="180" w:after="283"/>
        <w:jc w:val="both"/>
        <w:rPr/>
      </w:pPr>
      <w:r>
        <w:rPr>
          <w:rFonts w:ascii="Arial;sans-serif" w:hAnsi="Arial;sans-serif"/>
          <w:b w:val="false"/>
          <w:color w:val="000000"/>
          <w:sz w:val="19"/>
          <w:shd w:fill="FFFFFF" w:val="clear"/>
        </w:rPr>
        <w:t>Although</w:t>
      </w:r>
      <w:r>
        <w:rPr>
          <w:color w:val="000000"/>
        </w:rPr>
        <w:t xml:space="preserve"> </w:t>
      </w:r>
      <w:r>
        <w:rPr>
          <w:rFonts w:ascii="Arial;sans-serif" w:hAnsi="Arial;sans-serif"/>
          <w:b w:val="false"/>
          <w:color w:val="000000"/>
          <w:sz w:val="19"/>
        </w:rPr>
        <w:t>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(a) Sales of Unregistered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None.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(b) Use of Proceeds from Public Offering of Common Stock</w:t>
      </w:r>
    </w:p>
    <w:p>
      <w:pPr>
        <w:pStyle w:val="TextBody"/>
        <w:bidi w:val="0"/>
        <w:spacing w:lineRule="auto" w:line="288" w:before="180" w:after="283"/>
        <w:jc w:val="both"/>
        <w:rPr/>
      </w:pPr>
      <w:r>
        <w:rPr>
          <w:rFonts w:ascii="Arial;sans-serif" w:hAnsi="Arial;sans-serif"/>
          <w:b w:val="false"/>
          <w:color w:val="000000"/>
          <w:sz w:val="19"/>
        </w:rPr>
        <w:t xml:space="preserve">Our Registration Statement on Form S-1, as amended (File No. 333-259988) (the “Form S-1”), for our IPO was declared effective by the SEC on October 26, 2021. The Form S-1 registered the offering and sale of 5,750,000 shares of common stock. On October 29, 2021, we completed our IPO, in which we issued 5,750,000 shares of common stock at a price to the public of $14.00 per share, including 750,000 shares issued upon the full exercise of the underwriters’ option to purchase additional shares. We received net proceeds of approximately $71.1 million after deducting underwriting discounts and commissions and offering costs of approximately </w:t>
      </w:r>
      <w:r>
        <w:rPr>
          <w:rFonts w:ascii="Arial;sans-serif" w:hAnsi="Arial;sans-serif"/>
          <w:b w:val="false"/>
          <w:color w:val="000000"/>
          <w:sz w:val="19"/>
          <w:shd w:fill="FFFFFF" w:val="clear"/>
        </w:rPr>
        <w:t>$3.8 million</w:t>
      </w:r>
      <w:r>
        <w:rPr>
          <w:rFonts w:ascii="Arial;sans-serif" w:hAnsi="Arial;sans-serif"/>
          <w:b w:val="false"/>
          <w:color w:val="000000"/>
          <w:sz w:val="19"/>
        </w:rPr>
        <w:t>.</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Jefferies LLC and Cowen served as lead book-running managers and BMO Capital Markets served as joint book-running manager for the offering. Northland Capital Markets and Rosenblatt Securities acted as co-managers.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No payments were made to our directors or officers or their associates, holders of 10% or more of any class of our equity securities or any affiliates in connection with the issuance and sale of the securities registered.</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There has been no material change in the planned use of proceeds from our IPO as described in our Final Prospectus for the IPO dated as of October 26, 2021 and filed with the SEC pursuant to Rule 424(b)(4) on October 28,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3. Defaults Upon Senior Securities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4. Mine Safety Disclosures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5. Other Information</w:t>
      </w:r>
    </w:p>
    <w:p>
      <w:pPr>
        <w:pStyle w:val="TextBody"/>
        <w:bidi w:val="0"/>
        <w:spacing w:lineRule="auto" w:line="288" w:before="180" w:after="283"/>
        <w:jc w:val="both"/>
        <w:rPr>
          <w:rFonts w:ascii="Arial;sans-serif" w:hAnsi="Arial;sans-serif"/>
          <w:b/>
          <w:color w:val="000000"/>
          <w:sz w:val="19"/>
        </w:rPr>
      </w:pPr>
      <w:r>
        <w:rPr>
          <w:rFonts w:ascii="Arial;sans-serif" w:hAnsi="Arial;sans-serif"/>
          <w:b/>
          <w:color w:val="000000"/>
          <w:sz w:val="19"/>
        </w:rPr>
        <w:t>10b5-1 plans: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March 5, 2025, Charles Janac, Chief Executive Officer (CEO), adopted a Rule 10b5-1 trading arrangement that is intended to satisfy the affirmative defense of Rule 10b5-1(c) for the sale of up to 186,757 shares of the Company’s common stock until June 30, 2026.</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March 5, 2025, Charles Janac, CEO, as the manager of Bayview Legacy, LLC, adopted a Rule 10b5-1 trading arrangement of Bayview Legacy LLC that is intended to satisfy the affirmative defense of Rule 10b5-1(c) for the sale of up to 840,000 shares of the Company’s common stock until June 30, 2026.</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March 6, 2025, Paul Alpern, Vice President and General Counsel, adopted a Rule 10b5-1 trading arrangement that is intended to satisfy the affirmative defense of Rule 10b5-1(c) for the sale of up to 115,533 shares of the Company’s common stock until August 31, 2026.</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March 7, 2025, Raman Chitkara, Director, adopted a Rule 10b5-1 trading arrangement that is intended to satisfy the affirmative defense of Rule 10b5-1(c) for the sale of up to 15,000 shares of the Company’s common stock until June 30, 2026.</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March 12, 2025, Laurent Moll, Chief Operating Officer, adopted a Rule 10b5-1 trading arrangement that is intended to satisfy the affirmative defense of Rule 10b5-1(c) for the sale of up to 204,974 shares of the Company’s common stock until June 30, 2026.</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0"/>
        <w:gridCol w:w="246"/>
        <w:gridCol w:w="247"/>
        <w:gridCol w:w="2390"/>
        <w:gridCol w:w="2059"/>
        <w:gridCol w:w="2065"/>
        <w:gridCol w:w="182"/>
        <w:gridCol w:w="182"/>
        <w:gridCol w:w="183"/>
        <w:gridCol w:w="220"/>
        <w:gridCol w:w="220"/>
        <w:gridCol w:w="221"/>
        <w:gridCol w:w="237"/>
        <w:gridCol w:w="237"/>
        <w:gridCol w:w="238"/>
        <w:gridCol w:w="289"/>
        <w:gridCol w:w="289"/>
        <w:gridCol w:w="420"/>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No.</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 of Exhibit</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 Date</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 Herewith</w:t>
            </w:r>
          </w:p>
        </w:tc>
      </w:tr>
      <w:tr>
        <w:trPr/>
        <w:tc>
          <w:tcPr>
            <w:tcW w:w="773" w:type="dxa"/>
            <w:gridSpan w:val="3"/>
            <w:tcBorders/>
            <w:vAlign w:val="center"/>
          </w:tcPr>
          <w:p>
            <w:pPr>
              <w:pStyle w:val="TableContents"/>
              <w:bidi w:val="0"/>
              <w:spacing w:before="0" w:after="283"/>
              <w:jc w:val="left"/>
              <w:rPr>
                <w:sz w:val="4"/>
                <w:szCs w:val="4"/>
              </w:rPr>
            </w:pPr>
            <w:r>
              <w:rPr>
                <w:sz w:val="4"/>
                <w:szCs w:val="4"/>
              </w:rPr>
            </w:r>
          </w:p>
        </w:tc>
        <w:tc>
          <w:tcPr>
            <w:tcW w:w="6514"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3" w:type="dxa"/>
            <w:gridSpan w:val="3"/>
            <w:tcBorders/>
            <w:vAlign w:val="center"/>
          </w:tcPr>
          <w:p>
            <w:pPr>
              <w:pStyle w:val="TableContents"/>
              <w:bidi w:val="0"/>
              <w:spacing w:before="0" w:after="283"/>
              <w:jc w:val="left"/>
              <w:rPr>
                <w:sz w:val="4"/>
                <w:szCs w:val="4"/>
              </w:rPr>
            </w:pPr>
            <w:r>
              <w:rPr>
                <w:sz w:val="4"/>
                <w:szCs w:val="4"/>
              </w:rPr>
            </w:r>
          </w:p>
        </w:tc>
        <w:tc>
          <w:tcPr>
            <w:tcW w:w="6514"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Arial;sans-serif" w:hAnsi="Arial;sans-serif"/>
                  <w:b w:val="false"/>
                  <w:color w:val="0000FF"/>
                  <w:sz w:val="20"/>
                  <w:u w:val="single"/>
                </w:rPr>
                <w:t>3.1</w:t>
              </w:r>
            </w:hyperlink>
          </w:p>
        </w:tc>
        <w:tc>
          <w:tcPr>
            <w:tcW w:w="6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Amended and Restated Certificate of Incorporation of Arteris, Inc.</w:t>
              </w:r>
            </w:hyperlink>
          </w:p>
        </w:tc>
        <w:tc>
          <w:tcPr>
            <w:tcW w:w="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Arial;sans-serif" w:hAnsi="Arial;sans-serif"/>
                  <w:b w:val="false"/>
                  <w:color w:val="0000FF"/>
                  <w:sz w:val="20"/>
                  <w:u w:val="single"/>
                </w:rPr>
                <w:t>3.2</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Amended and Restated Bylaws of Arteris, Inc.</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Arial;sans-serif" w:hAnsi="Arial;sans-serif"/>
                  <w:b w:val="false"/>
                  <w:color w:val="0000FF"/>
                  <w:sz w:val="20"/>
                  <w:u w:val="single"/>
                </w:rPr>
                <w:t>4.1</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Specimen Stock Certificate evidencing the shares of common stock.</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1q1fy2510-q.htm">
              <w:r>
                <w:rPr>
                  <w:rStyle w:val="InternetLink"/>
                  <w:rFonts w:ascii="Arial;sans-serif" w:hAnsi="Arial;sans-serif"/>
                  <w:b w:val="false"/>
                  <w:color w:val="0000FF"/>
                  <w:sz w:val="20"/>
                  <w:u w:val="single"/>
                </w:rPr>
                <w:t>31.1</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1fy2510-q.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2q1fy2510-q.htm">
              <w:r>
                <w:rPr>
                  <w:rStyle w:val="InternetLink"/>
                  <w:rFonts w:ascii="Arial;sans-serif" w:hAnsi="Arial;sans-serif"/>
                  <w:b w:val="false"/>
                  <w:color w:val="0000FF"/>
                  <w:sz w:val="20"/>
                  <w:u w:val="single"/>
                </w:rPr>
                <w:t>31.2</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1fy2510-q.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1q1fy2510-q.htm">
              <w:r>
                <w:rPr>
                  <w:rStyle w:val="InternetLink"/>
                  <w:rFonts w:ascii="Arial;sans-serif" w:hAnsi="Arial;sans-serif"/>
                  <w:b w:val="false"/>
                  <w:color w:val="0000FF"/>
                  <w:sz w:val="20"/>
                  <w:u w:val="single"/>
                </w:rPr>
                <w:t>32.1</w:t>
              </w:r>
            </w:hyperlink>
            <w:r>
              <w:rPr>
                <w:rFonts w:ascii="Arial;sans-serif" w:hAnsi="Arial;sans-serif"/>
                <w:b w:val="false"/>
                <w:color w:val="000000"/>
                <w:sz w:val="20"/>
              </w:rPr>
              <w:t>*</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1fy2510-q.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2q1fy2510-q.htm">
              <w:r>
                <w:rPr>
                  <w:rStyle w:val="InternetLink"/>
                  <w:rFonts w:ascii="Arial;sans-serif" w:hAnsi="Arial;sans-serif"/>
                  <w:b w:val="false"/>
                  <w:color w:val="0000FF"/>
                  <w:sz w:val="20"/>
                  <w:u w:val="single"/>
                </w:rPr>
                <w:t>32.2</w:t>
              </w:r>
            </w:hyperlink>
            <w:r>
              <w:rPr>
                <w:rFonts w:ascii="Arial;sans-serif" w:hAnsi="Arial;sans-serif"/>
                <w:b w:val="false"/>
                <w:color w:val="000000"/>
                <w:sz w:val="20"/>
              </w:rPr>
              <w:t>*</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1fy2510-q.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Exhibits 101).</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The certifications attached as Exhibits 32.1 and 32.2 that accompany this Quarterly Report on Form 10-Q,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6c621e6f199c4f4288b55a10bcc897ff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May 13, 2025 </w:t>
      </w:r>
    </w:p>
    <w:p>
      <w:pPr>
        <w:pStyle w:val="TextBody"/>
        <w:bidi w:val="0"/>
        <w:spacing w:before="0" w:after="0"/>
        <w:ind w:left="0" w:right="0" w:firstLine="720"/>
        <w:jc w:val="right"/>
        <w:rPr/>
      </w:pPr>
      <w:r>
        <w:rPr/>
      </w:r>
    </w:p>
    <w:tbl>
      <w:tblPr>
        <w:tblW w:w="4605" w:type="dxa"/>
        <w:jc w:val="right"/>
        <w:tblInd w:w="0" w:type="dxa"/>
        <w:tblLayout w:type="fixed"/>
        <w:tblCellMar>
          <w:top w:w="28" w:type="dxa"/>
          <w:left w:w="28" w:type="dxa"/>
          <w:bottom w:w="28" w:type="dxa"/>
          <w:right w:w="28" w:type="dxa"/>
        </w:tblCellMar>
      </w:tblPr>
      <w:tblGrid>
        <w:gridCol w:w="250"/>
        <w:gridCol w:w="219"/>
        <w:gridCol w:w="221"/>
        <w:gridCol w:w="1139"/>
        <w:gridCol w:w="1139"/>
        <w:gridCol w:w="1637"/>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46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Arteris, Inc.</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 Charles Janac</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 Charles Janac</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Nicholas B. Hawkins</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Nicholas B. Hawkins</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Chief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EXECUTIVE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RULES 13a-14(a) AND 15d-14(a) UNDER THE SECURITIES EXCHANGE ACT OF 1934,</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AS ADOPTED PURSUANT TO SECTION 302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 K. Charles Janac, certify that: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Arteris, Inc;</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300" w:before="0" w:after="2"/>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lineRule="auto" w:line="276" w:before="0" w:after="0"/>
        <w:ind w:left="0" w:right="0" w:hanging="581"/>
        <w:jc w:val="left"/>
        <w:rPr>
          <w:color w:val="000000"/>
        </w:rPr>
      </w:pPr>
      <w:r>
        <w:rPr>
          <w:color w:val="000000"/>
        </w:rPr>
        <w:t> </w:t>
      </w:r>
    </w:p>
    <w:tbl>
      <w:tblPr>
        <w:tblW w:w="5859"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214"/>
        <w:gridCol w:w="214"/>
        <w:gridCol w:w="216"/>
        <w:gridCol w:w="930"/>
        <w:gridCol w:w="930"/>
        <w:gridCol w:w="131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left w:val="single" w:sz="4" w:space="0" w:color="FFFFFF"/>
            </w:tcBorders>
            <w:shd w:fill="FFFFFF" w:val="clear"/>
            <w:tcMar>
              <w:top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Date: May 13,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 K. Charles Janac</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1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K. Charles Janac</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Title:</w:t>
            </w:r>
            <w:r>
              <w:rPr>
                <w:color w:val="000000"/>
              </w:rPr>
              <w:t xml:space="preserve"> </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FINANCIAL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RULES 13a-14(a) AND 15d-14(a) UNDER THE SECURITIES EXCHANGE ACT OF 1934,</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AS ADOPTED PURSUANT TO SECTION 302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 Nicholas B. Hawkins, certify that: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Arteris, Inc;</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300" w:before="0" w:after="2"/>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lineRule="auto" w:line="276" w:before="0" w:after="0"/>
        <w:ind w:left="0" w:right="0" w:hanging="581"/>
        <w:jc w:val="left"/>
        <w:rPr>
          <w:color w:val="000000"/>
        </w:rPr>
      </w:pPr>
      <w:r>
        <w:rPr>
          <w:color w:val="000000"/>
        </w:rPr>
        <w:t> </w:t>
      </w:r>
    </w:p>
    <w:tbl>
      <w:tblPr>
        <w:tblW w:w="6354"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214"/>
        <w:gridCol w:w="214"/>
        <w:gridCol w:w="216"/>
        <w:gridCol w:w="1072"/>
        <w:gridCol w:w="1072"/>
        <w:gridCol w:w="153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left w:val="single" w:sz="4" w:space="0" w:color="FFFFFF"/>
            </w:tcBorders>
            <w:shd w:fill="FFFFFF" w:val="clear"/>
            <w:tcMar>
              <w:top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Date: May 13,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 Nicholas B. Hawkins</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67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Nicholas B. Hawkins</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Title:</w:t>
            </w:r>
            <w:r>
              <w:rPr>
                <w:color w:val="000000"/>
              </w:rPr>
              <w:t xml:space="preserve"> </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Vice President and Chief Financial Officer</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EXECUTIVE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of Arteris, Inc. (the “Company”) on Form 10-Q for the quarter ended March 31, 2025 as filed with the Securities and Exchange Commission on the date hereof (the “Report”), I certify, pursuant to 18 U.S.C. § 1350, as adopted pursuant to § 906 of the Sarbanes-Oxley Act of 2002, that:</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as amended (the “Exchange Act”);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p>
      <w:pPr>
        <w:pStyle w:val="TextBody"/>
        <w:bidi w:val="0"/>
        <w:spacing w:lineRule="auto" w:line="276" w:before="0" w:after="0"/>
        <w:ind w:left="0" w:right="0" w:hanging="581"/>
        <w:jc w:val="left"/>
        <w:rPr>
          <w:color w:val="000000"/>
        </w:rPr>
      </w:pPr>
      <w:r>
        <w:rPr>
          <w:color w:val="000000"/>
        </w:rPr>
        <w:t> </w:t>
      </w:r>
    </w:p>
    <w:tbl>
      <w:tblPr>
        <w:tblW w:w="5859"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214"/>
        <w:gridCol w:w="214"/>
        <w:gridCol w:w="216"/>
        <w:gridCol w:w="930"/>
        <w:gridCol w:w="930"/>
        <w:gridCol w:w="131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Date: May 13,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 K. Charles Janac</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1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K. Charles Janac</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Title:</w:t>
            </w:r>
            <w:r>
              <w:rPr>
                <w:color w:val="000000"/>
              </w:rPr>
              <w:t xml:space="preserve"> </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spacing w:lineRule="auto" w:line="276" w:before="0" w:after="0"/>
        <w:jc w:val="both"/>
        <w:rPr/>
      </w:pPr>
      <w:r>
        <w:rPr>
          <w:rFonts w:ascii="Arial;sans-serif" w:hAnsi="Arial;sans-serif"/>
          <w:b w:val="false"/>
          <w:color w:val="000000"/>
          <w:sz w:val="18"/>
        </w:rPr>
        <w:br/>
        <w:b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r>
        <w:rPr>
          <w:rFonts w:ascii="Times New Roman;sans-serif" w:hAnsi="Times New Roman;sans-serif"/>
          <w:b w:val="false"/>
          <w:color w:val="000000"/>
          <w:sz w:val="20"/>
        </w:rPr>
        <w:br/>
        <w:t>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FINANCIAL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of Arteris, Inc. (the “Company”) on Form 10-Q for the quarter ended March 31, 2025 as filed with the Securities and Exchange Commission on the date hereof (the “Report”), I certify, pursuant to 18 U.S.C. § 1350, as adopted pursuant to § 906 of the Sarbanes-Oxley Act of 2002, that:</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as amended (the “Exchange Act”);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p>
      <w:pPr>
        <w:pStyle w:val="TextBody"/>
        <w:bidi w:val="0"/>
        <w:spacing w:lineRule="auto" w:line="276" w:before="0" w:after="0"/>
        <w:ind w:left="0" w:right="0" w:hanging="581"/>
        <w:jc w:val="left"/>
        <w:rPr>
          <w:color w:val="000000"/>
        </w:rPr>
      </w:pPr>
      <w:r>
        <w:rPr>
          <w:color w:val="000000"/>
        </w:rPr>
        <w:t> </w:t>
      </w:r>
    </w:p>
    <w:tbl>
      <w:tblPr>
        <w:tblW w:w="6354"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214"/>
        <w:gridCol w:w="214"/>
        <w:gridCol w:w="216"/>
        <w:gridCol w:w="1072"/>
        <w:gridCol w:w="1072"/>
        <w:gridCol w:w="153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Date: May 13,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 Nicholas B. Hawkins</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67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Nicholas B. Hawkins</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Vice President and Chief Financial Officer</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lineRule="auto" w:line="276" w:before="0" w:after="0"/>
        <w:jc w:val="both"/>
        <w:rPr/>
      </w:pPr>
      <w:r>
        <w:rPr>
          <w:rFonts w:ascii="Arial;sans-serif" w:hAnsi="Arial;sans-serif"/>
          <w:b w:val="false"/>
          <w:color w:val="000000"/>
          <w:sz w:val="18"/>
        </w:rPr>
        <w:br/>
        <w:b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r>
        <w:rPr>
          <w:rFonts w:ascii="Arial;sans-serif" w:hAnsi="Arial;sans-serif"/>
          <w:b w:val="false"/>
          <w:color w:val="000000"/>
          <w:sz w:val="20"/>
        </w:rPr>
        <w:br/>
        <w:t> </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7011/000119312521313553/d211035dex31.htm" TargetMode="External"/><Relationship Id="rId3" Type="http://schemas.openxmlformats.org/officeDocument/2006/relationships/hyperlink" Target="https://www.sec.gov/Archives/edgar/data/1667011/000119312521313553/d211035dex31.htm" TargetMode="External"/><Relationship Id="rId4" Type="http://schemas.openxmlformats.org/officeDocument/2006/relationships/hyperlink" Target="https://www.sec.gov/Archives/edgar/data/0001667011/000119312521313553/d211035dex32.htm" TargetMode="External"/><Relationship Id="rId5" Type="http://schemas.openxmlformats.org/officeDocument/2006/relationships/hyperlink" Target="https://www.sec.gov/Archives/edgar/data/0001667011/000119312521313553/d211035dex32.htm" TargetMode="External"/><Relationship Id="rId6" Type="http://schemas.openxmlformats.org/officeDocument/2006/relationships/hyperlink" Target="https://www.sec.gov/Archives/edgar/data/1667011/000119312521300473/d52087dex41.htm" TargetMode="External"/><Relationship Id="rId7" Type="http://schemas.openxmlformats.org/officeDocument/2006/relationships/hyperlink" Target="https://www.sec.gov/Archives/edgar/data/1667011/000119312521300473/d52087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43882</Words>
  <Characters>244899</Characters>
  <CharactersWithSpaces>287236</CharactersWithSpaces>
  <Paragraphs>2326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