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Alpern Paul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VP and General Counsel</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38"/>
        <w:gridCol w:w="448"/>
        <w:gridCol w:w="925"/>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38.7779</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79,374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692</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38.7779</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78,682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38.7779</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77,501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765</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38.7779</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76,736</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to satisfy the Reporting Person's tax liability arising as a result of the release of restricted stock units.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Alpern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8542"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3508</Characters>
  <CharactersWithSpaces>4083</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