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Moll Laurent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19"/>
        <w:gridCol w:w="443"/>
        <w:gridCol w:w="924"/>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24.6431</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211,591</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24.6431</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209,660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24.6431</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207,771</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24.6431</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206,878</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12,219</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24.288</w:t>
            </w:r>
            <w:r>
              <w:rPr>
                <w:rFonts w:ascii="Times;serif" w:hAnsi="Times;serif"/>
                <w:color w:val="008000"/>
                <w:position w:val="7"/>
                <w:sz w:val="16"/>
                <w:sz w:val="20"/>
                <w:shd w:fill="FFFFFF" w:val="clear"/>
              </w:rPr>
              <w:t>(3)</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194,659</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to satisfy the Reporting Person's tax liability arising as a result of the release of restricted stock units.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Transaction made pursuant to a 10b5-1 trading plan that was adopted by the Reporting Person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sale price. These shares were sold in multiple transactions at prices ranging from $23.89 to $24.64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 as Attorney-in-Fact for Moll Laurent 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8601"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763</Words>
  <Characters>4088</Characters>
  <CharactersWithSpaces>4748</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