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March 31, 2024</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9899" w:type="dxa"/>
        <w:jc w:val="left"/>
        <w:tblInd w:w="0" w:type="dxa"/>
        <w:tblLayout w:type="fixed"/>
        <w:tblCellMar>
          <w:top w:w="28" w:type="dxa"/>
          <w:left w:w="28" w:type="dxa"/>
          <w:bottom w:w="28" w:type="dxa"/>
          <w:right w:w="28" w:type="dxa"/>
        </w:tblCellMar>
      </w:tblPr>
      <w:tblGrid>
        <w:gridCol w:w="3169"/>
        <w:gridCol w:w="2781"/>
        <w:gridCol w:w="3949"/>
      </w:tblGrid>
      <w:tr>
        <w:trPr/>
        <w:tc>
          <w:tcPr>
            <w:tcW w:w="316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9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tc>
      </w:tr>
      <w:tr>
        <w:trPr/>
        <w:tc>
          <w:tcPr>
            <w:tcW w:w="9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 95008</w:t>
            </w:r>
          </w:p>
        </w:tc>
      </w:tr>
      <w:tr>
        <w:trPr/>
        <w:tc>
          <w:tcPr>
            <w:tcW w:w="9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(408) 470-7300</w:t>
            </w:r>
          </w:p>
        </w:tc>
      </w:tr>
      <w:tr>
        <w:trPr/>
        <w:tc>
          <w:tcPr>
            <w:tcW w:w="9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5"/>
              </w:rPr>
            </w:pPr>
            <w:r>
              <w:rPr>
                <w:rFonts w:ascii="Verdana;sans-serif" w:hAnsi="Verdana;sans-serif"/>
                <w:b/>
                <w:color w:val="000000"/>
                <w:sz w:val="15"/>
              </w:rPr>
              <w:t>(Address, including zip code, and telephone number, including area code, of registrant’s principal executive offices)</w:t>
            </w:r>
          </w:p>
        </w:tc>
      </w:tr>
    </w:tbl>
    <w:p>
      <w:pPr>
        <w:pStyle w:val="TextBody"/>
        <w:bidi w:val="0"/>
        <w:spacing w:lineRule="auto" w:line="288" w:before="20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857"/>
        <w:gridCol w:w="754"/>
        <w:gridCol w:w="759"/>
        <w:gridCol w:w="494"/>
        <w:gridCol w:w="494"/>
        <w:gridCol w:w="496"/>
        <w:gridCol w:w="1006"/>
        <w:gridCol w:w="1006"/>
        <w:gridCol w:w="1422"/>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20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April 25, 2024, there were 38,479,122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423"/>
        <w:gridCol w:w="373"/>
        <w:gridCol w:w="373"/>
        <w:gridCol w:w="2823"/>
        <w:gridCol w:w="2820"/>
        <w:gridCol w:w="2849"/>
        <w:gridCol w:w="158"/>
        <w:gridCol w:w="158"/>
        <w:gridCol w:w="228"/>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f1083cbf4abf9c1a4bce8d733182_10">
              <w:r>
                <w:rPr>
                  <w:rStyle w:val="InternetLink"/>
                  <w:rFonts w:ascii="Arial;sans-serif" w:hAnsi="Arial;sans-serif"/>
                  <w:b w:val="false"/>
                  <w:strike w:val="false"/>
                  <w:dstrike w:val="false"/>
                  <w:color w:val="000000"/>
                  <w:sz w:val="16"/>
                  <w:u w:val="none"/>
                  <w:effect w:val="none"/>
                </w:rPr>
                <w:t>3</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
              <w:r>
                <w:rPr>
                  <w:rStyle w:val="InternetLink"/>
                  <w:rFonts w:ascii="Arial;sans-serif" w:hAnsi="Arial;sans-serif"/>
                  <w:b w:val="false"/>
                  <w:color w:val="0000FF"/>
                  <w:sz w:val="16"/>
                  <w:u w:val="single"/>
                </w:rPr>
                <w:t>Item 1.</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3">
              <w:r>
                <w:rPr>
                  <w:rStyle w:val="InternetLink"/>
                  <w:rFonts w:ascii="Arial;sans-serif" w:hAnsi="Arial;sans-serif"/>
                  <w:b w:val="false"/>
                  <w:strike w:val="false"/>
                  <w:dstrike w:val="false"/>
                  <w:color w:val="000000"/>
                  <w:sz w:val="16"/>
                  <w:u w:val="none"/>
                  <w:effect w:val="none"/>
                </w:rPr>
                <w:t>3</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
              <w:r>
                <w:rPr>
                  <w:rStyle w:val="InternetLink"/>
                  <w:rFonts w:ascii="Arial;sans-serif" w:hAnsi="Arial;sans-serif"/>
                  <w:b w:val="false"/>
                  <w:color w:val="000080"/>
                  <w:sz w:val="16"/>
                  <w:u w:val="single"/>
                </w:rPr>
                <w:t xml:space="preserve">Condensed Consolidated Balance Sheets as of </w:t>
              </w:r>
            </w:hyperlink>
            <w:hyperlink w:anchor="i10a8f1083cbf4abf9c1a4bce8d733182_16">
              <w:r>
                <w:rPr>
                  <w:rStyle w:val="InternetLink"/>
                  <w:rFonts w:ascii="Arial;sans-serif" w:hAnsi="Arial;sans-serif"/>
                  <w:b w:val="false"/>
                  <w:color w:val="000080"/>
                  <w:sz w:val="16"/>
                  <w:u w:val="single"/>
                </w:rPr>
                <w:t>March</w:t>
              </w:r>
            </w:hyperlink>
            <w:hyperlink w:anchor="i10a8f1083cbf4abf9c1a4bce8d733182_16">
              <w:r>
                <w:rPr>
                  <w:rStyle w:val="InternetLink"/>
                  <w:rFonts w:ascii="Arial;sans-serif" w:hAnsi="Arial;sans-serif"/>
                  <w:b w:val="false"/>
                  <w:color w:val="000080"/>
                  <w:sz w:val="16"/>
                  <w:u w:val="single"/>
                </w:rPr>
                <w:t xml:space="preserve"> 3</w:t>
              </w:r>
            </w:hyperlink>
            <w:hyperlink w:anchor="i10a8f1083cbf4abf9c1a4bce8d733182_16">
              <w:r>
                <w:rPr>
                  <w:rStyle w:val="InternetLink"/>
                  <w:rFonts w:ascii="Arial;sans-serif" w:hAnsi="Arial;sans-serif"/>
                  <w:b w:val="false"/>
                  <w:color w:val="000080"/>
                  <w:sz w:val="16"/>
                  <w:u w:val="single"/>
                </w:rPr>
                <w:t>1</w:t>
              </w:r>
            </w:hyperlink>
            <w:hyperlink w:anchor="i10a8f1083cbf4abf9c1a4bce8d733182_16">
              <w:r>
                <w:rPr>
                  <w:rStyle w:val="InternetLink"/>
                  <w:rFonts w:ascii="Arial;sans-serif" w:hAnsi="Arial;sans-serif"/>
                  <w:b w:val="false"/>
                  <w:color w:val="000080"/>
                  <w:sz w:val="16"/>
                  <w:u w:val="single"/>
                </w:rPr>
                <w:t>, 202</w:t>
              </w:r>
            </w:hyperlink>
            <w:hyperlink w:anchor="i10a8f1083cbf4abf9c1a4bce8d733182_16">
              <w:r>
                <w:rPr>
                  <w:rStyle w:val="InternetLink"/>
                  <w:rFonts w:ascii="Arial;sans-serif" w:hAnsi="Arial;sans-serif"/>
                  <w:b w:val="false"/>
                  <w:color w:val="000080"/>
                  <w:sz w:val="16"/>
                  <w:u w:val="single"/>
                </w:rPr>
                <w:t>4</w:t>
              </w:r>
            </w:hyperlink>
            <w:hyperlink w:anchor="i10a8f1083cbf4abf9c1a4bce8d733182_16">
              <w:r>
                <w:rPr>
                  <w:rStyle w:val="InternetLink"/>
                  <w:rFonts w:ascii="Arial;sans-serif" w:hAnsi="Arial;sans-serif"/>
                  <w:b w:val="false"/>
                  <w:color w:val="000080"/>
                  <w:sz w:val="16"/>
                  <w:u w:val="single"/>
                </w:rPr>
                <w:t xml:space="preserve"> and December 31, 20</w:t>
              </w:r>
            </w:hyperlink>
            <w:hyperlink w:anchor="i10a8f1083cbf4abf9c1a4bce8d733182_16">
              <w:r>
                <w:rPr>
                  <w:rStyle w:val="InternetLink"/>
                  <w:rFonts w:ascii="Arial;sans-serif" w:hAnsi="Arial;sans-serif"/>
                  <w:b w:val="false"/>
                  <w:color w:val="000080"/>
                  <w:sz w:val="16"/>
                  <w:u w:val="single"/>
                </w:rPr>
                <w:t>23</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6">
              <w:r>
                <w:rPr>
                  <w:rStyle w:val="InternetLink"/>
                  <w:rFonts w:ascii="Arial;sans-serif" w:hAnsi="Arial;sans-serif"/>
                  <w:b w:val="false"/>
                  <w:strike w:val="false"/>
                  <w:dstrike w:val="false"/>
                  <w:color w:val="000000"/>
                  <w:sz w:val="16"/>
                  <w:u w:val="none"/>
                  <w:effect w:val="none"/>
                </w:rPr>
                <w:t>3</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9">
              <w:r>
                <w:rPr>
                  <w:rStyle w:val="InternetLink"/>
                  <w:rFonts w:ascii="Arial;sans-serif" w:hAnsi="Arial;sans-serif"/>
                  <w:b w:val="false"/>
                  <w:color w:val="000080"/>
                  <w:sz w:val="16"/>
                  <w:u w:val="single"/>
                </w:rPr>
                <w:t>Condensed Consolidated Statements of Loss for the Three</w:t>
              </w:r>
            </w:hyperlink>
            <w:hyperlink w:anchor="i10a8f1083cbf4abf9c1a4bce8d733182_19">
              <w:r>
                <w:rPr>
                  <w:rStyle w:val="InternetLink"/>
                  <w:rFonts w:ascii="Arial;sans-serif" w:hAnsi="Arial;sans-serif"/>
                  <w:b w:val="false"/>
                  <w:color w:val="000080"/>
                  <w:sz w:val="16"/>
                  <w:u w:val="single"/>
                </w:rPr>
                <w:t xml:space="preserve"> Months Ended </w:t>
              </w:r>
            </w:hyperlink>
            <w:hyperlink w:anchor="i10a8f1083cbf4abf9c1a4bce8d733182_19">
              <w:r>
                <w:rPr>
                  <w:rStyle w:val="InternetLink"/>
                  <w:rFonts w:ascii="Arial;sans-serif" w:hAnsi="Arial;sans-serif"/>
                  <w:b w:val="false"/>
                  <w:color w:val="000080"/>
                  <w:sz w:val="16"/>
                  <w:u w:val="single"/>
                </w:rPr>
                <w:t>March</w:t>
              </w:r>
            </w:hyperlink>
            <w:hyperlink w:anchor="i10a8f1083cbf4abf9c1a4bce8d733182_19">
              <w:r>
                <w:rPr>
                  <w:rStyle w:val="InternetLink"/>
                  <w:rFonts w:ascii="Arial;sans-serif" w:hAnsi="Arial;sans-serif"/>
                  <w:b w:val="false"/>
                  <w:color w:val="000080"/>
                  <w:sz w:val="16"/>
                  <w:u w:val="single"/>
                </w:rPr>
                <w:t xml:space="preserve"> 3</w:t>
              </w:r>
            </w:hyperlink>
            <w:hyperlink w:anchor="i10a8f1083cbf4abf9c1a4bce8d733182_19">
              <w:r>
                <w:rPr>
                  <w:rStyle w:val="InternetLink"/>
                  <w:rFonts w:ascii="Arial;sans-serif" w:hAnsi="Arial;sans-serif"/>
                  <w:b w:val="false"/>
                  <w:color w:val="000080"/>
                  <w:sz w:val="16"/>
                  <w:u w:val="single"/>
                </w:rPr>
                <w:t>1</w:t>
              </w:r>
            </w:hyperlink>
            <w:hyperlink w:anchor="i10a8f1083cbf4abf9c1a4bce8d733182_19">
              <w:r>
                <w:rPr>
                  <w:rStyle w:val="InternetLink"/>
                  <w:rFonts w:ascii="Arial;sans-serif" w:hAnsi="Arial;sans-serif"/>
                  <w:b w:val="false"/>
                  <w:color w:val="000080"/>
                  <w:sz w:val="16"/>
                  <w:u w:val="single"/>
                </w:rPr>
                <w:t>, 202</w:t>
              </w:r>
            </w:hyperlink>
            <w:hyperlink w:anchor="i10a8f1083cbf4abf9c1a4bce8d733182_19">
              <w:r>
                <w:rPr>
                  <w:rStyle w:val="InternetLink"/>
                  <w:rFonts w:ascii="Arial;sans-serif" w:hAnsi="Arial;sans-serif"/>
                  <w:b w:val="false"/>
                  <w:color w:val="000080"/>
                  <w:sz w:val="16"/>
                  <w:u w:val="single"/>
                </w:rPr>
                <w:t>4</w:t>
              </w:r>
            </w:hyperlink>
            <w:hyperlink w:anchor="i10a8f1083cbf4abf9c1a4bce8d733182_19">
              <w:r>
                <w:rPr>
                  <w:rStyle w:val="InternetLink"/>
                  <w:rFonts w:ascii="Arial;sans-serif" w:hAnsi="Arial;sans-serif"/>
                  <w:b w:val="false"/>
                  <w:color w:val="000080"/>
                  <w:sz w:val="16"/>
                  <w:u w:val="single"/>
                </w:rPr>
                <w:t xml:space="preserve"> and 20</w:t>
              </w:r>
            </w:hyperlink>
            <w:hyperlink w:anchor="i10a8f1083cbf4abf9c1a4bce8d733182_19">
              <w:r>
                <w:rPr>
                  <w:rStyle w:val="InternetLink"/>
                  <w:rFonts w:ascii="Arial;sans-serif" w:hAnsi="Arial;sans-serif"/>
                  <w:b w:val="false"/>
                  <w:color w:val="000080"/>
                  <w:sz w:val="16"/>
                  <w:u w:val="single"/>
                </w:rPr>
                <w:t>23</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9">
              <w:r>
                <w:rPr>
                  <w:rStyle w:val="InternetLink"/>
                  <w:rFonts w:ascii="Arial;sans-serif" w:hAnsi="Arial;sans-serif"/>
                  <w:b w:val="false"/>
                  <w:strike w:val="false"/>
                  <w:dstrike w:val="false"/>
                  <w:color w:val="000000"/>
                  <w:sz w:val="16"/>
                  <w:u w:val="none"/>
                  <w:effect w:val="none"/>
                </w:rPr>
                <w:t>4</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22">
              <w:r>
                <w:rPr>
                  <w:rStyle w:val="InternetLink"/>
                  <w:rFonts w:ascii="Arial;sans-serif" w:hAnsi="Arial;sans-serif"/>
                  <w:b w:val="false"/>
                  <w:color w:val="000080"/>
                  <w:sz w:val="16"/>
                  <w:u w:val="single"/>
                </w:rPr>
                <w:t>Condensed Consolidated Statements of Comprehensive Loss for the Three</w:t>
              </w:r>
            </w:hyperlink>
            <w:hyperlink w:anchor="i10a8f1083cbf4abf9c1a4bce8d733182_22">
              <w:r>
                <w:rPr>
                  <w:rStyle w:val="InternetLink"/>
                  <w:rFonts w:ascii="Arial;sans-serif" w:hAnsi="Arial;sans-serif"/>
                  <w:b w:val="false"/>
                  <w:color w:val="000080"/>
                  <w:sz w:val="16"/>
                  <w:u w:val="single"/>
                </w:rPr>
                <w:t xml:space="preserve"> Months Ended</w:t>
              </w:r>
            </w:hyperlink>
            <w:hyperlink w:anchor="i10a8f1083cbf4abf9c1a4bce8d733182_22">
              <w:r>
                <w:rPr>
                  <w:rStyle w:val="InternetLink"/>
                  <w:rFonts w:ascii="Arial;sans-serif" w:hAnsi="Arial;sans-serif"/>
                  <w:b w:val="false"/>
                  <w:color w:val="000080"/>
                  <w:sz w:val="16"/>
                  <w:u w:val="single"/>
                </w:rPr>
                <w:t xml:space="preserve"> March</w:t>
              </w:r>
            </w:hyperlink>
            <w:hyperlink w:anchor="i10a8f1083cbf4abf9c1a4bce8d733182_22">
              <w:r>
                <w:rPr>
                  <w:rStyle w:val="InternetLink"/>
                  <w:rFonts w:ascii="Arial;sans-serif" w:hAnsi="Arial;sans-serif"/>
                  <w:b w:val="false"/>
                  <w:color w:val="000080"/>
                  <w:sz w:val="16"/>
                  <w:u w:val="single"/>
                </w:rPr>
                <w:t xml:space="preserve"> 3</w:t>
              </w:r>
            </w:hyperlink>
            <w:hyperlink w:anchor="i10a8f1083cbf4abf9c1a4bce8d733182_22">
              <w:r>
                <w:rPr>
                  <w:rStyle w:val="InternetLink"/>
                  <w:rFonts w:ascii="Arial;sans-serif" w:hAnsi="Arial;sans-serif"/>
                  <w:b w:val="false"/>
                  <w:color w:val="000080"/>
                  <w:sz w:val="16"/>
                  <w:u w:val="single"/>
                </w:rPr>
                <w:t>1</w:t>
              </w:r>
            </w:hyperlink>
            <w:hyperlink w:anchor="i10a8f1083cbf4abf9c1a4bce8d733182_22">
              <w:r>
                <w:rPr>
                  <w:rStyle w:val="InternetLink"/>
                  <w:rFonts w:ascii="Arial;sans-serif" w:hAnsi="Arial;sans-serif"/>
                  <w:b w:val="false"/>
                  <w:color w:val="000080"/>
                  <w:sz w:val="16"/>
                  <w:u w:val="single"/>
                </w:rPr>
                <w:t>, 202</w:t>
              </w:r>
            </w:hyperlink>
            <w:hyperlink w:anchor="i10a8f1083cbf4abf9c1a4bce8d733182_22">
              <w:r>
                <w:rPr>
                  <w:rStyle w:val="InternetLink"/>
                  <w:rFonts w:ascii="Arial;sans-serif" w:hAnsi="Arial;sans-serif"/>
                  <w:b w:val="false"/>
                  <w:color w:val="000080"/>
                  <w:sz w:val="16"/>
                  <w:u w:val="single"/>
                </w:rPr>
                <w:t>4</w:t>
              </w:r>
            </w:hyperlink>
            <w:hyperlink w:anchor="i10a8f1083cbf4abf9c1a4bce8d733182_22">
              <w:r>
                <w:rPr>
                  <w:rStyle w:val="InternetLink"/>
                  <w:rFonts w:ascii="Arial;sans-serif" w:hAnsi="Arial;sans-serif"/>
                  <w:b w:val="false"/>
                  <w:color w:val="000080"/>
                  <w:sz w:val="16"/>
                  <w:u w:val="single"/>
                </w:rPr>
                <w:t xml:space="preserve"> and 20</w:t>
              </w:r>
            </w:hyperlink>
            <w:hyperlink w:anchor="i10a8f1083cbf4abf9c1a4bce8d733182_22">
              <w:r>
                <w:rPr>
                  <w:rStyle w:val="InternetLink"/>
                  <w:rFonts w:ascii="Arial;sans-serif" w:hAnsi="Arial;sans-serif"/>
                  <w:b w:val="false"/>
                  <w:color w:val="000080"/>
                  <w:sz w:val="16"/>
                  <w:u w:val="single"/>
                </w:rPr>
                <w:t>23</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22">
              <w:r>
                <w:rPr>
                  <w:rStyle w:val="InternetLink"/>
                  <w:rFonts w:ascii="Arial;sans-serif" w:hAnsi="Arial;sans-serif"/>
                  <w:b w:val="false"/>
                  <w:strike w:val="false"/>
                  <w:dstrike w:val="false"/>
                  <w:color w:val="000000"/>
                  <w:sz w:val="16"/>
                  <w:u w:val="none"/>
                  <w:effect w:val="none"/>
                </w:rPr>
                <w:t>5</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25">
              <w:r>
                <w:rPr>
                  <w:rStyle w:val="InternetLink"/>
                  <w:rFonts w:ascii="Arial;sans-serif" w:hAnsi="Arial;sans-serif"/>
                  <w:b w:val="false"/>
                  <w:color w:val="000080"/>
                  <w:sz w:val="16"/>
                  <w:u w:val="single"/>
                </w:rPr>
                <w:t xml:space="preserve">Condensed Consolidated Statements of Stockholders' Equity for the Three </w:t>
              </w:r>
            </w:hyperlink>
            <w:hyperlink w:anchor="i10a8f1083cbf4abf9c1a4bce8d733182_25">
              <w:r>
                <w:rPr>
                  <w:rStyle w:val="InternetLink"/>
                  <w:rFonts w:ascii="Arial;sans-serif" w:hAnsi="Arial;sans-serif"/>
                  <w:b w:val="false"/>
                  <w:color w:val="000080"/>
                  <w:sz w:val="16"/>
                  <w:u w:val="single"/>
                </w:rPr>
                <w:t>Months Ended</w:t>
              </w:r>
            </w:hyperlink>
            <w:hyperlink w:anchor="i10a8f1083cbf4abf9c1a4bce8d733182_25">
              <w:r>
                <w:rPr>
                  <w:rStyle w:val="InternetLink"/>
                  <w:rFonts w:ascii="Arial;sans-serif" w:hAnsi="Arial;sans-serif"/>
                  <w:b w:val="false"/>
                  <w:color w:val="000080"/>
                  <w:sz w:val="16"/>
                  <w:u w:val="single"/>
                </w:rPr>
                <w:t xml:space="preserve"> March</w:t>
              </w:r>
            </w:hyperlink>
            <w:hyperlink w:anchor="i10a8f1083cbf4abf9c1a4bce8d733182_25">
              <w:r>
                <w:rPr>
                  <w:rStyle w:val="InternetLink"/>
                  <w:rFonts w:ascii="Arial;sans-serif" w:hAnsi="Arial;sans-serif"/>
                  <w:b w:val="false"/>
                  <w:color w:val="000080"/>
                  <w:sz w:val="16"/>
                  <w:u w:val="single"/>
                </w:rPr>
                <w:t xml:space="preserve"> 3</w:t>
              </w:r>
            </w:hyperlink>
            <w:hyperlink w:anchor="i10a8f1083cbf4abf9c1a4bce8d733182_25">
              <w:r>
                <w:rPr>
                  <w:rStyle w:val="InternetLink"/>
                  <w:rFonts w:ascii="Arial;sans-serif" w:hAnsi="Arial;sans-serif"/>
                  <w:b w:val="false"/>
                  <w:color w:val="000080"/>
                  <w:sz w:val="16"/>
                  <w:u w:val="single"/>
                </w:rPr>
                <w:t>1</w:t>
              </w:r>
            </w:hyperlink>
            <w:hyperlink w:anchor="i10a8f1083cbf4abf9c1a4bce8d733182_25">
              <w:r>
                <w:rPr>
                  <w:rStyle w:val="InternetLink"/>
                  <w:rFonts w:ascii="Arial;sans-serif" w:hAnsi="Arial;sans-serif"/>
                  <w:b w:val="false"/>
                  <w:color w:val="000080"/>
                  <w:sz w:val="16"/>
                  <w:u w:val="single"/>
                </w:rPr>
                <w:t>, 202</w:t>
              </w:r>
            </w:hyperlink>
            <w:hyperlink w:anchor="i10a8f1083cbf4abf9c1a4bce8d733182_25">
              <w:r>
                <w:rPr>
                  <w:rStyle w:val="InternetLink"/>
                  <w:rFonts w:ascii="Arial;sans-serif" w:hAnsi="Arial;sans-serif"/>
                  <w:b w:val="false"/>
                  <w:color w:val="000080"/>
                  <w:sz w:val="16"/>
                  <w:u w:val="single"/>
                </w:rPr>
                <w:t>4</w:t>
              </w:r>
            </w:hyperlink>
            <w:hyperlink w:anchor="i10a8f1083cbf4abf9c1a4bce8d733182_25">
              <w:r>
                <w:rPr>
                  <w:rStyle w:val="InternetLink"/>
                  <w:rFonts w:ascii="Arial;sans-serif" w:hAnsi="Arial;sans-serif"/>
                  <w:b w:val="false"/>
                  <w:color w:val="000080"/>
                  <w:sz w:val="16"/>
                  <w:u w:val="single"/>
                </w:rPr>
                <w:t xml:space="preserve"> and 202</w:t>
              </w:r>
            </w:hyperlink>
            <w:hyperlink w:anchor="i10a8f1083cbf4abf9c1a4bce8d733182_25">
              <w:r>
                <w:rPr>
                  <w:rStyle w:val="InternetLink"/>
                  <w:rFonts w:ascii="Arial;sans-serif" w:hAnsi="Arial;sans-serif"/>
                  <w:b w:val="false"/>
                  <w:color w:val="000080"/>
                  <w:sz w:val="16"/>
                  <w:u w:val="single"/>
                </w:rPr>
                <w:t>3</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25">
              <w:r>
                <w:rPr>
                  <w:rStyle w:val="InternetLink"/>
                  <w:rFonts w:ascii="Arial;sans-serif" w:hAnsi="Arial;sans-serif"/>
                  <w:b w:val="false"/>
                  <w:strike w:val="false"/>
                  <w:dstrike w:val="false"/>
                  <w:color w:val="000000"/>
                  <w:sz w:val="16"/>
                  <w:u w:val="none"/>
                  <w:effect w:val="none"/>
                </w:rPr>
                <w:t>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31">
              <w:r>
                <w:rPr>
                  <w:rStyle w:val="InternetLink"/>
                  <w:rFonts w:ascii="Arial;sans-serif" w:hAnsi="Arial;sans-serif"/>
                  <w:b w:val="false"/>
                  <w:color w:val="000080"/>
                  <w:sz w:val="16"/>
                  <w:u w:val="single"/>
                </w:rPr>
                <w:t xml:space="preserve">Condensed Consolidated Statements of Cash Flows for the </w:t>
              </w:r>
            </w:hyperlink>
            <w:hyperlink w:anchor="i10a8f1083cbf4abf9c1a4bce8d733182_31">
              <w:r>
                <w:rPr>
                  <w:rStyle w:val="InternetLink"/>
                  <w:rFonts w:ascii="Arial;sans-serif" w:hAnsi="Arial;sans-serif"/>
                  <w:b w:val="false"/>
                  <w:color w:val="000080"/>
                  <w:sz w:val="16"/>
                  <w:u w:val="single"/>
                </w:rPr>
                <w:t xml:space="preserve">Three </w:t>
              </w:r>
            </w:hyperlink>
            <w:hyperlink w:anchor="i10a8f1083cbf4abf9c1a4bce8d733182_31">
              <w:r>
                <w:rPr>
                  <w:rStyle w:val="InternetLink"/>
                  <w:rFonts w:ascii="Arial;sans-serif" w:hAnsi="Arial;sans-serif"/>
                  <w:b w:val="false"/>
                  <w:color w:val="000080"/>
                  <w:sz w:val="16"/>
                  <w:u w:val="single"/>
                </w:rPr>
                <w:t>Months Ended</w:t>
              </w:r>
            </w:hyperlink>
            <w:hyperlink w:anchor="i10a8f1083cbf4abf9c1a4bce8d733182_31">
              <w:r>
                <w:rPr>
                  <w:rStyle w:val="InternetLink"/>
                  <w:rFonts w:ascii="Arial;sans-serif" w:hAnsi="Arial;sans-serif"/>
                  <w:b w:val="false"/>
                  <w:color w:val="000080"/>
                  <w:sz w:val="16"/>
                  <w:u w:val="single"/>
                </w:rPr>
                <w:t xml:space="preserve"> March</w:t>
              </w:r>
            </w:hyperlink>
            <w:hyperlink w:anchor="i10a8f1083cbf4abf9c1a4bce8d733182_31">
              <w:r>
                <w:rPr>
                  <w:rStyle w:val="InternetLink"/>
                  <w:rFonts w:ascii="Arial;sans-serif" w:hAnsi="Arial;sans-serif"/>
                  <w:b w:val="false"/>
                  <w:color w:val="000080"/>
                  <w:sz w:val="16"/>
                  <w:u w:val="single"/>
                </w:rPr>
                <w:t xml:space="preserve"> 3</w:t>
              </w:r>
            </w:hyperlink>
            <w:hyperlink w:anchor="i10a8f1083cbf4abf9c1a4bce8d733182_31">
              <w:r>
                <w:rPr>
                  <w:rStyle w:val="InternetLink"/>
                  <w:rFonts w:ascii="Arial;sans-serif" w:hAnsi="Arial;sans-serif"/>
                  <w:b w:val="false"/>
                  <w:color w:val="000080"/>
                  <w:sz w:val="16"/>
                  <w:u w:val="single"/>
                </w:rPr>
                <w:t>1</w:t>
              </w:r>
            </w:hyperlink>
            <w:hyperlink w:anchor="i10a8f1083cbf4abf9c1a4bce8d733182_31">
              <w:r>
                <w:rPr>
                  <w:rStyle w:val="InternetLink"/>
                  <w:rFonts w:ascii="Arial;sans-serif" w:hAnsi="Arial;sans-serif"/>
                  <w:b w:val="false"/>
                  <w:color w:val="000080"/>
                  <w:sz w:val="16"/>
                  <w:u w:val="single"/>
                </w:rPr>
                <w:t>, 202</w:t>
              </w:r>
            </w:hyperlink>
            <w:hyperlink w:anchor="i10a8f1083cbf4abf9c1a4bce8d733182_31">
              <w:r>
                <w:rPr>
                  <w:rStyle w:val="InternetLink"/>
                  <w:rFonts w:ascii="Arial;sans-serif" w:hAnsi="Arial;sans-serif"/>
                  <w:b w:val="false"/>
                  <w:color w:val="000080"/>
                  <w:sz w:val="16"/>
                  <w:u w:val="single"/>
                </w:rPr>
                <w:t>4</w:t>
              </w:r>
            </w:hyperlink>
            <w:hyperlink w:anchor="i10a8f1083cbf4abf9c1a4bce8d733182_31">
              <w:r>
                <w:rPr>
                  <w:rStyle w:val="InternetLink"/>
                  <w:rFonts w:ascii="Arial;sans-serif" w:hAnsi="Arial;sans-serif"/>
                  <w:b w:val="false"/>
                  <w:color w:val="000080"/>
                  <w:sz w:val="16"/>
                  <w:u w:val="single"/>
                </w:rPr>
                <w:t xml:space="preserve"> and 202</w:t>
              </w:r>
            </w:hyperlink>
            <w:hyperlink w:anchor="i10a8f1083cbf4abf9c1a4bce8d733182_31">
              <w:r>
                <w:rPr>
                  <w:rStyle w:val="InternetLink"/>
                  <w:rFonts w:ascii="Arial;sans-serif" w:hAnsi="Arial;sans-serif"/>
                  <w:b w:val="false"/>
                  <w:color w:val="000080"/>
                  <w:sz w:val="16"/>
                  <w:u w:val="single"/>
                </w:rPr>
                <w:t>3</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31">
              <w:r>
                <w:rPr>
                  <w:rStyle w:val="InternetLink"/>
                  <w:rFonts w:ascii="Arial;sans-serif" w:hAnsi="Arial;sans-serif"/>
                  <w:b w:val="false"/>
                  <w:strike w:val="false"/>
                  <w:dstrike w:val="false"/>
                  <w:color w:val="000000"/>
                  <w:sz w:val="16"/>
                  <w:u w:val="none"/>
                  <w:effect w:val="none"/>
                </w:rPr>
                <w:t>7</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34">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34">
              <w:r>
                <w:rPr>
                  <w:rStyle w:val="InternetLink"/>
                  <w:rFonts w:ascii="Arial;sans-serif" w:hAnsi="Arial;sans-serif"/>
                  <w:b w:val="false"/>
                  <w:strike w:val="false"/>
                  <w:dstrike w:val="false"/>
                  <w:color w:val="000000"/>
                  <w:sz w:val="16"/>
                  <w:u w:val="none"/>
                  <w:effect w:val="none"/>
                </w:rPr>
                <w:t>8</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91">
              <w:r>
                <w:rPr>
                  <w:rStyle w:val="InternetLink"/>
                  <w:rFonts w:ascii="Arial;sans-serif" w:hAnsi="Arial;sans-serif"/>
                  <w:b w:val="false"/>
                  <w:color w:val="0000FF"/>
                  <w:sz w:val="16"/>
                  <w:u w:val="single"/>
                </w:rPr>
                <w:t>Item 2.</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91">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91">
              <w:r>
                <w:rPr>
                  <w:rStyle w:val="InternetLink"/>
                  <w:rFonts w:ascii="Arial;sans-serif" w:hAnsi="Arial;sans-serif"/>
                  <w:b w:val="false"/>
                  <w:strike w:val="false"/>
                  <w:dstrike w:val="false"/>
                  <w:color w:val="000000"/>
                  <w:sz w:val="16"/>
                  <w:u w:val="none"/>
                  <w:effect w:val="none"/>
                </w:rPr>
                <w:t>19</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6">
              <w:r>
                <w:rPr>
                  <w:rStyle w:val="InternetLink"/>
                  <w:rFonts w:ascii="Arial;sans-serif" w:hAnsi="Arial;sans-serif"/>
                  <w:b w:val="false"/>
                  <w:color w:val="0000FF"/>
                  <w:sz w:val="16"/>
                  <w:u w:val="single"/>
                </w:rPr>
                <w:t>Item 3.</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6">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36">
              <w:r>
                <w:rPr>
                  <w:rStyle w:val="InternetLink"/>
                  <w:rFonts w:ascii="Arial;sans-serif" w:hAnsi="Arial;sans-serif"/>
                  <w:b w:val="false"/>
                  <w:strike w:val="false"/>
                  <w:dstrike w:val="false"/>
                  <w:color w:val="000000"/>
                  <w:sz w:val="16"/>
                  <w:u w:val="none"/>
                  <w:effect w:val="none"/>
                </w:rPr>
                <w:t>30</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9">
              <w:r>
                <w:rPr>
                  <w:rStyle w:val="InternetLink"/>
                  <w:rFonts w:ascii="Arial;sans-serif" w:hAnsi="Arial;sans-serif"/>
                  <w:b w:val="false"/>
                  <w:color w:val="0000FF"/>
                  <w:sz w:val="16"/>
                  <w:u w:val="single"/>
                </w:rPr>
                <w:t>Item 4.</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39">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39">
              <w:r>
                <w:rPr>
                  <w:rStyle w:val="InternetLink"/>
                  <w:rFonts w:ascii="Arial;sans-serif" w:hAnsi="Arial;sans-serif"/>
                  <w:b w:val="false"/>
                  <w:strike w:val="false"/>
                  <w:dstrike w:val="false"/>
                  <w:color w:val="000000"/>
                  <w:sz w:val="16"/>
                  <w:u w:val="none"/>
                  <w:effect w:val="none"/>
                </w:rPr>
                <w:t>31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42">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a8f1083cbf4abf9c1a4bce8d733182_142">
              <w:r>
                <w:rPr>
                  <w:rStyle w:val="InternetLink"/>
                  <w:rFonts w:ascii="Arial;sans-serif" w:hAnsi="Arial;sans-serif"/>
                  <w:b w:val="false"/>
                  <w:strike w:val="false"/>
                  <w:dstrike w:val="false"/>
                  <w:color w:val="000000"/>
                  <w:sz w:val="16"/>
                  <w:u w:val="none"/>
                  <w:effect w:val="none"/>
                </w:rPr>
                <w:t>32</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45">
              <w:r>
                <w:rPr>
                  <w:rStyle w:val="InternetLink"/>
                  <w:rFonts w:ascii="Arial;sans-serif" w:hAnsi="Arial;sans-serif"/>
                  <w:b w:val="false"/>
                  <w:color w:val="0000FF"/>
                  <w:sz w:val="16"/>
                  <w:u w:val="single"/>
                </w:rPr>
                <w:t>Item 1.</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45">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45">
              <w:r>
                <w:rPr>
                  <w:rStyle w:val="InternetLink"/>
                  <w:rFonts w:ascii="Arial;sans-serif" w:hAnsi="Arial;sans-serif"/>
                  <w:b w:val="false"/>
                  <w:strike w:val="false"/>
                  <w:dstrike w:val="false"/>
                  <w:color w:val="000000"/>
                  <w:sz w:val="16"/>
                  <w:u w:val="none"/>
                  <w:effect w:val="none"/>
                </w:rPr>
                <w:t>32</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48">
              <w:r>
                <w:rPr>
                  <w:rStyle w:val="InternetLink"/>
                  <w:rFonts w:ascii="Arial;sans-serif" w:hAnsi="Arial;sans-serif"/>
                  <w:b w:val="false"/>
                  <w:color w:val="0000FF"/>
                  <w:sz w:val="16"/>
                  <w:u w:val="single"/>
                </w:rPr>
                <w:t>Item 1A.</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48">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48">
              <w:r>
                <w:rPr>
                  <w:rStyle w:val="InternetLink"/>
                  <w:rFonts w:ascii="Arial;sans-serif" w:hAnsi="Arial;sans-serif"/>
                  <w:b w:val="false"/>
                  <w:strike w:val="false"/>
                  <w:dstrike w:val="false"/>
                  <w:color w:val="000000"/>
                  <w:sz w:val="16"/>
                  <w:u w:val="none"/>
                  <w:effect w:val="none"/>
                </w:rPr>
                <w:t>32</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1">
              <w:r>
                <w:rPr>
                  <w:rStyle w:val="InternetLink"/>
                  <w:rFonts w:ascii="Arial;sans-serif" w:hAnsi="Arial;sans-serif"/>
                  <w:b w:val="false"/>
                  <w:color w:val="0000FF"/>
                  <w:sz w:val="16"/>
                  <w:u w:val="single"/>
                </w:rPr>
                <w:t>Item 2.</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1">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51">
              <w:r>
                <w:rPr>
                  <w:rStyle w:val="InternetLink"/>
                  <w:rFonts w:ascii="Arial;sans-serif" w:hAnsi="Arial;sans-serif"/>
                  <w:b w:val="false"/>
                  <w:strike w:val="false"/>
                  <w:dstrike w:val="false"/>
                  <w:color w:val="000000"/>
                  <w:sz w:val="16"/>
                  <w:u w:val="none"/>
                  <w:effect w:val="none"/>
                </w:rPr>
                <w:t>68</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4">
              <w:r>
                <w:rPr>
                  <w:rStyle w:val="InternetLink"/>
                  <w:rFonts w:ascii="Arial;sans-serif" w:hAnsi="Arial;sans-serif"/>
                  <w:b w:val="false"/>
                  <w:color w:val="0000FF"/>
                  <w:sz w:val="16"/>
                  <w:u w:val="single"/>
                </w:rPr>
                <w:t>Item 3.</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4">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54">
              <w:r>
                <w:rPr>
                  <w:rStyle w:val="InternetLink"/>
                  <w:rFonts w:ascii="Arial;sans-serif" w:hAnsi="Arial;sans-serif"/>
                  <w:b w:val="false"/>
                  <w:strike w:val="false"/>
                  <w:dstrike w:val="false"/>
                  <w:color w:val="000000"/>
                  <w:sz w:val="16"/>
                  <w:u w:val="none"/>
                  <w:effect w:val="none"/>
                </w:rPr>
                <w:t>68</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7">
              <w:r>
                <w:rPr>
                  <w:rStyle w:val="InternetLink"/>
                  <w:rFonts w:ascii="Arial;sans-serif" w:hAnsi="Arial;sans-serif"/>
                  <w:b w:val="false"/>
                  <w:color w:val="0000FF"/>
                  <w:sz w:val="16"/>
                  <w:u w:val="single"/>
                </w:rPr>
                <w:t>Item 4.</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57">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57">
              <w:r>
                <w:rPr>
                  <w:rStyle w:val="InternetLink"/>
                  <w:rFonts w:ascii="Arial;sans-serif" w:hAnsi="Arial;sans-serif"/>
                  <w:b w:val="false"/>
                  <w:strike w:val="false"/>
                  <w:dstrike w:val="false"/>
                  <w:color w:val="000000"/>
                  <w:sz w:val="16"/>
                  <w:u w:val="none"/>
                  <w:effect w:val="none"/>
                </w:rPr>
                <w:t>68</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0">
              <w:r>
                <w:rPr>
                  <w:rStyle w:val="InternetLink"/>
                  <w:rFonts w:ascii="Arial;sans-serif" w:hAnsi="Arial;sans-serif"/>
                  <w:b w:val="false"/>
                  <w:color w:val="0000FF"/>
                  <w:sz w:val="16"/>
                  <w:u w:val="single"/>
                </w:rPr>
                <w:t>Item 5.</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0">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60">
              <w:r>
                <w:rPr>
                  <w:rStyle w:val="InternetLink"/>
                  <w:rFonts w:ascii="Arial;sans-serif" w:hAnsi="Arial;sans-serif"/>
                  <w:b w:val="false"/>
                  <w:strike w:val="false"/>
                  <w:dstrike w:val="false"/>
                  <w:color w:val="000000"/>
                  <w:sz w:val="16"/>
                  <w:u w:val="none"/>
                  <w:effect w:val="none"/>
                </w:rPr>
                <w:t>68</w:t>
              </w:r>
            </w:hyperlink>
          </w:p>
        </w:tc>
      </w:tr>
      <w:tr>
        <w:trPr/>
        <w:tc>
          <w:tcPr>
            <w:tcW w:w="11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6">
              <w:r>
                <w:rPr>
                  <w:rStyle w:val="InternetLink"/>
                  <w:rFonts w:ascii="Arial;sans-serif" w:hAnsi="Arial;sans-serif"/>
                  <w:b w:val="false"/>
                  <w:color w:val="0000FF"/>
                  <w:sz w:val="16"/>
                  <w:u w:val="single"/>
                </w:rPr>
                <w:t>Item 6.</w:t>
              </w:r>
            </w:hyperlink>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6">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66">
              <w:r>
                <w:rPr>
                  <w:rStyle w:val="InternetLink"/>
                  <w:rFonts w:ascii="Arial;sans-serif" w:hAnsi="Arial;sans-serif"/>
                  <w:b w:val="false"/>
                  <w:strike w:val="false"/>
                  <w:dstrike w:val="false"/>
                  <w:color w:val="000000"/>
                  <w:sz w:val="16"/>
                  <w:u w:val="none"/>
                  <w:effect w:val="none"/>
                </w:rPr>
                <w:t>70</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0a8f1083cbf4abf9c1a4bce8d733182_169">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0a8f1083cbf4abf9c1a4bce8d733182_169">
              <w:r>
                <w:rPr>
                  <w:rStyle w:val="InternetLink"/>
                  <w:rFonts w:ascii="Arial;sans-serif" w:hAnsi="Arial;sans-serif"/>
                  <w:b w:val="false"/>
                  <w:strike w:val="false"/>
                  <w:dstrike w:val="false"/>
                  <w:color w:val="000000"/>
                  <w:sz w:val="16"/>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38"/>
        <w:gridCol w:w="2225"/>
        <w:gridCol w:w="2210"/>
        <w:gridCol w:w="211"/>
        <w:gridCol w:w="826"/>
        <w:gridCol w:w="109"/>
        <w:gridCol w:w="109"/>
        <w:gridCol w:w="109"/>
        <w:gridCol w:w="109"/>
        <w:gridCol w:w="222"/>
        <w:gridCol w:w="871"/>
        <w:gridCol w:w="166"/>
      </w:tblGrid>
      <w:tr>
        <w:trPr/>
        <w:tc>
          <w:tcPr>
            <w:tcW w:w="3038"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2023</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$93 as of both March 31, 2024 and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87,698 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as of both March 31, 2024 and December 31, 2023; no shares issued and outstanding as of both March 31,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March 31, 2024 and December 31, 2023; 38,291,425 and 37,518,583 shares issued and outstanding as of March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013" w:type="dxa"/>
        <w:jc w:val="left"/>
        <w:tblInd w:w="0" w:type="dxa"/>
        <w:tblLayout w:type="fixed"/>
        <w:tblCellMar>
          <w:top w:w="28" w:type="dxa"/>
          <w:left w:w="28" w:type="dxa"/>
          <w:bottom w:w="28" w:type="dxa"/>
          <w:right w:w="28" w:type="dxa"/>
        </w:tblCellMar>
      </w:tblPr>
      <w:tblGrid>
        <w:gridCol w:w="2463"/>
        <w:gridCol w:w="2170"/>
        <w:gridCol w:w="2192"/>
        <w:gridCol w:w="244"/>
        <w:gridCol w:w="837"/>
        <w:gridCol w:w="109"/>
        <w:gridCol w:w="109"/>
        <w:gridCol w:w="109"/>
        <w:gridCol w:w="109"/>
        <w:gridCol w:w="244"/>
        <w:gridCol w:w="837"/>
        <w:gridCol w:w="109"/>
        <w:gridCol w:w="109"/>
        <w:gridCol w:w="109"/>
        <w:gridCol w:w="109"/>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in computing per share amounts,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34,597,839 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8409" w:type="dxa"/>
        <w:jc w:val="left"/>
        <w:tblInd w:w="0" w:type="dxa"/>
        <w:tblLayout w:type="fixed"/>
        <w:tblCellMar>
          <w:top w:w="28" w:type="dxa"/>
          <w:left w:w="28" w:type="dxa"/>
          <w:bottom w:w="28" w:type="dxa"/>
          <w:right w:w="28" w:type="dxa"/>
        </w:tblCellMar>
      </w:tblPr>
      <w:tblGrid>
        <w:gridCol w:w="2016"/>
        <w:gridCol w:w="1766"/>
        <w:gridCol w:w="1797"/>
        <w:gridCol w:w="211"/>
        <w:gridCol w:w="691"/>
        <w:gridCol w:w="109"/>
        <w:gridCol w:w="109"/>
        <w:gridCol w:w="109"/>
        <w:gridCol w:w="109"/>
        <w:gridCol w:w="211"/>
        <w:gridCol w:w="691"/>
        <w:gridCol w:w="109"/>
        <w:gridCol w:w="109"/>
        <w:gridCol w:w="109"/>
        <w:gridCol w:w="109"/>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gains on available-for-sale securities,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0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37,518,583 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38,291,425 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95"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30"/>
        <w:gridCol w:w="805"/>
        <w:gridCol w:w="121"/>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9"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34,625,875 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withholding on RSUs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35,298,223 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9053" w:type="dxa"/>
        <w:jc w:val="left"/>
        <w:tblInd w:w="0" w:type="dxa"/>
        <w:tblLayout w:type="fixed"/>
        <w:tblCellMar>
          <w:top w:w="28" w:type="dxa"/>
          <w:left w:w="28" w:type="dxa"/>
          <w:bottom w:w="28" w:type="dxa"/>
          <w:right w:w="28" w:type="dxa"/>
        </w:tblCellMar>
      </w:tblPr>
      <w:tblGrid>
        <w:gridCol w:w="2456"/>
        <w:gridCol w:w="2158"/>
        <w:gridCol w:w="2165"/>
        <w:gridCol w:w="196"/>
        <w:gridCol w:w="646"/>
        <w:gridCol w:w="109"/>
        <w:gridCol w:w="109"/>
        <w:gridCol w:w="109"/>
        <w:gridCol w:w="109"/>
        <w:gridCol w:w="196"/>
        <w:gridCol w:w="646"/>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Purchases of available-for-sale securities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contingent consideration for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to tax authorities for shares withheld from employees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59" w:type="dxa"/>
        <w:jc w:val="left"/>
        <w:tblInd w:w="0" w:type="dxa"/>
        <w:tblLayout w:type="fixed"/>
        <w:tblCellMar>
          <w:top w:w="28" w:type="dxa"/>
          <w:left w:w="28" w:type="dxa"/>
          <w:bottom w:w="28" w:type="dxa"/>
          <w:right w:w="28" w:type="dxa"/>
        </w:tblCellMar>
      </w:tblPr>
      <w:tblGrid>
        <w:gridCol w:w="1838"/>
        <w:gridCol w:w="1618"/>
        <w:gridCol w:w="1629"/>
        <w:gridCol w:w="196"/>
        <w:gridCol w:w="646"/>
        <w:gridCol w:w="109"/>
        <w:gridCol w:w="109"/>
        <w:gridCol w:w="109"/>
        <w:gridCol w:w="109"/>
        <w:gridCol w:w="196"/>
        <w:gridCol w:w="64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2023 and the related notes included in the Company’s Form 10-K filed on February 20, 2024 (2023 Form 10-K) with the U.S. Securities and Exchange Commission (SEC). The December 31, 2023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operating results for the three months ended March 31, 2024 are not necessarily indicative of the results to be expected for the full year or any other future interim or annual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pPr>
      <w:r>
        <w:rPr>
          <w:rFonts w:ascii="Arial;sans-serif" w:hAnsi="Arial;sans-serif"/>
          <w:b w:val="false"/>
          <w:color w:val="000000"/>
          <w:sz w:val="20"/>
        </w:rPr>
        <w:t xml:space="preserve">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w:t>
      </w:r>
      <w:r>
        <w:rPr>
          <w:rFonts w:ascii="Arial;sans-serif" w:hAnsi="Arial;sans-serif"/>
          <w:b w:val="false"/>
          <w:color w:val="000000"/>
          <w:sz w:val="20"/>
          <w:shd w:fill="FFFFFF" w:val="clear"/>
        </w:rPr>
        <w:t>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w:t>
      </w:r>
      <w:r>
        <w:rPr>
          <w:color w:val="000000"/>
        </w:rPr>
        <w:t xml:space="preserve"> </w:t>
      </w:r>
      <w:r>
        <w:rPr>
          <w:rFonts w:ascii="Arial;sans-serif" w:hAnsi="Arial;sans-serif"/>
          <w:b w:val="false"/>
          <w:color w:val="000000"/>
          <w:sz w:val="20"/>
        </w:rPr>
        <w:t>Actual results could differ from those estimates and such differences may be material to the unaudited condensed consolidated financial statements.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March 31, 2024,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both March 31, 2024 and December 31, 2023, the Company’s long-term restricted cash balance was $0.4 million, primarily related to a letter of credit for its facility lease agreement. Restricted cash, noncurrent is included in other assets on the unaudited condensed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400" w:type="dxa"/>
        <w:jc w:val="left"/>
        <w:tblInd w:w="0" w:type="dxa"/>
        <w:tblLayout w:type="fixed"/>
        <w:tblCellMar>
          <w:top w:w="28" w:type="dxa"/>
          <w:left w:w="28" w:type="dxa"/>
          <w:bottom w:w="28" w:type="dxa"/>
          <w:right w:w="28" w:type="dxa"/>
        </w:tblCellMar>
      </w:tblPr>
      <w:tblGrid>
        <w:gridCol w:w="364"/>
        <w:gridCol w:w="320"/>
        <w:gridCol w:w="321"/>
        <w:gridCol w:w="195"/>
        <w:gridCol w:w="195"/>
        <w:gridCol w:w="464"/>
        <w:gridCol w:w="109"/>
        <w:gridCol w:w="109"/>
        <w:gridCol w:w="109"/>
        <w:gridCol w:w="254"/>
        <w:gridCol w:w="254"/>
        <w:gridCol w:w="70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3302" w:type="dxa"/>
        <w:jc w:val="left"/>
        <w:tblInd w:w="0" w:type="dxa"/>
        <w:tblLayout w:type="fixed"/>
        <w:tblCellMar>
          <w:top w:w="28" w:type="dxa"/>
          <w:left w:w="28" w:type="dxa"/>
          <w:bottom w:w="28" w:type="dxa"/>
          <w:right w:w="28" w:type="dxa"/>
        </w:tblCellMar>
      </w:tblPr>
      <w:tblGrid>
        <w:gridCol w:w="364"/>
        <w:gridCol w:w="320"/>
        <w:gridCol w:w="321"/>
        <w:gridCol w:w="165"/>
        <w:gridCol w:w="166"/>
        <w:gridCol w:w="352"/>
        <w:gridCol w:w="150"/>
        <w:gridCol w:w="150"/>
        <w:gridCol w:w="150"/>
        <w:gridCol w:w="165"/>
        <w:gridCol w:w="166"/>
        <w:gridCol w:w="352"/>
        <w:gridCol w:w="109"/>
        <w:gridCol w:w="109"/>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B</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w:t>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revenue during the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have been no significant changes to the Company’s significant accounting policies during the three months ended March 31, 2024 from those disclosed in the annual consolidated financial statements for the year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Recently Issued Accounting Pronouncements</w:t>
      </w:r>
    </w:p>
    <w:p>
      <w:pPr>
        <w:pStyle w:val="TextBody"/>
        <w:bidi w:val="0"/>
        <w:spacing w:lineRule="auto" w:line="288" w:before="180" w:after="283"/>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Improvements to Income Tax Disclosures</w:t>
      </w:r>
      <w:r>
        <w:rPr>
          <w:rFonts w:ascii="Arial;sans-serif" w:hAnsi="Arial;sans-serif"/>
          <w:b w:val="false"/>
          <w:color w:val="000000"/>
          <w:sz w:val="20"/>
        </w:rPr>
        <w:t>,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either prospectively or retrospectively, the Company will adopt this ASU on a prospective basis. The Company is currently evaluating the impact of adopting this ASU on its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pPr>
      <w:r>
        <w:rPr>
          <w:rFonts w:ascii="Arial;sans-serif" w:hAnsi="Arial;sans-serif"/>
          <w:b w:val="false"/>
          <w:color w:val="000000"/>
          <w:sz w:val="20"/>
        </w:rPr>
        <w:t xml:space="preserve">In November 2023, the FASB issued ASU No. 2023-07, </w:t>
      </w:r>
      <w:r>
        <w:rPr>
          <w:rFonts w:ascii="Arial;sans-serif" w:hAnsi="Arial;sans-serif"/>
          <w:b w:val="false"/>
          <w:i/>
          <w:color w:val="000000"/>
          <w:sz w:val="20"/>
        </w:rPr>
        <w:t>Segment Reporting (Topic 280): Improvements to Reportable Segment Disclosures</w:t>
      </w:r>
      <w:r>
        <w:rPr>
          <w:rFonts w:ascii="Arial;sans-serif" w:hAnsi="Arial;sans-serif"/>
          <w:b w:val="false"/>
          <w:color w:val="000000"/>
          <w:sz w:val="20"/>
        </w:rPr>
        <w:t>,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adopting this ASU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545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accounts receivable, net, contract assets and deferred revenue (in thousands):</w:t>
      </w:r>
    </w:p>
    <w:tbl>
      <w:tblPr>
        <w:tblW w:w="5208" w:type="dxa"/>
        <w:jc w:val="left"/>
        <w:tblInd w:w="0" w:type="dxa"/>
        <w:tblLayout w:type="fixed"/>
        <w:tblCellMar>
          <w:top w:w="28" w:type="dxa"/>
          <w:left w:w="28" w:type="dxa"/>
          <w:bottom w:w="28" w:type="dxa"/>
          <w:right w:w="28" w:type="dxa"/>
        </w:tblCellMar>
      </w:tblPr>
      <w:tblGrid>
        <w:gridCol w:w="984"/>
        <w:gridCol w:w="863"/>
        <w:gridCol w:w="868"/>
        <w:gridCol w:w="196"/>
        <w:gridCol w:w="646"/>
        <w:gridCol w:w="109"/>
        <w:gridCol w:w="109"/>
        <w:gridCol w:w="109"/>
        <w:gridCol w:w="109"/>
        <w:gridCol w:w="239"/>
        <w:gridCol w:w="788"/>
        <w:gridCol w:w="18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 current portion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 noncurrent portion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2024 and 2023, the Company recognized revenue of $10.7 million and $8.6 million, respectively, that was included in the deferred revenue balance at the beginning of the respective periods. Contract assets, current, and contract assets, noncurrent are included in prepaid expenses and other current assets and other assets, respectively, on the unaudited condensed consolidated balance sheets.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2024, non-cancelable contracted but unsatisfied or partially satisfied performance obligations that have not yet been recognized is $73.6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$36.9 million of this balance over the next 12 months and the remainder thereafter. FSA commitments amounted to $5.5 million and $6.2 million as of March 31, 2024 and December 31, 2023, respectively. The Company has elected to exclude the potential future royalty receipts from these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pPr>
      <w:r>
        <w:rPr>
          <w:rFonts w:ascii="Arial;sans-serif" w:hAnsi="Arial;sans-serif"/>
          <w:b w:val="false"/>
          <w:color w:val="000000"/>
          <w:sz w:val="20"/>
        </w:rPr>
        <w:t xml:space="preserve">Incremental costs of obtaining a contract with a customer consist primarily of direct sales commissions incurred upon execution of the contract. These costs are required to be capitalized under ASC 340-40, </w:t>
      </w:r>
      <w:r>
        <w:rPr>
          <w:rFonts w:ascii="Arial;sans-serif" w:hAnsi="Arial;sans-serif"/>
          <w:b w:val="false"/>
          <w:i/>
          <w:color w:val="000000"/>
          <w:sz w:val="20"/>
        </w:rPr>
        <w:t>Other Assets and Deferred Costs—Contracts With Customers</w:t>
      </w:r>
      <w:r>
        <w:rPr>
          <w:rFonts w:ascii="Arial;sans-serif" w:hAnsi="Arial;sans-serif"/>
          <w:b w:val="false"/>
          <w:color w:val="000000"/>
          <w:sz w:val="20"/>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tbl>
      <w:tblPr>
        <w:tblW w:w="8387" w:type="dxa"/>
        <w:jc w:val="left"/>
        <w:tblInd w:w="0" w:type="dxa"/>
        <w:tblLayout w:type="fixed"/>
        <w:tblCellMar>
          <w:top w:w="28" w:type="dxa"/>
          <w:left w:w="28" w:type="dxa"/>
          <w:bottom w:w="28" w:type="dxa"/>
          <w:right w:w="28" w:type="dxa"/>
        </w:tblCellMar>
      </w:tblPr>
      <w:tblGrid>
        <w:gridCol w:w="2168"/>
        <w:gridCol w:w="1902"/>
        <w:gridCol w:w="1914"/>
        <w:gridCol w:w="196"/>
        <w:gridCol w:w="556"/>
        <w:gridCol w:w="109"/>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of capitalized sales commissions was $0.9 million for both the three months ended March 31, 2024 and 2023, and are included in sales and marketing expense in the unaudited condensed consolidated statements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7148" w:type="dxa"/>
        <w:jc w:val="left"/>
        <w:tblInd w:w="0" w:type="dxa"/>
        <w:tblLayout w:type="fixed"/>
        <w:tblCellMar>
          <w:top w:w="28" w:type="dxa"/>
          <w:left w:w="28" w:type="dxa"/>
          <w:bottom w:w="28" w:type="dxa"/>
          <w:right w:w="28" w:type="dxa"/>
        </w:tblCellMar>
      </w:tblPr>
      <w:tblGrid>
        <w:gridCol w:w="1517"/>
        <w:gridCol w:w="1333"/>
        <w:gridCol w:w="1350"/>
        <w:gridCol w:w="245"/>
        <w:gridCol w:w="716"/>
        <w:gridCol w:w="109"/>
        <w:gridCol w:w="109"/>
        <w:gridCol w:w="109"/>
        <w:gridCol w:w="109"/>
        <w:gridCol w:w="245"/>
        <w:gridCol w:w="716"/>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is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7518" w:type="dxa"/>
        <w:jc w:val="left"/>
        <w:tblInd w:w="0" w:type="dxa"/>
        <w:tblLayout w:type="fixed"/>
        <w:tblCellMar>
          <w:top w:w="28" w:type="dxa"/>
          <w:left w:w="28" w:type="dxa"/>
          <w:bottom w:w="28" w:type="dxa"/>
          <w:right w:w="28" w:type="dxa"/>
        </w:tblCellMar>
      </w:tblPr>
      <w:tblGrid>
        <w:gridCol w:w="1624"/>
        <w:gridCol w:w="1422"/>
        <w:gridCol w:w="1438"/>
        <w:gridCol w:w="435"/>
        <w:gridCol w:w="436"/>
        <w:gridCol w:w="421"/>
        <w:gridCol w:w="109"/>
        <w:gridCol w:w="109"/>
        <w:gridCol w:w="109"/>
        <w:gridCol w:w="435"/>
        <w:gridCol w:w="436"/>
        <w:gridCol w:w="544"/>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2,600,072 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3,075,452 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5,877,561 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6,143,289 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331,574 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8,712,492 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9,550,315 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8047"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468"/>
        <w:gridCol w:w="828"/>
        <w:gridCol w:w="264"/>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49,475 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76"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673"/>
        <w:gridCol w:w="1139"/>
        <w:gridCol w:w="377"/>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Certificate of deposit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Commercial paper</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49,796 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2834" w:type="dxa"/>
        <w:jc w:val="left"/>
        <w:tblInd w:w="0" w:type="dxa"/>
        <w:tblLayout w:type="fixed"/>
        <w:tblCellMar>
          <w:top w:w="28" w:type="dxa"/>
          <w:left w:w="28" w:type="dxa"/>
          <w:bottom w:w="28" w:type="dxa"/>
          <w:right w:w="28" w:type="dxa"/>
        </w:tblCellMar>
      </w:tblPr>
      <w:tblGrid>
        <w:gridCol w:w="553"/>
        <w:gridCol w:w="486"/>
        <w:gridCol w:w="490"/>
        <w:gridCol w:w="257"/>
        <w:gridCol w:w="847"/>
        <w:gridCol w:w="201"/>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49,475 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March 31, 2024 and December 31, 2023, securities with a fair value of $1.7 million and $3.7 million, respectively, were in a continuous net unrealized loss position for more than 12 months. As of both March 31, 2024 and December 31,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March 31, 2024 and December 31, 2023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$3.1 million and $3.4 million as of March 31, 2024 and December 31, 2023,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7275" w:type="dxa"/>
        <w:jc w:val="left"/>
        <w:tblInd w:w="0" w:type="dxa"/>
        <w:tblLayout w:type="fixed"/>
        <w:tblCellMar>
          <w:top w:w="28" w:type="dxa"/>
          <w:left w:w="28" w:type="dxa"/>
          <w:bottom w:w="28" w:type="dxa"/>
          <w:right w:w="28" w:type="dxa"/>
        </w:tblCellMar>
      </w:tblPr>
      <w:tblGrid>
        <w:gridCol w:w="968"/>
        <w:gridCol w:w="855"/>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85" w:type="dxa"/>
        <w:jc w:val="left"/>
        <w:tblInd w:w="0" w:type="dxa"/>
        <w:tblLayout w:type="fixed"/>
        <w:tblCellMar>
          <w:top w:w="28" w:type="dxa"/>
          <w:left w:w="28" w:type="dxa"/>
          <w:bottom w:w="28" w:type="dxa"/>
          <w:right w:w="28" w:type="dxa"/>
        </w:tblCellMar>
      </w:tblPr>
      <w:tblGrid>
        <w:gridCol w:w="968"/>
        <w:gridCol w:w="855"/>
        <w:gridCol w:w="862"/>
        <w:gridCol w:w="196"/>
        <w:gridCol w:w="55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Certificate of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7.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March 31, 2024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IPR&amp;D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3,662 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2023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IPR&amp;D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Amortization expense of intangible assets was </w:t>
      </w:r>
      <w:r>
        <w:rPr>
          <w:rFonts w:ascii="Arial;sans-serif" w:hAnsi="Arial;sans-serif"/>
          <w:b w:val="false"/>
          <w:color w:val="000000"/>
          <w:sz w:val="20"/>
          <w:shd w:fill="FFFFFF" w:val="clear"/>
        </w:rPr>
        <w:t>$0.2 million</w:t>
      </w:r>
      <w:r>
        <w:rPr>
          <w:color w:val="000000"/>
        </w:rPr>
        <w:t xml:space="preserve"> </w:t>
      </w:r>
      <w:r>
        <w:rPr>
          <w:rFonts w:ascii="Arial;sans-serif" w:hAnsi="Arial;sans-serif"/>
          <w:b w:val="false"/>
          <w:color w:val="000000"/>
          <w:sz w:val="20"/>
        </w:rPr>
        <w:t>for both the three months ended March 31, 2024 and 2023.</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expected future amortization expense of these intangible assets as of </w:t>
      </w:r>
      <w:r>
        <w:rPr>
          <w:rFonts w:ascii="Arial;sans-serif" w:hAnsi="Arial;sans-serif"/>
          <w:b w:val="false"/>
          <w:color w:val="000000"/>
          <w:sz w:val="20"/>
        </w:rPr>
        <w:t>March 31, 2024</w:t>
      </w:r>
      <w:r>
        <w:rPr>
          <w:color w:val="000000"/>
          <w:shd w:fill="FFFFFF" w:val="clear"/>
        </w:rPr>
        <w:t xml:space="preserve"> </w:t>
      </w:r>
      <w:r>
        <w:rPr>
          <w:rFonts w:ascii="Arial;sans-serif" w:hAnsi="Arial;sans-serif"/>
          <w:b w:val="false"/>
          <w:color w:val="000000"/>
          <w:sz w:val="20"/>
          <w:shd w:fill="FFFFFF" w:val="clear"/>
        </w:rPr>
        <w:t>is as follows (in thousands)</w:t>
      </w:r>
      <w:r>
        <w:rPr>
          <w:rFonts w:ascii="Arial;sans-serif" w:hAnsi="Arial;sans-serif"/>
          <w:b w:val="false"/>
          <w:color w:val="000000"/>
          <w:sz w:val="20"/>
        </w:rPr>
        <w:t>:</w:t>
      </w:r>
    </w:p>
    <w:p>
      <w:pPr>
        <w:pStyle w:val="TextBody"/>
        <w:bidi w:val="0"/>
        <w:spacing w:before="0" w:after="0"/>
        <w:jc w:val="both"/>
        <w:rPr/>
      </w:pPr>
      <w:r>
        <w:rPr/>
      </w:r>
    </w:p>
    <w:tbl>
      <w:tblPr>
        <w:tblW w:w="3575" w:type="dxa"/>
        <w:jc w:val="left"/>
        <w:tblInd w:w="0" w:type="dxa"/>
        <w:tblLayout w:type="fixed"/>
        <w:tblCellMar>
          <w:top w:w="28" w:type="dxa"/>
          <w:left w:w="28" w:type="dxa"/>
          <w:bottom w:w="28" w:type="dxa"/>
          <w:right w:w="28" w:type="dxa"/>
        </w:tblCellMar>
      </w:tblPr>
      <w:tblGrid>
        <w:gridCol w:w="966"/>
        <w:gridCol w:w="849"/>
        <w:gridCol w:w="854"/>
        <w:gridCol w:w="196"/>
        <w:gridCol w:w="55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pPr>
      <w:r>
        <w:rPr>
          <w:rFonts w:ascii="Arial;sans-serif" w:hAnsi="Arial;sans-serif"/>
          <w:b w:val="false"/>
          <w:color w:val="000000"/>
          <w:sz w:val="20"/>
        </w:rPr>
        <w:t xml:space="preserve">As of both March 31, 2024 and December 31, 2023, goodwill was </w:t>
      </w:r>
      <w:r>
        <w:rPr>
          <w:rFonts w:ascii="Arial;sans-serif" w:hAnsi="Arial;sans-serif"/>
          <w:b w:val="false"/>
          <w:color w:val="000000"/>
          <w:sz w:val="20"/>
          <w:shd w:fill="FFFFFF" w:val="clear"/>
        </w:rPr>
        <w:t xml:space="preserve">$4.2 million. </w:t>
      </w:r>
      <w:r>
        <w:rPr>
          <w:rFonts w:ascii="Arial;sans-serif" w:hAnsi="Arial;sans-serif"/>
          <w:b w:val="false"/>
          <w:color w:val="000000"/>
          <w:sz w:val="20"/>
        </w:rPr>
        <w:t>No goodwill impairments were recorded during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3955"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The weighted-average remaining term of the Company’s operating leases was 4.6 years and 4.8 years as of March 31, 2024 and December 31, 2023, respectively, and the weighted-average discount rate used to measure the present value of the operating lease liabilities was 10.0% as of both March 31, 2024 and December 31, 2023. Cash payments made related to operating lease liabilities were </w:t>
      </w:r>
      <w:r>
        <w:rPr>
          <w:rFonts w:ascii="Arial;sans-serif" w:hAnsi="Arial;sans-serif"/>
          <w:b w:val="false"/>
          <w:color w:val="000000"/>
          <w:sz w:val="20"/>
          <w:shd w:fill="FFFFFF" w:val="clear"/>
        </w:rPr>
        <w:t xml:space="preserve">$0.2 million and $0.3 million </w:t>
      </w:r>
      <w:r>
        <w:rPr>
          <w:rFonts w:ascii="Arial;sans-serif" w:hAnsi="Arial;sans-serif"/>
          <w:b w:val="false"/>
          <w:color w:val="000000"/>
          <w:sz w:val="20"/>
        </w:rPr>
        <w:t xml:space="preserve">for the three months ended March 31, 2024 and </w:t>
      </w:r>
      <w:r>
        <w:rPr>
          <w:rFonts w:ascii="Arial;sans-serif" w:hAnsi="Arial;sans-serif"/>
          <w:b w:val="false"/>
          <w:color w:val="000000"/>
          <w:sz w:val="20"/>
          <w:shd w:fill="FFFFFF" w:val="clear"/>
        </w:rPr>
        <w:t>2023,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March 31, 2024 were as follows (in thousands):</w:t>
      </w:r>
    </w:p>
    <w:tbl>
      <w:tblPr>
        <w:tblW w:w="3755" w:type="dxa"/>
        <w:jc w:val="left"/>
        <w:tblInd w:w="0" w:type="dxa"/>
        <w:tblLayout w:type="fixed"/>
        <w:tblCellMar>
          <w:top w:w="28" w:type="dxa"/>
          <w:left w:w="28" w:type="dxa"/>
          <w:bottom w:w="28" w:type="dxa"/>
          <w:right w:w="28" w:type="dxa"/>
        </w:tblCellMar>
      </w:tblPr>
      <w:tblGrid>
        <w:gridCol w:w="1031"/>
        <w:gridCol w:w="906"/>
        <w:gridCol w:w="912"/>
        <w:gridCol w:w="196"/>
        <w:gridCol w:w="55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w:t>
      </w:r>
      <w:r>
        <w:rPr>
          <w:rFonts w:ascii="Arial;sans-serif" w:hAnsi="Arial;sans-serif"/>
          <w:b w:val="false"/>
          <w:color w:val="000000"/>
          <w:sz w:val="20"/>
          <w:shd w:fill="FFFFFF" w:val="clear"/>
        </w:rPr>
        <w:t xml:space="preserve">yment terms on the purchase of software licenses and equipment. In order to determine the present value of the commitments, the Company used an imputed interest rate of </w:t>
      </w:r>
      <w:r>
        <w:rPr>
          <w:rFonts w:ascii="Arial;sans-serif" w:hAnsi="Arial;sans-serif"/>
          <w:b w:val="false"/>
          <w:color w:val="000000"/>
          <w:sz w:val="20"/>
        </w:rPr>
        <w:t>10.0%</w:t>
      </w:r>
      <w:r>
        <w:rPr>
          <w:rFonts w:ascii="Arial;sans-serif" w:hAnsi="Arial;sans-serif"/>
          <w:b w:val="false"/>
          <w:color w:val="000000"/>
          <w:sz w:val="20"/>
          <w:shd w:fill="FFFFFF" w:val="clear"/>
        </w:rPr>
        <w:t>,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March 31, 2024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Interest expense from vendor financing arrangements was $0.1 million for both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305"/>
                <wp:effectExtent l="0" t="0" r="0" b="0"/>
                <wp:wrapNone/>
                <wp:docPr id="15" name="Frame15"/>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Letter of Credit</w:t>
      </w:r>
      <w:r>
        <w:rPr>
          <w:color w:val="000000"/>
          <w:shd w:fill="FFFFFF" w:val="clear"/>
        </w:rPr>
        <w:t>—</w:t>
      </w:r>
      <w:r>
        <w:rPr>
          <w:rFonts w:ascii="Arial;sans-serif" w:hAnsi="Arial;sans-serif"/>
          <w:b w:val="false"/>
          <w:color w:val="000000"/>
          <w:sz w:val="20"/>
          <w:shd w:fill="FFFFFF" w:val="clear"/>
        </w:rPr>
        <w:t xml:space="preserve">In conjunction with the execution of the operating lease for the Company’s new headquarter facility, a letter of credit in the amount of </w:t>
      </w:r>
      <w:r>
        <w:rPr>
          <w:rFonts w:ascii="Arial;sans-serif" w:hAnsi="Arial;sans-serif"/>
          <w:b w:val="false"/>
          <w:color w:val="000000"/>
          <w:sz w:val="20"/>
        </w:rPr>
        <w:t>$0.4 million</w:t>
      </w:r>
      <w:r>
        <w:rPr>
          <w:color w:val="000000"/>
          <w:shd w:fill="FFFFFF" w:val="clear"/>
        </w:rPr>
        <w:t xml:space="preserve"> </w:t>
      </w:r>
      <w:r>
        <w:rPr>
          <w:rFonts w:ascii="Arial;sans-serif" w:hAnsi="Arial;sans-serif"/>
          <w:b w:val="false"/>
          <w:color w:val="000000"/>
          <w:sz w:val="20"/>
          <w:shd w:fill="FFFFFF" w:val="clear"/>
        </w:rPr>
        <w:t xml:space="preserve">was issued and outstanding as of both March 31, 2024 and </w:t>
      </w:r>
      <w:r>
        <w:rPr>
          <w:rFonts w:ascii="Arial;sans-serif" w:hAnsi="Arial;sans-serif"/>
          <w:b w:val="false"/>
          <w:color w:val="000000"/>
          <w:sz w:val="20"/>
        </w:rPr>
        <w:t>December 31, 2023</w:t>
      </w:r>
      <w:r>
        <w:rPr>
          <w:rFonts w:ascii="Arial;sans-serif" w:hAnsi="Arial;sans-serif"/>
          <w:b w:val="false"/>
          <w:color w:val="000000"/>
          <w:sz w:val="20"/>
          <w:shd w:fill="FFFFFF" w:val="clear"/>
        </w:rPr>
        <w:t xml:space="preserve">. No draws have been made under such letter of credit.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Company has incurred no actual payment obligations from these above-noted indemnification provisions and director and officer indemnity agreements for three months ended March 31, 2024 and 2023 and the unaudited condensed consolidated financial statements do not include liabilities for any potential indemnity-related obligations as of March 31, 2024 and </w:t>
      </w:r>
      <w:r>
        <w:rPr>
          <w:rFonts w:ascii="Arial;sans-serif" w:hAnsi="Arial;sans-serif"/>
          <w:b w:val="false"/>
          <w:color w:val="000000"/>
          <w:sz w:val="20"/>
        </w:rPr>
        <w:t>December 31, 2023</w:t>
      </w:r>
      <w:r>
        <w:rPr>
          <w:rFonts w:ascii="Arial;sans-serif" w:hAnsi="Arial;sans-serif"/>
          <w:b w:val="false"/>
          <w:color w:val="000000"/>
          <w:sz w:val="20"/>
          <w:shd w:fill="FFFFFF" w:val="clear"/>
        </w:rPr>
        <w:t xml:space="preserve">.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normal course of business, the Company may receive inquiries or become involved in legal disputes regarding such litigation matters.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2022, the Company received notice of a complaint filed against the Company and another defendant in the semiconductor industry, by Network System Technologies, LLC in the United States District Court for the Western District of Texas, and additional complaints were filed in the Eastern District of Texas against certain companies, including some customers of the Company, asserting among other things patent infringement relating to the Company’s technology seeking damages and injunctive relief. The Company filed a Motion to Dismiss the indirect and willful infringement claims in the Amended Complaint on September 5, 2023 and claim construction hearings, the results of which are pending, in the Western District of Texas. These complaints and claims are complex in subject matter, multiple in number, in varying stages among the courts in which complaints were filed and indeterminate as to the amount of damages sought. The Company continues to vigorously defend itself in respect to these complaints and anticipates an increase in legal expenses to do so.</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Due to the inherent uncertainties and complex technical issues arising from such intellectual property litigation, the Company cannot predict or guarantee any result of such intellectual property litigation. As with any such litigation of this complexity,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material contractual noncancelable commitments as of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11.     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loss (in thousands):</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12.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effective tax rate was (4.1)% and (3.4)% for the three months ended March 31, 2024 and 2023, respectively. The Company’s income tax provision was $0.4 million and $0.3 million for the three months ended March 31, 2024 and 2023, respectively. The change in forecasted foreign withholding tax, changes in the geographic mix of worldwide earnings which are taxed at different rates, and the impact of losses in jurisdictions with full valuation allowances, has resulted in an increase in the income tax provision for the period ended March 31, 2024 compared to the period ended March 31, 2023.</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March 31, 2024, concluded that a full valuation allowance on its federal, state, and certain foreign jurisdictions deferred tax assets was still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March 31, 2024 and 2023, the Company’s gross liability for unrecognized tax benefits was $3.5 million and $2.6 million, respectively. The Company’s practice is to recognize interest and/or penalties related to income tax matters in income tax expense. As of March 31, 2024 and 2023,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13.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defines related parties as directors, executive officers, nominees for director, stockholders that have significant influence over the Company, or are a greater than 10% beneficial owner of the Company’s capital and their affiliates or immediate family members. </w:t>
      </w:r>
    </w:p>
    <w:p>
      <w:pPr>
        <w:pStyle w:val="TextBody"/>
        <w:bidi w:val="0"/>
        <w:spacing w:lineRule="auto" w:line="288" w:before="180" w:after="283"/>
        <w:jc w:val="both"/>
        <w:rPr/>
      </w:pPr>
      <w:r>
        <w:rPr>
          <w:rFonts w:ascii="Arial;sans-serif" w:hAnsi="Arial;sans-serif"/>
          <w:b w:val="false"/>
          <w:color w:val="000000"/>
          <w:sz w:val="20"/>
        </w:rPr>
        <w:t>In November 2020, the Company entered into a lease agreement with Isabelle Geday, a member of the Board of Directors. The lease payments were less than $0.1 million for both the three months ended March 31, 2024 and 2023. In addition, the Company signed a consulting agreement with Ms. Geday on December 1</w:t>
      </w:r>
      <w:r>
        <w:rPr>
          <w:rFonts w:ascii="Arial;sans-serif" w:hAnsi="Arial;sans-serif"/>
          <w:b w:val="false"/>
          <w:color w:val="000000"/>
          <w:sz w:val="20"/>
          <w:shd w:fill="FFFFFF" w:val="clear"/>
        </w:rPr>
        <w:t xml:space="preserve">,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both the </w:t>
      </w:r>
      <w:r>
        <w:rPr>
          <w:rFonts w:ascii="Arial;sans-serif" w:hAnsi="Arial;sans-serif"/>
          <w:b w:val="false"/>
          <w:color w:val="000000"/>
          <w:sz w:val="20"/>
        </w:rPr>
        <w:t>three months ended March 31, 2024 and 2023</w:t>
      </w:r>
      <w:r>
        <w:rPr>
          <w:rFonts w:ascii="Arial;sans-serif" w:hAnsi="Arial;sans-serif"/>
          <w:b w:val="false"/>
          <w:color w:val="000000"/>
          <w:sz w:val="20"/>
          <w:shd w:fill="FFFFFF" w:val="clear"/>
        </w:rPr>
        <w:t xml:space="preserve">, the Company paid Ms. Geday </w:t>
      </w:r>
      <w:r>
        <w:rPr>
          <w:rFonts w:ascii="Arial;sans-serif" w:hAnsi="Arial;sans-serif"/>
          <w:b w:val="false"/>
          <w:color w:val="000000"/>
          <w:sz w:val="20"/>
        </w:rPr>
        <w:t>$0.1 million</w:t>
      </w:r>
      <w:r>
        <w:rPr>
          <w:color w:val="000000"/>
          <w:shd w:fill="FFFFFF" w:val="clear"/>
        </w:rPr>
        <w:t xml:space="preserve"> </w:t>
      </w:r>
      <w:r>
        <w:rPr>
          <w:rFonts w:ascii="Arial;sans-serif" w:hAnsi="Arial;sans-serif"/>
          <w:b w:val="false"/>
          <w:color w:val="000000"/>
          <w:sz w:val="20"/>
          <w:shd w:fill="FFFFFF" w:val="clear"/>
        </w:rPr>
        <w:t>for consulting services. Lastly, the 455,000 stock options and 62,200 RSUs granted in connection with Ms. Geday’s prior employment continue to vest.</w:t>
      </w:r>
    </w:p>
    <w:p>
      <w:pPr>
        <w:pStyle w:val="TextBody"/>
        <w:bidi w:val="0"/>
        <w:spacing w:lineRule="auto" w:line="288" w:before="180" w:after="283"/>
        <w:jc w:val="both"/>
        <w:rPr/>
      </w:pPr>
      <w:r>
        <w:rPr>
          <w:rFonts w:ascii="Arial;sans-serif" w:hAnsi="Arial;sans-serif"/>
          <w:b w:val="false"/>
          <w:color w:val="000000"/>
          <w:sz w:val="20"/>
          <w:shd w:fill="FFFFFF" w:val="clear"/>
        </w:rPr>
        <w:t xml:space="preserve">In December 2022, the Company entered into a no-fee non-exclusive evaluation license agreement of Magillem products with Transchip Technology (Nanjing) Co., Ltd. (Transchip), an equity method investee. The evaluation was extended and is ongoing as of </w:t>
      </w:r>
      <w:r>
        <w:rPr>
          <w:rFonts w:ascii="Arial;sans-serif" w:hAnsi="Arial;sans-serif"/>
          <w:b w:val="false"/>
          <w:color w:val="000000"/>
          <w:sz w:val="20"/>
        </w:rPr>
        <w:t>March 31, 2024</w:t>
      </w:r>
      <w:r>
        <w:rPr>
          <w:rFonts w:ascii="Arial;sans-serif" w:hAnsi="Arial;sans-serif"/>
          <w:b w:val="false"/>
          <w:color w:val="000000"/>
          <w:sz w:val="20"/>
          <w:shd w:fill="FFFFFF" w:val="clear"/>
        </w:rPr>
        <w:t>. Commencing August 2023, Transchip is carrying out a no-fee evaluation of additional Company products. Refer to Note 15 in the 2023 Form 10-K for additional discussion of the Company’s transactions with Transchip.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2023 included in the 2023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2023 Form 10-K.</w:t>
      </w:r>
    </w:p>
    <w:p>
      <w:pPr>
        <w:pStyle w:val="TextBody"/>
        <w:bidi w:val="0"/>
        <w:spacing w:lineRule="auto" w:line="26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for which implement the communication protocol aspects and partner with industry leading providers like Synopsys, Cadence, Alphawave and others to connect to their die to 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SoC Integration Automation software (SIA)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SIA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2024, we had 255 full-time employees and offices in eight locations in the United States, France, China, South Korea and Japan. For the three months ended March 31, 2024, we generated revenue of $12.9 million, net loss of $9.4 million, and net loss per share, basic and diluted of $0.25. As of March 31, 2024, we had Annual Contract Value (as defined below) of $53.5 million. During the three months ended March 31, 2024, we had 21 Confirmed Design Starts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revenue from period to period can be impacted by the terms of the agreements we enter into with our customers. For example, in recent periods we have made certain changes to SIA agreements that result in the ratable recognition of the related license revenue over the contract term. As a result of how these contracts are structured and the revenue is recognized, our revenue in the </w:t>
      </w:r>
      <w:r>
        <w:rPr>
          <w:rFonts w:ascii="Arial;sans-serif" w:hAnsi="Arial;sans-serif"/>
          <w:b w:val="false"/>
          <w:color w:val="000000"/>
          <w:sz w:val="20"/>
        </w:rPr>
        <w:t>three months ended March 31, 2024</w:t>
      </w:r>
      <w:r>
        <w:rPr>
          <w:color w:val="000000"/>
          <w:shd w:fill="FFFFFF" w:val="clear"/>
        </w:rPr>
        <w:t xml:space="preserve"> </w:t>
      </w:r>
      <w:r>
        <w:rPr>
          <w:rFonts w:ascii="Arial;sans-serif" w:hAnsi="Arial;sans-serif"/>
          <w:b w:val="false"/>
          <w:color w:val="000000"/>
          <w:sz w:val="20"/>
          <w:shd w:fill="FFFFFF" w:val="clear"/>
        </w:rPr>
        <w:t>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 of other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believe our products’ global footprint provides us with the opportunity to enter new markets and accelerate our growth. For the </w:t>
      </w:r>
      <w:r>
        <w:rPr>
          <w:rFonts w:ascii="Arial;sans-serif" w:hAnsi="Arial;sans-serif"/>
          <w:b w:val="false"/>
          <w:color w:val="000000"/>
          <w:sz w:val="20"/>
        </w:rPr>
        <w:t xml:space="preserve">three months ended March 31, 2024, 65.7% of our revenue was derived from sales to customers outside of the United States and 30.5% of our revenue was derived from customers located in China, respectively. </w:t>
      </w:r>
      <w:r>
        <w:rPr>
          <w:rFonts w:ascii="Arial;sans-serif" w:hAnsi="Arial;sans-serif"/>
          <w:b w:val="false"/>
          <w:color w:val="000000"/>
          <w:sz w:val="20"/>
          <w:shd w:fill="FFFFFF" w:val="clear"/>
        </w:rPr>
        <w:t>For 2023, 65.4% of our revenue was derived from sales to customers outside of the United States and 31.1%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and further amended effective November 17, 2023,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COVID-19 Impact </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duration and extent of the COVID-19 pandemic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w:t>
      </w:r>
      <w:r>
        <w:rPr>
          <w:rFonts w:ascii="Arial;sans-serif" w:hAnsi="Arial;sans-serif"/>
          <w:b w:val="false"/>
          <w:color w:val="000000"/>
          <w:sz w:val="20"/>
        </w:rPr>
        <w:t>three months ended March 31, 2024</w:t>
      </w:r>
      <w:r>
        <w:rPr>
          <w:rFonts w:ascii="Arial;sans-serif" w:hAnsi="Arial;sans-serif"/>
          <w:b w:val="false"/>
          <w:color w:val="000000"/>
          <w:sz w:val="20"/>
          <w:shd w:fill="FFFFFF" w:val="clear"/>
        </w:rPr>
        <w: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unable to accurately predict the full impact that COVID-19 or any future pandemics will have on our future results of operations, financial condition, liquidity and cash flows due to numerous uncertainties, including the duration and severity of any future pandemics and containment measures. Although we expect most of our employees to return to physical offices, the nature and extent of that return is uncertain and differs among jurisdictions. For additional details, see the section titled “Risk Factors—Our business has been, and may continue to be, adversely affected by health epidemics, pandemics and other outbreaks of infectious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$53.5 million and $51.4 million as of March 31, 2024 and 2023, respectively. In addition, total ACV and trailing-twelve-months variable royalties and other revenue was $58.2 million and $54.8 million as of March 31, 2024 and March 31, 2023, respectively.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Active 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Active Customers as customers who have entered into a license agreement with us that remains in effect. The retention and expansion of our relationships with existing customers are key indicators of our revenue potential. We added one and six net new Active Customers during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21 and 22 design starts during the three months ended March 31, 2024 and 2023, respectively. We believe that the number of Confirmed Design Starts is an important indicator of the growth of our business and future royalty revenue trends.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$74.7 million and $57.3 million as of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 xml:space="preserve">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the </w:t>
      </w:r>
      <w:r>
        <w:rPr>
          <w:rFonts w:ascii="Arial;sans-serif" w:hAnsi="Arial;sans-serif"/>
          <w:b w:val="false"/>
          <w:color w:val="000000"/>
          <w:sz w:val="20"/>
        </w:rPr>
        <w:t>three months ended March 31, 2024 and 2023</w:t>
      </w:r>
      <w:r>
        <w:rPr>
          <w:rFonts w:ascii="Arial;sans-serif" w:hAnsi="Arial;sans-serif"/>
          <w:b w:val="false"/>
          <w:color w:val="000000"/>
          <w:sz w:val="20"/>
          <w:shd w:fill="FFFFFF" w:val="clear"/>
        </w:rPr>
        <w:t>, respectively.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SIA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w:t>
      </w:r>
      <w:r>
        <w:rPr>
          <w:rFonts w:ascii="Arial;sans-serif" w:hAnsi="Arial;sans-serif"/>
          <w:b w:val="false"/>
          <w:color w:val="000000"/>
          <w:sz w:val="20"/>
        </w:rPr>
        <w:t>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Cost of revenue relates to costs associated with our licensing agreements and support and maintenance, including 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r>
        <w:rPr>
          <w:color w:val="000000"/>
        </w:rPr>
        <w:t xml:space="preserve"> </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GAAP results of operations for the periods presented. The results below are not necessarily indicative of results to be expected for future periods. </w:t>
      </w:r>
    </w:p>
    <w:tbl>
      <w:tblPr>
        <w:tblW w:w="7660" w:type="dxa"/>
        <w:jc w:val="left"/>
        <w:tblInd w:w="0" w:type="dxa"/>
        <w:tblLayout w:type="fixed"/>
        <w:tblCellMar>
          <w:top w:w="28" w:type="dxa"/>
          <w:left w:w="28" w:type="dxa"/>
          <w:bottom w:w="28" w:type="dxa"/>
          <w:right w:w="28" w:type="dxa"/>
        </w:tblCellMar>
      </w:tblPr>
      <w:tblGrid>
        <w:gridCol w:w="1792"/>
        <w:gridCol w:w="1574"/>
        <w:gridCol w:w="1584"/>
        <w:gridCol w:w="196"/>
        <w:gridCol w:w="646"/>
        <w:gridCol w:w="109"/>
        <w:gridCol w:w="109"/>
        <w:gridCol w:w="109"/>
        <w:gridCol w:w="109"/>
        <w:gridCol w:w="196"/>
        <w:gridCol w:w="646"/>
        <w:gridCol w:w="109"/>
        <w:gridCol w:w="109"/>
        <w:gridCol w:w="109"/>
        <w:gridCol w:w="109"/>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(1)Includes stock-based compensation expense as follows: </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total revenue for each of the periods indicated:</w:t>
      </w:r>
    </w:p>
    <w:tbl>
      <w:tblPr>
        <w:tblW w:w="8004" w:type="dxa"/>
        <w:jc w:val="left"/>
        <w:tblInd w:w="0" w:type="dxa"/>
        <w:tblLayout w:type="fixed"/>
        <w:tblCellMar>
          <w:top w:w="28" w:type="dxa"/>
          <w:left w:w="28" w:type="dxa"/>
          <w:bottom w:w="28" w:type="dxa"/>
          <w:right w:w="28" w:type="dxa"/>
        </w:tblCellMar>
      </w:tblPr>
      <w:tblGrid>
        <w:gridCol w:w="1791"/>
        <w:gridCol w:w="1572"/>
        <w:gridCol w:w="1586"/>
        <w:gridCol w:w="220"/>
        <w:gridCol w:w="220"/>
        <w:gridCol w:w="517"/>
        <w:gridCol w:w="220"/>
        <w:gridCol w:w="220"/>
        <w:gridCol w:w="220"/>
        <w:gridCol w:w="220"/>
        <w:gridCol w:w="220"/>
        <w:gridCol w:w="517"/>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March 31, 2024 and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35"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496"/>
        <w:gridCol w:w="109"/>
        <w:gridCol w:w="109"/>
        <w:gridCol w:w="109"/>
        <w:gridCol w:w="109"/>
        <w:gridCol w:w="203"/>
        <w:gridCol w:w="203"/>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 meaningful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licensing, support and maintenance remained relatively flat for the three months ended March 31, 2024 compared to the three months ended March 31, 2023. The change in variable royalty revenue was due to a temporary decrease in volume from a certain large customer in the first quarter of 2024. Other revenue increased due to timing of completion of professional services.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35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65"/>
        <w:gridCol w:w="166"/>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$0.3 million or 31%, to $1.5 million for the three months ended March 31, 2024 from $1.1 million for the three months ended March 31, 2023. The increase in cost of revenue during the three months ended March 31, 2024 was primarily due to higher FAE employee-related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431"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496"/>
        <w:gridCol w:w="109"/>
        <w:gridCol w:w="109"/>
        <w:gridCol w:w="109"/>
        <w:gridCol w:w="109"/>
        <w:gridCol w:w="158"/>
        <w:gridCol w:w="158"/>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decreased, $0.5 million, or 5%, to $10.8 million for the three months ended March 31, 2024 from $11.4 million for the three months ended March 31, 2023. The decrease in R&amp;D expenses was primarily due to $0.4 million of grants to our subsidiary in France for R&amp;D projects.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$0.5 million, or 9%, to $5.5 million for the three months ended March 31, 2024 from $5.0 million for the three months ended March 31, 2023. The increase in S&amp;M expenses was primarily due to higher employee-related costs of $0.4 million mainly driven by increased headcount to support growth of our business. We also incurred company-wide event costs of $0.3 million primarily due to an in-person sales event that was held in the second quarter of 2023, partially offset by a decrease in professional fees of $0.1 million.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G&amp;A expenses remained relatively flat for the three months ended March 31, 2024 compared to the three months ended March 31, 2023.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23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406"/>
        <w:gridCol w:w="109"/>
        <w:gridCol w:w="109"/>
        <w:gridCol w:w="109"/>
        <w:gridCol w:w="109"/>
        <w:gridCol w:w="210"/>
        <w:gridCol w:w="211"/>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three months ended March 31, 2024 compared to the three months ended March 31,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585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331"/>
        <w:gridCol w:w="109"/>
        <w:gridCol w:w="109"/>
        <w:gridCol w:w="109"/>
        <w:gridCol w:w="109"/>
        <w:gridCol w:w="120"/>
        <w:gridCol w:w="121"/>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remained relatively flat for the three months ended March 31, 2024 compared to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540" w:type="dxa"/>
        <w:jc w:val="left"/>
        <w:tblInd w:w="0" w:type="dxa"/>
        <w:tblLayout w:type="fixed"/>
        <w:tblCellMar>
          <w:top w:w="28" w:type="dxa"/>
          <w:left w:w="28" w:type="dxa"/>
          <w:bottom w:w="28" w:type="dxa"/>
          <w:right w:w="28" w:type="dxa"/>
        </w:tblCellMar>
      </w:tblPr>
      <w:tblGrid>
        <w:gridCol w:w="1000"/>
        <w:gridCol w:w="877"/>
        <w:gridCol w:w="883"/>
        <w:gridCol w:w="198"/>
        <w:gridCol w:w="426"/>
        <w:gridCol w:w="110"/>
        <w:gridCol w:w="110"/>
        <w:gridCol w:w="110"/>
        <w:gridCol w:w="110"/>
        <w:gridCol w:w="198"/>
        <w:gridCol w:w="426"/>
        <w:gridCol w:w="110"/>
        <w:gridCol w:w="109"/>
        <w:gridCol w:w="109"/>
        <w:gridCol w:w="109"/>
        <w:gridCol w:w="196"/>
        <w:gridCol w:w="406"/>
        <w:gridCol w:w="109"/>
        <w:gridCol w:w="109"/>
        <w:gridCol w:w="109"/>
        <w:gridCol w:w="109"/>
        <w:gridCol w:w="158"/>
        <w:gridCol w:w="158"/>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from equity method investment remained relatively flat for the three months ended March 31, 2024 compared to the three months ended March 31, 2023. Such losses are expected to continue in the near future.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income taxes</w:t>
      </w:r>
    </w:p>
    <w:tbl>
      <w:tblPr>
        <w:tblW w:w="5774" w:type="dxa"/>
        <w:jc w:val="left"/>
        <w:tblInd w:w="0" w:type="dxa"/>
        <w:tblLayout w:type="fixed"/>
        <w:tblCellMar>
          <w:top w:w="28" w:type="dxa"/>
          <w:left w:w="28" w:type="dxa"/>
          <w:bottom w:w="28" w:type="dxa"/>
          <w:right w:w="28" w:type="dxa"/>
        </w:tblCellMar>
      </w:tblPr>
      <w:tblGrid>
        <w:gridCol w:w="743"/>
        <w:gridCol w:w="653"/>
        <w:gridCol w:w="658"/>
        <w:gridCol w:w="198"/>
        <w:gridCol w:w="426"/>
        <w:gridCol w:w="110"/>
        <w:gridCol w:w="110"/>
        <w:gridCol w:w="110"/>
        <w:gridCol w:w="110"/>
        <w:gridCol w:w="198"/>
        <w:gridCol w:w="426"/>
        <w:gridCol w:w="110"/>
        <w:gridCol w:w="109"/>
        <w:gridCol w:w="109"/>
        <w:gridCol w:w="109"/>
        <w:gridCol w:w="196"/>
        <w:gridCol w:w="331"/>
        <w:gridCol w:w="109"/>
        <w:gridCol w:w="109"/>
        <w:gridCol w:w="109"/>
        <w:gridCol w:w="109"/>
        <w:gridCol w:w="165"/>
        <w:gridCol w:w="166"/>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income taxes was $0.4 million for the three months ended March 31, 2024 compared to $0.3 million for the three months ended March 31, 2023.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40" w:after="283"/>
        <w:jc w:val="both"/>
        <w:rPr/>
      </w:pPr>
      <w:r>
        <w:rPr>
          <w:rFonts w:ascii="Arial;sans-serif" w:hAnsi="Arial;sans-serif"/>
          <w:b w:val="false"/>
          <w:color w:val="000000"/>
          <w:sz w:val="20"/>
        </w:rPr>
        <w:t xml:space="preserve">Since inception, we have financed operations primarily from payments received from our customers, the net proceeds from the sale of our common stock in the IPO as well as the net proceeds from the private issuance of our convertible preferred stock and common stock. As of March 31, 2024, we had </w:t>
      </w:r>
      <w:r>
        <w:rPr>
          <w:rFonts w:ascii="Arial;sans-serif" w:hAnsi="Arial;sans-serif"/>
          <w:b w:val="false"/>
          <w:color w:val="000000"/>
          <w:sz w:val="20"/>
          <w:shd w:fill="FFFFFF" w:val="clear"/>
        </w:rPr>
        <w:t>$44.8 million</w:t>
      </w:r>
      <w:r>
        <w:rPr>
          <w:color w:val="000000"/>
        </w:rPr>
        <w:t xml:space="preserve"> </w:t>
      </w:r>
      <w:r>
        <w:rPr>
          <w:rFonts w:ascii="Arial;sans-serif" w:hAnsi="Arial;sans-serif"/>
          <w:b w:val="false"/>
          <w:color w:val="000000"/>
          <w:sz w:val="20"/>
        </w:rPr>
        <w:t xml:space="preserve">in cash and cash equivalents and short-term investments of which $1.9 million was held by our foreign subsidiaries.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our cash flows for the periods indicated:</w:t>
      </w:r>
    </w:p>
    <w:tbl>
      <w:tblPr>
        <w:tblW w:w="6023" w:type="dxa"/>
        <w:jc w:val="left"/>
        <w:tblInd w:w="0" w:type="dxa"/>
        <w:tblLayout w:type="fixed"/>
        <w:tblCellMar>
          <w:top w:w="28" w:type="dxa"/>
          <w:left w:w="28" w:type="dxa"/>
          <w:bottom w:w="28" w:type="dxa"/>
          <w:right w:w="28" w:type="dxa"/>
        </w:tblCellMar>
      </w:tblPr>
      <w:tblGrid>
        <w:gridCol w:w="1363"/>
        <w:gridCol w:w="1198"/>
        <w:gridCol w:w="1203"/>
        <w:gridCol w:w="196"/>
        <w:gridCol w:w="646"/>
        <w:gridCol w:w="109"/>
        <w:gridCol w:w="109"/>
        <w:gridCol w:w="109"/>
        <w:gridCol w:w="109"/>
        <w:gridCol w:w="196"/>
        <w:gridCol w:w="63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customers. The timing of receipts of accounts receivable from customers is based upon the completion of agreed milestones or agreed dates as set forth in the contracts.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2024, net cash provided by operating activities was $0.5 million, primarily due to our net loss of $9.4 million, adjusted for non-cash charges of $4.8 million and $5.1 million changes in operating assets and liabilities. Non-cash charges primarily consisted of stock-based compensation of $3.7 million, loss from our equity method investment of $0.8 million and depreciation and amortization of $0.8 million, partially offset by amortization of deferred income of $0.3 million and net accretion of discounts on available-for-sale securities of $0.2 million. The drivers of the changes in operating assets and liabilities were a $0.3 million increase in accounts receivable, partially offset by a $3.4 million increase in deferred revenue, a $0.9 million increase in accrued expenses and other liabilities, a $0.5 million increase in accounts payable and a $0.5 million decrease in prepaid expense and other current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2023, net cash used in operating activities was $8.4 million, primarily due to our net loss of $9.0 million, adjusted for non-cash charges of $3.9 million and $3.3 million changes in operating assets and liabilities. Non-cash charges primarily consisted of stock-based compensation of $3.0 million, loss from our equity method investment of $0.8 million and depreciation and amortization of $0.6 million, partially offset by amortization of deferred income of $0.3 million and net accretion of discounts on available-for-sale securities of $0.3 million. The drivers of the changes in operating assets and liabilities were a $0.6 million increase in accounts payable and a $0.4 million decrease in prepaid expense and other current assets, partially offset by a $2.6 million increase in accounts receivable, a $1.0 million decrease in accrued expenses and other current liabilities and a $0.6 million decrease in deferred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investing activities for the three months ended March 31, 2024 was $11.9 million, primarily attributable to proceeds from maturities of available-for-sale securities and certificate of deposit, partially offset by purchases of available-for-sale securities and property and equipment.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March 31, 2023 was $0.4 million, primarily attributable to purchases of property and equipment and available-for-sale securities, partially offset by proceeds from maturities of available-for-sale securities.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three months ended March 31, 2024 was less than $0.1 million, primarily attributable proceeds from exercise of stock options, primarily offset by principal payments under vendor financing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2023 was $1.0 million, primarily attributable to payments of contingent consideration for business combination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TextBody"/>
        <w:bidi w:val="0"/>
        <w:spacing w:lineRule="auto" w:line="288" w:before="240" w:after="283"/>
        <w:jc w:val="both"/>
        <w:rPr/>
      </w:pPr>
      <w:r>
        <w:rPr>
          <w:rFonts w:ascii="Arial;sans-serif" w:hAnsi="Arial;sans-serif"/>
          <w:b w:val="false"/>
          <w:color w:val="000000"/>
          <w:sz w:val="20"/>
        </w:rPr>
        <w:t>There have been no material changes to our critical accounting estimates as compared to those described in “Management’s Discussion and Analysis of Financial Condition and Results of Operations” set forth in our 2023 Form 10-K, other than those discussed in Note 2 to our unaudited condensed consolidated 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2023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10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Risk Factors Summary</w:t>
      </w:r>
    </w:p>
    <w:p>
      <w:pPr>
        <w:pStyle w:val="TextBody"/>
        <w:bidi w:val="0"/>
        <w:spacing w:lineRule="auto" w:line="288" w:before="12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rPr>
        <w:t>We face significant competition from larger companies and third 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Even if we succeed in securing design wins for our IP interconnect and other solutions and our SoC Integration Automation software (SIA) solutions (formerly IP deployment solutions),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Product errors or defects could expose us to liability and harm our reputation and we could lose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we fail to offer high-quality support, our reputation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dependence on international customers and operations also subjects us to a range of other additional regulatory, operational, financial, and geopolitical risks and conflicts that could adversely affect our customers’ design schedules, which can adversely impact our financial results.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face risks associated with doing business in China.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rPr>
        <w:t>Litigation, including securities class action litigation, may impair our reputation and lead us to incur significant costs. We are a party to a patent litigation.</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technological obsolescence. The appearance of new competitors,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Limited, EXTOLL GmbH, Openedges Technologies Inc., Sdn. Bhd, Signature IP, SkyeChip, and TrueChip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SIA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incurred net losses in certain periods historically. We incurred a net loss of $9.4 million and $9.0 million in the </w:t>
      </w:r>
      <w:r>
        <w:rPr>
          <w:rFonts w:ascii="Arial;sans-serif" w:hAnsi="Arial;sans-serif"/>
          <w:b w:val="false"/>
          <w:color w:val="000000"/>
          <w:sz w:val="20"/>
        </w:rPr>
        <w:t>three months ended March 31, 2024 and</w:t>
      </w:r>
      <w:r>
        <w:rPr>
          <w:color w:val="000000"/>
          <w:shd w:fill="FFFFFF" w:val="clear"/>
        </w:rPr>
        <w:t xml:space="preserve"> </w:t>
      </w:r>
      <w:r>
        <w:rPr>
          <w:rFonts w:ascii="Arial;sans-serif" w:hAnsi="Arial;sans-serif"/>
          <w:b w:val="false"/>
          <w:color w:val="000000"/>
          <w:sz w:val="19"/>
          <w:shd w:fill="FFFFFF" w:val="clear"/>
        </w:rPr>
        <w:t>2023, respectively. As of March 31, 2024, we had an accumulated deficit of $112.7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COVID-19 or any future pandemic and other global economic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including the recent COVID-19 pandemic,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export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Even if we succeed in securing design wins for our IP interconnect and other solutions and our SIA 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COVID-19 or other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support, our reputation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derived </w:t>
      </w:r>
      <w:r>
        <w:rPr>
          <w:rFonts w:ascii="Arial;sans-serif" w:hAnsi="Arial;sans-serif"/>
          <w:b w:val="false"/>
          <w:color w:val="000000"/>
          <w:sz w:val="19"/>
        </w:rPr>
        <w:t>65.4%</w:t>
      </w:r>
      <w:r>
        <w:rPr>
          <w:color w:val="000000"/>
          <w:shd w:fill="FFFFFF" w:val="clear"/>
        </w:rPr>
        <w:t xml:space="preserve"> </w:t>
      </w:r>
      <w:r>
        <w:rPr>
          <w:rFonts w:ascii="Arial;sans-serif" w:hAnsi="Arial;sans-serif"/>
          <w:b w:val="false"/>
          <w:color w:val="000000"/>
          <w:sz w:val="19"/>
          <w:shd w:fill="FFFFFF" w:val="clear"/>
        </w:rPr>
        <w:t xml:space="preserve">of our revenue for 2023, from sales to customers outside of the United States. In particular, we derived </w:t>
      </w:r>
      <w:r>
        <w:rPr>
          <w:rFonts w:ascii="Arial;sans-serif" w:hAnsi="Arial;sans-serif"/>
          <w:b w:val="false"/>
          <w:color w:val="000000"/>
          <w:sz w:val="19"/>
        </w:rPr>
        <w:t>31.1%</w:t>
      </w:r>
      <w:r>
        <w:rPr>
          <w:color w:val="000000"/>
          <w:shd w:fill="FFFFFF" w:val="clear"/>
        </w:rPr>
        <w:t xml:space="preserve"> </w:t>
      </w:r>
      <w:r>
        <w:rPr>
          <w:rFonts w:ascii="Arial;sans-serif" w:hAnsi="Arial;sans-serif"/>
          <w:b w:val="false"/>
          <w:color w:val="000000"/>
          <w:sz w:val="19"/>
          <w:shd w:fill="FFFFFF" w:val="clear"/>
        </w:rPr>
        <w:t xml:space="preserve">of our revenue in 2023 from customers located in China. For the </w:t>
      </w:r>
      <w:r>
        <w:rPr>
          <w:rFonts w:ascii="Arial;sans-serif" w:hAnsi="Arial;sans-serif"/>
          <w:b w:val="false"/>
          <w:color w:val="000000"/>
          <w:sz w:val="19"/>
        </w:rPr>
        <w:t>three months ended March 31, 2024</w:t>
      </w:r>
      <w:r>
        <w:rPr>
          <w:rFonts w:ascii="Arial;sans-serif" w:hAnsi="Arial;sans-serif"/>
          <w:b w:val="false"/>
          <w:color w:val="000000"/>
          <w:sz w:val="19"/>
          <w:shd w:fill="FFFFFF" w:val="clear"/>
        </w:rPr>
        <w:t xml:space="preserve">, </w:t>
      </w:r>
      <w:r>
        <w:rPr>
          <w:rFonts w:ascii="Arial;sans-serif" w:hAnsi="Arial;sans-serif"/>
          <w:b w:val="false"/>
          <w:color w:val="000000"/>
          <w:sz w:val="19"/>
        </w:rPr>
        <w:t>65.7%</w:t>
      </w:r>
      <w:r>
        <w:rPr>
          <w:color w:val="000000"/>
          <w:shd w:fill="FFFFFF" w:val="clear"/>
        </w:rPr>
        <w:t xml:space="preserve"> </w:t>
      </w:r>
      <w:r>
        <w:rPr>
          <w:rFonts w:ascii="Arial;sans-serif" w:hAnsi="Arial;sans-serif"/>
          <w:b w:val="false"/>
          <w:color w:val="000000"/>
          <w:sz w:val="19"/>
          <w:shd w:fill="FFFFFF" w:val="clear"/>
        </w:rPr>
        <w:t xml:space="preserve">of our revenue was derived from sales to customers outside of the United States and </w:t>
      </w:r>
      <w:r>
        <w:rPr>
          <w:rFonts w:ascii="Arial;sans-serif" w:hAnsi="Arial;sans-serif"/>
          <w:b w:val="false"/>
          <w:color w:val="000000"/>
          <w:sz w:val="19"/>
        </w:rPr>
        <w:t>30.5%</w:t>
      </w:r>
      <w:r>
        <w:rPr>
          <w:color w:val="000000"/>
          <w:shd w:fill="FFFFFF" w:val="clear"/>
        </w:rPr>
        <w:t xml:space="preserve"> </w:t>
      </w:r>
      <w:r>
        <w:rPr>
          <w:rFonts w:ascii="Arial;sans-serif" w:hAnsi="Arial;sans-serif"/>
          <w:b w:val="false"/>
          <w:color w:val="000000"/>
          <w:sz w:val="19"/>
          <w:shd w:fill="FFFFFF" w:val="clear"/>
        </w:rPr>
        <w:t>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including the recent COVID-19 pandemic, which may cause us or our distributors, vendors and/or customers to temporarily suspend our or their respective operations in the affected city or country or completely.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expropriation.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conflicts and retaliatory actions and regulations affecting or relating to regions such as but not limited to Ukraine, Russia, Eastern Europe, Israel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as a result of geopolitical and macroeconomic conditions in the countries in which we conduct business, the recent COVID-19 pandemic or any other outbreak of an infectious disease,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including as a result of the recent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recent COVID-19 pandemic.”</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recent COVID-19 pandemic, ongoing trade disputes among the United States and China,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recent COVID-19 pandemic as well as other trends such as the increasing demand for semiconductors in automobiles, which together have resulted in the inability of fabrication plants to produce sufficient quantities of chips to meet demand, supply chain shortages and other disruptions. Numerous factors, including any further trade tensions between the U.S. and China, such as the revisions to the U.S. regulations governing the export of certain semiconductor related hardware and software to China announced by the U.S. Department of Commerce’s Bureau of Industry and Security on October 7, 2022, and or any military conflict between China and Taiwan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automotive, enterprise computing, communications, consumer electronics,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a result of the COVID-19 pandemic and the associated responses by governments of various countries to respond and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was highly dependent on its duration and severity. The foregoing impacts and other adverse effects on the automotive industry could harm our business, as well as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business has been, and may continue to be, adversely affected by health epidemics, pandemics and other outbreaks of infectious disease, including the recent COVID-19 or any similar pandemic.</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our Annual Report on Form 10-K for the year ended December 31, 2023,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received a Paycheck Protection Program loan, and our application for the PPP Loan could in the future be determined to have been impermissible or could result in damage to our reputation.</w:t>
      </w:r>
    </w:p>
    <w:p>
      <w:pPr>
        <w:pStyle w:val="TextBody"/>
        <w:bidi w:val="0"/>
        <w:spacing w:lineRule="auto" w:line="288" w:before="180" w:after="283"/>
        <w:jc w:val="both"/>
        <w:rPr/>
      </w:pPr>
      <w:r>
        <w:rPr>
          <w:rFonts w:ascii="Arial;sans-serif" w:hAnsi="Arial;sans-serif"/>
          <w:b w:val="false"/>
          <w:color w:val="000000"/>
          <w:sz w:val="19"/>
          <w:shd w:fill="FFFFFF" w:val="clear"/>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r>
        <w:rPr>
          <w:color w:val="000000"/>
        </w:rPr>
        <w:t xml:space="preserve"> </w:t>
      </w:r>
      <w:r>
        <w:rPr>
          <w:rFonts w:ascii="Arial;sans-serif" w:hAnsi="Arial;sans-serif"/>
          <w:b w:val="false"/>
          <w:color w:val="000000"/>
          <w:sz w:val="19"/>
        </w:rPr>
        <w:t xml:space="preserve">In addition, in May 2020, Semifore, Inc., a company that we recently acquired, was a recipient of $0.1 million of proceeds from a note payable issued under the Paycheck Protection Program (PPP) under section 7(a)(36) of the Small Business Act. The note was repaid in full in December 2020.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period to period.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w:t>
      </w:r>
      <w:r>
        <w:rPr>
          <w:rFonts w:ascii="Arial;sans-serif" w:hAnsi="Arial;sans-serif"/>
          <w:b w:val="false"/>
          <w:color w:val="000000"/>
          <w:sz w:val="19"/>
        </w:rPr>
        <w:t>6%</w:t>
      </w:r>
      <w:r>
        <w:rPr>
          <w:color w:val="000000"/>
          <w:shd w:fill="FFFFFF" w:val="clear"/>
        </w:rPr>
        <w:t xml:space="preserve"> </w:t>
      </w:r>
      <w:r>
        <w:rPr>
          <w:rFonts w:ascii="Arial;sans-serif" w:hAnsi="Arial;sans-serif"/>
          <w:b w:val="false"/>
          <w:color w:val="000000"/>
          <w:sz w:val="19"/>
          <w:shd w:fill="FFFFFF" w:val="clear"/>
        </w:rPr>
        <w:t xml:space="preserve">of our revenue for the </w:t>
      </w:r>
      <w:r>
        <w:rPr>
          <w:rFonts w:ascii="Arial;sans-serif" w:hAnsi="Arial;sans-serif"/>
          <w:b w:val="false"/>
          <w:color w:val="000000"/>
          <w:sz w:val="19"/>
        </w:rPr>
        <w:t>three months ended March 31, 2024</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from global semiconductor supply chain issues (including from shortages in the availability of the supply of chips in several semiconductor sectors and applications), the recent COVID-19 or any future pandemic and its world effects and changes in products mix. Furthermore, consolidation among our customers may increase the leverage of our existing customers to extract concessions from us in royalty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w:t>
      </w:r>
      <w:r>
        <w:rPr>
          <w:rFonts w:ascii="Arial;sans-serif" w:hAnsi="Arial;sans-serif"/>
          <w:b w:val="false"/>
          <w:color w:val="000000"/>
          <w:sz w:val="19"/>
        </w:rPr>
        <w:t>three months ended March 31, 2024</w:t>
      </w:r>
      <w:r>
        <w:rPr>
          <w:color w:val="000000"/>
          <w:shd w:fill="FFFFFF" w:val="clear"/>
        </w:rPr>
        <w:t xml:space="preserve"> </w:t>
      </w:r>
      <w:r>
        <w:rPr>
          <w:rFonts w:ascii="Arial;sans-serif" w:hAnsi="Arial;sans-serif"/>
          <w:b w:val="false"/>
          <w:color w:val="000000"/>
          <w:sz w:val="19"/>
          <w:shd w:fill="FFFFFF" w:val="clear"/>
        </w:rPr>
        <w:t>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military conflict between Russia and Ukraine, the conflict in Israel, and the tensions between the European Union, other European countries, as well as the United States, with Russia, any resulting material change to the valuation of the Euro or other currency relative to the U.S. dollar could adversely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and other strategic transactions, whether or not consummated, may divert our management’s attention and require considerable cash outlays at the expense of our existing operations. This, and any of the risks set forth above,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SIA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the design of our products, through patents, trade secrets and other intellectual property rights. As of March 31, 2024, we had 155 total allowed or issued patents, pending patent applications and non-expired provisional patent applications worldwide. Of these, we had 77 allowed or issued patents, 68 are U.S. allowed or issued patents, five are allowed or issued China patents, two are South Korea issued patents, one is a U.K. issued patent, and one is a Japan issued patent. The 77 allowed or issued patents generally expire between July 2035 and March 2042. As of March 31, 2024, we had 78 pending non-provisional and provisional patent application filings, including 32 in the United States, 21 in Europe, 17 in China, five in South Korea and three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causes us to discontinue the use of any of our technologies, we could be required to design around those technologies. This could be costly and time consuming and could have an adverse impact on our financial results. Any significant impairments of our intellectual property rights from any litigation we face could harm our business and our ability to compete in our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2023,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w:t>
      </w:r>
      <w:r>
        <w:rPr>
          <w:rFonts w:ascii="Arial;sans-serif" w:hAnsi="Arial;sans-serif"/>
          <w:b w:val="false"/>
          <w:color w:val="000000"/>
          <w:sz w:val="19"/>
          <w:shd w:fill="FFFFFF" w:val="clear"/>
        </w:rPr>
        <w:t>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recent COVID-19 or any future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insurance renewed annually; however, this insurance may not be sufficient to cover the financial, legal, business or reputational losses that may result from an interruption or breach of our systems.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processes, limitations on data uses, new audit requirements for higher risk data, and opt outs for certain uses of sensitive data. As part of CPRA, a new California data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Texas enacted the Texas Data Privacy Act, effective July 1, 2024,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called the EU-US Data Privacy Framework (DPF). On July 10, 2023, the EU adopted an adequacy decision for the EU-U.S. DPF after determining that the additional safeguards included in Executive Order 14086 signed by President Biden on October 7, 2022, provide an adequate level of protection for personal data transferred from the European Union. The adequacy decision allows the EU-U.S. DPF to facilitate the transfer of data from Europe to the United States, benefiting companies and individuals on both sides of the Atlantic. We currently rely on the SCCs to transfer personal data outside the EEA and the U.K., including to the U.S., with respect to both intragroup and third-party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 such as with respect to Article 38 of the China Personal Information Protection Law (PIPL) Measures for Standard Contract on Outbound Transfer of Personal Information.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 including import, export and economic sanctions laws and regulations that may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U.S.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and October 2023, the U.S. federal government modified certain of its regulations affecting the export of semiconductor products and equipment, with particular focus on export to China. We must continue to comply with such regulations and take additional review and precautions as required when such export regulations are updated or changed by the U.S. federal government.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July 2021, we submitted a voluntary self-disclosure (VSD) to the U.S. Department of Commerce's Bureau of Industry and Security, noting potential violations of the EAR. On April 28, 2022, the Office of Export Enforcement of the U.S. Department of Commerce's Bureau of Industry and Security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w:t>
      </w:r>
      <w:r>
        <w:rPr>
          <w:rFonts w:ascii="Arial;sans-serif" w:hAnsi="Arial;sans-serif"/>
          <w:b w:val="false"/>
          <w:color w:val="000000"/>
          <w:sz w:val="19"/>
        </w:rPr>
        <w:t>three months ended March 31, 2024</w:t>
      </w:r>
      <w:r>
        <w:rPr>
          <w:rFonts w:ascii="Arial;sans-serif" w:hAnsi="Arial;sans-serif"/>
          <w:b w:val="false"/>
          <w:color w:val="000000"/>
          <w:sz w:val="19"/>
          <w:shd w:fill="FFFFFF" w:val="clear"/>
        </w:rPr>
        <w:t xml:space="preserve">, we derived </w:t>
      </w:r>
      <w:r>
        <w:rPr>
          <w:rFonts w:ascii="Arial;sans-serif" w:hAnsi="Arial;sans-serif"/>
          <w:b w:val="false"/>
          <w:color w:val="000000"/>
          <w:sz w:val="19"/>
        </w:rPr>
        <w:t>30.5%</w:t>
      </w:r>
      <w:r>
        <w:rPr>
          <w:color w:val="000000"/>
          <w:shd w:fill="FFFFFF" w:val="clear"/>
        </w:rPr>
        <w:t xml:space="preserve"> </w:t>
      </w:r>
      <w:r>
        <w:rPr>
          <w:rFonts w:ascii="Arial;sans-serif" w:hAnsi="Arial;sans-serif"/>
          <w:b w:val="false"/>
          <w:color w:val="000000"/>
          <w:sz w:val="19"/>
          <w:shd w:fill="FFFFFF" w:val="clear"/>
        </w:rPr>
        <w:t>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of travel to and from China (and to and from United States) arising from or related to the COVID-19 pandemic or any future pandemic.</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tensions between China on the one hand and the United States and/or the European Union on the other hand, may increase and may lead to increased export sanctions with Chinese entities and sanctions made against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on October 7, 2022, the U.S. Department of Commerce's Bureau of Industry and Security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U.S. Department of Commerce's Bureau of Industry and Security issued regulations amending the October 7, 2022 export controls governing the export of certain semiconductor-related hardware and software to China. These restrictions, which are effective on November 17, 2023,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August 9, 2023, President Biden signed an “Executive Order 14105 entitled Executive Order on Addressing United States Investments in Certain National Security Technologies and Products in Countries of Concern” that will impact certain investments by U.S. persons and companies in China. This new regulatory regime, which will not likely take effect until implementing regulations are issued by the U.S. Department of the Treasury in early 2024, will require notification to the Treasury Department of certain investments by U.S. persons and companies involving certain sectors and technologies in China and will prohibit other types of investments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to such joint venture, or the IP of other parties, which may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occurrence of one or more of the above risks, or any other negative events, could adversely impact our joint ventures or similar investments and could in turn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and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and/or currency devaluation trends appear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our existing stockholders, including current or former employees sell, or indicate an intention to sell, substantial amounts of our common stock in the public market, the market price of our common stock could decline. As of </w:t>
      </w:r>
      <w:r>
        <w:rPr>
          <w:rFonts w:ascii="Arial;sans-serif" w:hAnsi="Arial;sans-serif"/>
          <w:b w:val="false"/>
          <w:color w:val="000000"/>
          <w:sz w:val="19"/>
        </w:rPr>
        <w:t>three months ended March 31, 2024</w:t>
      </w:r>
      <w:r>
        <w:rPr>
          <w:rFonts w:ascii="Arial;sans-serif" w:hAnsi="Arial;sans-serif"/>
          <w:b w:val="false"/>
          <w:color w:val="000000"/>
          <w:sz w:val="19"/>
          <w:shd w:fill="FFFFFF" w:val="clear"/>
        </w:rPr>
        <w:t xml:space="preserve">, we had approximately </w:t>
      </w:r>
      <w:r>
        <w:rPr>
          <w:rFonts w:ascii="Arial;sans-serif" w:hAnsi="Arial;sans-serif"/>
          <w:b w:val="false"/>
          <w:color w:val="000000"/>
          <w:sz w:val="19"/>
        </w:rPr>
        <w:t>38.3</w:t>
      </w:r>
      <w:r>
        <w:rPr>
          <w:color w:val="000000"/>
          <w:shd w:fill="FFFFFF" w:val="clear"/>
        </w:rPr>
        <w:t xml:space="preserve"> </w:t>
      </w:r>
      <w:r>
        <w:rPr>
          <w:rFonts w:ascii="Arial;sans-serif" w:hAnsi="Arial;sans-serif"/>
          <w:b w:val="false"/>
          <w:color w:val="000000"/>
          <w:sz w:val="19"/>
          <w:shd w:fill="FFFFFF" w:val="clear"/>
        </w:rPr>
        <w:t>million 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also may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stock and will be able to exert significant control over matters subject to stockholder approval.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March 31, 2024, K. Charles Janac, our President, Chief Executive Officer and Chairman, held voting power over approximately 27.4%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300,000,000 shares of common stock authorized as of March 31, 2024.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Management may apply our net proceeds from our initial public offering to uses that do not increase our market value or improve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76" w:before="18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On February 27, 2024, Charles Janac, Chief Executive Officer (CEO), adopted a Rule 10b5-1 trading arrangement that is intended to satisfy the affirmative defense of Rule 10b5-1(c) for the sale of up to 189,951 shares of the Company’s common stock until June 30, 2025.</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On February 27, 2024, Charles Janac, CEO, as the manager of Bayview Legacy, LLC, adopted a Rule 10b5-1 trading arrangement of Bayview Legacy LLC that is intended to satisfy the affirmative defense of Rule 10b5-1(c) for the sale of up to 840,000 shares of the Company’s common stock until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On March 6, 2024, Raman Chitkara, Director, adopted a Rule 10b5-1 trading arrangement that is intended to satisfy the affirmative defense of Rule 10b5-1(c) for the sale of up to 15,000 shares of the Company’s common stock until June 30, 2025.</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On March 15, 2024, Laurent Moll, Chief Technology Officer, adopted a Rule 10b5-1 trading arrangement that is intended to satisfy the affirmative defense of Rule 10b5-1(c) for the sale of up to 213,834 shares of the Company’s common stock until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5"/>
        <w:gridCol w:w="182"/>
        <w:gridCol w:w="182"/>
        <w:gridCol w:w="183"/>
        <w:gridCol w:w="220"/>
        <w:gridCol w:w="220"/>
        <w:gridCol w:w="221"/>
        <w:gridCol w:w="237"/>
        <w:gridCol w:w="237"/>
        <w:gridCol w:w="238"/>
        <w:gridCol w:w="289"/>
        <w:gridCol w:w="289"/>
        <w:gridCol w:w="42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1fy2410-q.htm">
              <w:r>
                <w:rPr>
                  <w:rStyle w:val="InternetLink"/>
                  <w:rFonts w:ascii="Arial;sans-serif" w:hAnsi="Arial;sans-serif"/>
                  <w:b w:val="false"/>
                  <w:color w:val="0000FF"/>
                  <w:sz w:val="20"/>
                  <w:u w:val="single"/>
                </w:rPr>
                <w:t>31.1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4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1fy2410-q.htm">
              <w:r>
                <w:rPr>
                  <w:rStyle w:val="InternetLink"/>
                  <w:rFonts w:ascii="Arial;sans-serif" w:hAnsi="Arial;sans-serif"/>
                  <w:b w:val="false"/>
                  <w:color w:val="0000FF"/>
                  <w:sz w:val="20"/>
                  <w:u w:val="single"/>
                </w:rPr>
                <w:t>31.2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4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1fy24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4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1fy24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4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16"/>
              </w:rPr>
            </w:pPr>
            <w:r>
              <w:rPr>
                <w:rFonts w:ascii="Arial;sans-serif" w:hAnsi="Arial;sans-serif"/>
                <w:b w:val="false"/>
                <w:color w:val="000000"/>
                <w:sz w:val="16"/>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16"/>
              </w:rPr>
            </w:pPr>
            <w:r>
              <w:rPr>
                <w:rFonts w:ascii="Arial;sans-serif" w:hAnsi="Arial;sans-serif"/>
                <w:b w:val="false"/>
                <w:color w:val="000000"/>
                <w:sz w:val="16"/>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0a8f1083cbf4abf9c1a4bce8d733182_7">
        <w:r>
          <w:rPr>
            <w:rStyle w:val="InternetLink"/>
          </w:rPr>
          <w:t>Ta</w:t>
        </w:r>
      </w:hyperlink>
      <w:hyperlink w:anchor="i10a8f1083cbf4abf9c1a4bce8d733182_7">
        <w:r>
          <w:rPr>
            <w:rStyle w:val="InternetLink"/>
          </w:rPr>
          <w:t>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2, 2024 </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5755"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214"/>
        <w:gridCol w:w="214"/>
        <w:gridCol w:w="216"/>
        <w:gridCol w:w="930"/>
        <w:gridCol w:w="930"/>
        <w:gridCol w:w="131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250"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214"/>
        <w:gridCol w:w="214"/>
        <w:gridCol w:w="216"/>
        <w:gridCol w:w="1072"/>
        <w:gridCol w:w="1072"/>
        <w:gridCol w:w="153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2024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5755"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214"/>
        <w:gridCol w:w="214"/>
        <w:gridCol w:w="216"/>
        <w:gridCol w:w="930"/>
        <w:gridCol w:w="930"/>
        <w:gridCol w:w="131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ans-serif" w:hAnsi="Times New Roman;sans-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2024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250"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214"/>
        <w:gridCol w:w="214"/>
        <w:gridCol w:w="216"/>
        <w:gridCol w:w="1072"/>
        <w:gridCol w:w="1072"/>
        <w:gridCol w:w="153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43226</Words>
  <Characters>240648</Characters>
  <CharactersWithSpaces>282352</CharactersWithSpaces>
  <Paragraphs>2318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