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Moll Laurent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ARTERIS,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E. HAMILTON AVE.,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CAMPBELL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Arteris, Inc.</w:t>
              </w:r>
            </w:hyperlink>
            <w:r>
              <w:rPr/>
              <w:t xml:space="preserve"> [ </w:t>
            </w:r>
            <w:r>
              <w:rPr>
                <w:rFonts w:ascii="Times;serif" w:hAnsi="Times;serif"/>
                <w:color w:val="0000FF"/>
                <w:sz w:val="24"/>
                <w:shd w:fill="FFFFFF" w:val="clear"/>
              </w:rPr>
              <w:t>AIP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226,404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225,517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223,586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1,889</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38.7779</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221,697</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the Reporting Person's tax liability arising as a result of the release of restricted stock units.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Alpern, as Attorney-in-Fact for Moll Laurent 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8601" TargetMode="External"/><Relationship Id="rId5" Type="http://schemas.openxmlformats.org/officeDocument/2006/relationships/hyperlink" Target="http://www.sec.gov/cgi-bin/browse-edgar?action=getcompany&amp;CIK=00016670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3549</Characters>
  <CharactersWithSpaces>4129</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