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Verdana;sans-serif" w:hAnsi="Verdana;sans-serif"/>
          <w:b/>
          <w:color w:val="000000"/>
          <w:sz w:val="36"/>
        </w:rPr>
      </w:pPr>
      <w:r>
        <w:rPr>
          <w:rFonts w:ascii="Verdana;sans-serif" w:hAnsi="Verdana;sans-serif"/>
          <w:b/>
          <w:color w:val="000000"/>
          <w:sz w:val="36"/>
        </w:rPr>
        <w:t>UNITED STATES</w:t>
      </w:r>
    </w:p>
    <w:p>
      <w:pPr>
        <w:pStyle w:val="TextBody"/>
        <w:bidi w:val="0"/>
        <w:spacing w:lineRule="auto" w:line="288" w:before="0" w:after="0"/>
        <w:jc w:val="center"/>
        <w:rPr>
          <w:rFonts w:ascii="Verdana;sans-serif" w:hAnsi="Verdana;sans-serif"/>
          <w:b/>
          <w:color w:val="000000"/>
          <w:sz w:val="36"/>
        </w:rPr>
      </w:pPr>
      <w:r>
        <w:rPr>
          <w:rFonts w:ascii="Verdana;sans-serif" w:hAnsi="Verdana;sans-serif"/>
          <w:b/>
          <w:color w:val="000000"/>
          <w:sz w:val="36"/>
        </w:rPr>
        <w:t>SECURITIES AND EXCHANGE COMMISSION</w:t>
      </w:r>
    </w:p>
    <w:p>
      <w:pPr>
        <w:pStyle w:val="TextBody"/>
        <w:bidi w:val="0"/>
        <w:spacing w:lineRule="auto" w:line="288" w:before="0" w:after="0"/>
        <w:jc w:val="center"/>
        <w:rPr>
          <w:rFonts w:ascii="Verdana;sans-serif" w:hAnsi="Verdana;sans-serif"/>
          <w:b/>
          <w:color w:val="000000"/>
          <w:sz w:val="20"/>
        </w:rPr>
      </w:pPr>
      <w:r>
        <w:rPr>
          <w:rFonts w:ascii="Verdana;sans-serif" w:hAnsi="Verdana;sans-serif"/>
          <w:b/>
          <w:color w:val="000000"/>
          <w:sz w:val="20"/>
        </w:rPr>
        <w:t>Washington, D.C. 20549</w:t>
      </w:r>
    </w:p>
    <w:p>
      <w:pPr>
        <w:pStyle w:val="TextBody"/>
        <w:bidi w:val="0"/>
        <w:spacing w:before="0" w:after="0"/>
        <w:jc w:val="center"/>
        <w:rPr/>
      </w:pPr>
      <w:r>
        <w:rPr/>
      </w:r>
    </w:p>
    <w:p>
      <w:pPr>
        <w:pStyle w:val="TextBody"/>
        <w:bidi w:val="0"/>
        <w:spacing w:lineRule="auto" w:line="288" w:before="20" w:after="283"/>
        <w:jc w:val="center"/>
        <w:rPr>
          <w:rFonts w:ascii="Verdana;sans-serif" w:hAnsi="Verdana;sans-serif"/>
          <w:b/>
          <w:color w:val="000000"/>
          <w:sz w:val="22"/>
        </w:rPr>
      </w:pPr>
      <w:r>
        <w:rPr>
          <w:rFonts w:ascii="Verdana;sans-serif" w:hAnsi="Verdana;sans-serif"/>
          <w:b/>
          <w:color w:val="000000"/>
          <w:sz w:val="22"/>
        </w:rPr>
        <w:t>FORM 10-Q</w:t>
      </w:r>
    </w:p>
    <w:p>
      <w:pPr>
        <w:pStyle w:val="TextBody"/>
        <w:bidi w:val="0"/>
        <w:spacing w:lineRule="auto" w:line="288" w:before="0" w:after="0"/>
        <w:jc w:val="left"/>
        <w:rPr>
          <w:rFonts w:ascii="Verdana;sans-serif" w:hAnsi="Verdana;sans-serif"/>
          <w:b/>
          <w:color w:val="000000"/>
          <w:sz w:val="16"/>
        </w:rPr>
      </w:pPr>
      <w:r>
        <w:rPr>
          <w:rFonts w:ascii="Verdana;sans-serif" w:hAnsi="Verdana;sans-serif"/>
          <w:b/>
          <w:color w:val="000000"/>
          <w:sz w:val="16"/>
        </w:rPr>
        <w:t>(Mark One)</w:t>
      </w:r>
    </w:p>
    <w:tbl>
      <w:tblPr>
        <w:tblW w:w="9476" w:type="dxa"/>
        <w:jc w:val="left"/>
        <w:tblInd w:w="0" w:type="dxa"/>
        <w:tblLayout w:type="fixed"/>
        <w:tblCellMar>
          <w:top w:w="28" w:type="dxa"/>
          <w:left w:w="28" w:type="dxa"/>
          <w:bottom w:w="28" w:type="dxa"/>
          <w:right w:w="28" w:type="dxa"/>
        </w:tblCellMar>
      </w:tblPr>
      <w:tblGrid>
        <w:gridCol w:w="124"/>
        <w:gridCol w:w="109"/>
        <w:gridCol w:w="109"/>
        <w:gridCol w:w="2674"/>
        <w:gridCol w:w="2674"/>
        <w:gridCol w:w="37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37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color w:val="000000"/>
                <w:sz w:val="16"/>
              </w:rPr>
            </w:pPr>
            <w:r>
              <w:rPr>
                <w:rFonts w:ascii="Wingdings;sans-serif" w:hAnsi="Wingdings;sans-serif"/>
                <w:b/>
                <w:color w:val="000000"/>
                <w:sz w:val="16"/>
              </w:rPr>
              <w:t>x</w:t>
            </w:r>
          </w:p>
        </w:tc>
        <w:tc>
          <w:tcPr>
            <w:tcW w:w="9134"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QUARTERLY REPORT PURSUANT TO SECTION 13 OR 15(d) OF THE SECURITIES EXCHANGE ACT OF 1934</w:t>
            </w:r>
          </w:p>
        </w:tc>
      </w:tr>
    </w:tbl>
    <w:p>
      <w:pPr>
        <w:pStyle w:val="TextBody"/>
        <w:bidi w:val="0"/>
        <w:spacing w:lineRule="auto" w:line="288" w:before="200" w:after="283"/>
        <w:jc w:val="center"/>
        <w:rPr>
          <w:rFonts w:ascii="Verdana;sans-serif" w:hAnsi="Verdana;sans-serif"/>
          <w:b/>
          <w:color w:val="000000"/>
          <w:sz w:val="18"/>
        </w:rPr>
      </w:pPr>
      <w:r>
        <w:rPr>
          <w:rFonts w:ascii="Verdana;sans-serif" w:hAnsi="Verdana;sans-serif"/>
          <w:b/>
          <w:color w:val="000000"/>
          <w:sz w:val="18"/>
        </w:rPr>
        <w:t>For the quarterly period ended June 30, 2026</w:t>
      </w:r>
    </w:p>
    <w:p>
      <w:pPr>
        <w:pStyle w:val="TextBody"/>
        <w:bidi w:val="0"/>
        <w:spacing w:lineRule="auto" w:line="288" w:before="60" w:after="283"/>
        <w:jc w:val="center"/>
        <w:rPr>
          <w:rFonts w:ascii="Verdana;sans-serif" w:hAnsi="Verdana;sans-serif"/>
          <w:b/>
          <w:color w:val="000000"/>
          <w:sz w:val="16"/>
        </w:rPr>
      </w:pPr>
      <w:r>
        <w:rPr>
          <w:rFonts w:ascii="Verdana;sans-serif" w:hAnsi="Verdana;sans-serif"/>
          <w:b/>
          <w:color w:val="000000"/>
          <w:sz w:val="16"/>
        </w:rPr>
        <w:t>OR</w:t>
      </w:r>
    </w:p>
    <w:tbl>
      <w:tblPr>
        <w:tblW w:w="9552" w:type="dxa"/>
        <w:jc w:val="left"/>
        <w:tblInd w:w="0" w:type="dxa"/>
        <w:tblLayout w:type="fixed"/>
        <w:tblCellMar>
          <w:top w:w="28" w:type="dxa"/>
          <w:left w:w="28" w:type="dxa"/>
          <w:bottom w:w="28" w:type="dxa"/>
          <w:right w:w="28" w:type="dxa"/>
        </w:tblCellMar>
      </w:tblPr>
      <w:tblGrid>
        <w:gridCol w:w="124"/>
        <w:gridCol w:w="109"/>
        <w:gridCol w:w="109"/>
        <w:gridCol w:w="2698"/>
        <w:gridCol w:w="2698"/>
        <w:gridCol w:w="38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Wingdings;sans-serif" w:hAnsi="Wingdings;sans-serif"/>
                <w:b w:val="false"/>
                <w:color w:val="000000"/>
                <w:sz w:val="16"/>
              </w:rPr>
            </w:pPr>
            <w:r>
              <w:rPr>
                <w:rFonts w:ascii="Wingdings;sans-serif" w:hAnsi="Wingdings;sans-serif"/>
                <w:b w:val="false"/>
                <w:color w:val="000000"/>
                <w:sz w:val="16"/>
              </w:rPr>
              <w:t>o</w:t>
            </w:r>
          </w:p>
        </w:tc>
        <w:tc>
          <w:tcPr>
            <w:tcW w:w="9210"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Verdana;sans-serif" w:hAnsi="Verdana;sans-serif"/>
                <w:b w:val="false"/>
                <w:color w:val="000000"/>
                <w:sz w:val="16"/>
              </w:rPr>
            </w:pPr>
            <w:r>
              <w:rPr>
                <w:rFonts w:ascii="Verdana;sans-serif" w:hAnsi="Verdana;sans-serif"/>
                <w:b w:val="false"/>
                <w:color w:val="000000"/>
                <w:sz w:val="16"/>
              </w:rPr>
              <w:t>TRANSITION REPORT PURSUANT TO SECTION 13 OR 15(d) OF THE SECURITIES EXCHANGE ACT OF 1934</w:t>
            </w:r>
          </w:p>
        </w:tc>
      </w:tr>
    </w:tbl>
    <w:p>
      <w:pPr>
        <w:pStyle w:val="TextBody"/>
        <w:bidi w:val="0"/>
        <w:spacing w:lineRule="auto" w:line="288" w:before="200" w:after="283"/>
        <w:jc w:val="center"/>
        <w:rPr/>
      </w:pPr>
      <w:r>
        <w:rPr>
          <w:rFonts w:ascii="Verdana;sans-serif" w:hAnsi="Verdana;sans-serif"/>
          <w:b/>
          <w:color w:val="000000"/>
          <w:sz w:val="16"/>
        </w:rPr>
        <w:t xml:space="preserve">For the transition period from </w:t>
      </w:r>
      <w:r>
        <w:rPr>
          <w:rFonts w:ascii="Verdana;sans-serif" w:hAnsi="Verdana;sans-serif"/>
          <w:b/>
          <w:color w:val="000000"/>
          <w:sz w:val="16"/>
          <w:shd w:fill="FFFFFF" w:val="clear"/>
        </w:rPr>
        <w:t>to</w:t>
      </w:r>
    </w:p>
    <w:p>
      <w:pPr>
        <w:pStyle w:val="TextBody"/>
        <w:bidi w:val="0"/>
        <w:spacing w:lineRule="auto" w:line="288" w:before="200" w:after="283"/>
        <w:jc w:val="center"/>
        <w:rPr>
          <w:rFonts w:ascii="Verdana;sans-serif" w:hAnsi="Verdana;sans-serif"/>
          <w:b/>
          <w:color w:val="000000"/>
          <w:sz w:val="20"/>
        </w:rPr>
      </w:pPr>
      <w:r>
        <w:rPr>
          <w:rFonts w:ascii="Verdana;sans-serif" w:hAnsi="Verdana;sans-serif"/>
          <w:b/>
          <w:color w:val="000000"/>
          <w:sz w:val="20"/>
        </w:rPr>
        <w:t>Commission file number 001-40960</w:t>
      </w:r>
    </w:p>
    <w:p>
      <w:pPr>
        <w:pStyle w:val="TextBody"/>
        <w:bidi w:val="0"/>
        <w:spacing w:lineRule="auto" w:line="288" w:before="200" w:after="283"/>
        <w:jc w:val="center"/>
        <w:rPr>
          <w:rFonts w:ascii="Verdana;sans-serif" w:hAnsi="Verdana;sans-serif"/>
          <w:b/>
          <w:color w:val="000000"/>
          <w:sz w:val="36"/>
          <w:shd w:fill="FFFFFF" w:val="clear"/>
        </w:rPr>
      </w:pPr>
      <w:r>
        <w:rPr>
          <w:rFonts w:ascii="Verdana;sans-serif" w:hAnsi="Verdana;sans-serif"/>
          <w:b/>
          <w:color w:val="000000"/>
          <w:sz w:val="36"/>
          <w:shd w:fill="FFFFFF" w:val="clear"/>
        </w:rPr>
        <w:t>Arteris, Inc.</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(Exact name of registrant as specified in its charter)</w:t>
      </w:r>
    </w:p>
    <w:tbl>
      <w:tblPr>
        <w:tblW w:w="7226" w:type="dxa"/>
        <w:jc w:val="left"/>
        <w:tblInd w:w="0" w:type="dxa"/>
        <w:tblLayout w:type="fixed"/>
        <w:tblCellMar>
          <w:top w:w="28" w:type="dxa"/>
          <w:left w:w="28" w:type="dxa"/>
          <w:bottom w:w="28" w:type="dxa"/>
          <w:right w:w="28" w:type="dxa"/>
        </w:tblCellMar>
      </w:tblPr>
      <w:tblGrid>
        <w:gridCol w:w="1885"/>
        <w:gridCol w:w="1663"/>
        <w:gridCol w:w="1671"/>
        <w:gridCol w:w="109"/>
        <w:gridCol w:w="109"/>
        <w:gridCol w:w="109"/>
        <w:gridCol w:w="492"/>
        <w:gridCol w:w="492"/>
        <w:gridCol w:w="696"/>
      </w:tblGrid>
      <w:tr>
        <w:trPr/>
        <w:tc>
          <w:tcPr>
            <w:tcW w:w="1885"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color w:val="000000"/>
                <w:sz w:val="16"/>
              </w:rPr>
            </w:pPr>
            <w:r>
              <w:rPr>
                <w:rFonts w:ascii="Verdana;sans-serif" w:hAnsi="Verdan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6"/>
              </w:rPr>
            </w:pPr>
            <w:r>
              <w:rPr>
                <w:rFonts w:ascii="Verdana;sans-serif" w:hAnsi="Verdana;sans-serif"/>
                <w:b/>
                <w:color w:val="000000"/>
                <w:sz w:val="16"/>
              </w:rPr>
              <w:t>27-0117058</w:t>
            </w:r>
          </w:p>
        </w:tc>
      </w:tr>
      <w:tr>
        <w:trPr/>
        <w:tc>
          <w:tcPr>
            <w:tcW w:w="521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Verdana;sans-serif" w:hAnsi="Verdana;sans-serif"/>
                <w:b w:val="false"/>
                <w:color w:val="000000"/>
                <w:sz w:val="16"/>
              </w:rPr>
            </w:pPr>
            <w:r>
              <w:rPr>
                <w:rFonts w:ascii="Verdana;sans-serif" w:hAnsi="Verdana;sans-serif"/>
                <w:b w:val="false"/>
                <w:color w:val="000000"/>
                <w:sz w:val="16"/>
              </w:rPr>
              <w:t>(I.R.S. Employer</w:t>
            </w:r>
          </w:p>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Identification No.)</w:t>
            </w:r>
          </w:p>
        </w:tc>
      </w:tr>
    </w:tbl>
    <w:tbl>
      <w:tblPr>
        <w:tblW w:w="7182" w:type="dxa"/>
        <w:jc w:val="left"/>
        <w:tblInd w:w="0" w:type="dxa"/>
        <w:tblLayout w:type="fixed"/>
        <w:tblCellMar>
          <w:top w:w="28" w:type="dxa"/>
          <w:left w:w="28" w:type="dxa"/>
          <w:bottom w:w="28" w:type="dxa"/>
          <w:right w:w="28" w:type="dxa"/>
        </w:tblCellMar>
      </w:tblPr>
      <w:tblGrid>
        <w:gridCol w:w="1858"/>
        <w:gridCol w:w="1629"/>
        <w:gridCol w:w="1638"/>
        <w:gridCol w:w="161"/>
        <w:gridCol w:w="161"/>
        <w:gridCol w:w="161"/>
        <w:gridCol w:w="461"/>
        <w:gridCol w:w="461"/>
        <w:gridCol w:w="652"/>
      </w:tblGrid>
      <w:tr>
        <w:trPr/>
        <w:tc>
          <w:tcPr>
            <w:tcW w:w="1858"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900 E. Hamilton Ave., Suite 300</w:t>
            </w:r>
          </w:p>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Campbell, CA</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95008</w:t>
            </w:r>
          </w:p>
        </w:tc>
      </w:tr>
      <w:tr>
        <w:trPr/>
        <w:tc>
          <w:tcPr>
            <w:tcW w:w="5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(Address of principal executive offices)</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val="false"/>
                <w:color w:val="000000"/>
                <w:sz w:val="16"/>
              </w:rPr>
            </w:pPr>
            <w:r>
              <w:rPr>
                <w:rFonts w:ascii="Verdana;sans-serif" w:hAnsi="Verdana;sans-serif"/>
                <w:b w:val="false"/>
                <w:color w:val="000000"/>
                <w:sz w:val="16"/>
              </w:rPr>
              <w:t>(Zip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(408) 470-7300</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(Registrant’s telephone number, including area code)</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N/A</w:t>
            </w:r>
          </w:p>
        </w:tc>
      </w:tr>
      <w:tr>
        <w:trPr/>
        <w:tc>
          <w:tcPr>
            <w:tcW w:w="71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5"/>
              </w:rPr>
            </w:pPr>
            <w:r>
              <w:rPr>
                <w:rFonts w:ascii="Verdana;sans-serif" w:hAnsi="Verdana;sans-serif"/>
                <w:b/>
                <w:color w:val="000000"/>
                <w:sz w:val="15"/>
              </w:rPr>
              <w:t>(Former name, former address and former fiscal year, if changed since last report)</w:t>
            </w:r>
          </w:p>
        </w:tc>
      </w:tr>
    </w:tbl>
    <w:p>
      <w:pPr>
        <w:pStyle w:val="TextBody"/>
        <w:bidi w:val="0"/>
        <w:spacing w:lineRule="auto" w:line="288" w:before="80" w:after="283"/>
        <w:jc w:val="left"/>
        <w:rPr>
          <w:rFonts w:ascii="Verdana;sans-serif" w:hAnsi="Verdana;sans-serif"/>
          <w:b w:val="false"/>
          <w:color w:val="000000"/>
          <w:sz w:val="16"/>
        </w:rPr>
      </w:pPr>
      <w:r>
        <w:rPr>
          <w:rFonts w:ascii="Verdana;sans-serif" w:hAnsi="Verdana;sans-serif"/>
          <w:b w:val="false"/>
          <w:color w:val="000000"/>
          <w:sz w:val="16"/>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857"/>
        <w:gridCol w:w="754"/>
        <w:gridCol w:w="759"/>
        <w:gridCol w:w="494"/>
        <w:gridCol w:w="494"/>
        <w:gridCol w:w="496"/>
        <w:gridCol w:w="1006"/>
        <w:gridCol w:w="1006"/>
        <w:gridCol w:w="1422"/>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Title of each class</w:t>
            </w:r>
          </w:p>
        </w:tc>
        <w:tc>
          <w:tcPr>
            <w:tcW w:w="14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Trading Symbol(s)</w:t>
            </w:r>
          </w:p>
        </w:tc>
        <w:tc>
          <w:tcPr>
            <w:tcW w:w="34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color w:val="000000"/>
                <w:sz w:val="14"/>
              </w:rPr>
            </w:pPr>
            <w:r>
              <w:rPr>
                <w:rFonts w:ascii="Verdana;sans-serif" w:hAnsi="Verdana;sans-serif"/>
                <w:b/>
                <w:color w:val="000000"/>
                <w:sz w:val="14"/>
              </w:rPr>
              <w:t>Name of each exchange on which registered</w:t>
            </w:r>
          </w:p>
        </w:tc>
      </w:tr>
      <w:tr>
        <w:trPr/>
        <w:tc>
          <w:tcPr>
            <w:tcW w:w="23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Common stock, $0.001 par value</w:t>
            </w:r>
          </w:p>
        </w:tc>
        <w:tc>
          <w:tcPr>
            <w:tcW w:w="14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AIP</w:t>
            </w:r>
          </w:p>
        </w:tc>
        <w:tc>
          <w:tcPr>
            <w:tcW w:w="34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Verdana;sans-serif" w:hAnsi="Verdana;sans-serif"/>
                <w:b w:val="false"/>
                <w:color w:val="000000"/>
                <w:sz w:val="14"/>
              </w:rPr>
            </w:pPr>
            <w:r>
              <w:rPr>
                <w:rFonts w:ascii="Verdana;sans-serif" w:hAnsi="Verdana;sans-serif"/>
                <w:b w:val="false"/>
                <w:color w:val="000000"/>
                <w:sz w:val="14"/>
              </w:rPr>
              <w:t>The Nasdaq Stock Market LLC</w:t>
            </w:r>
          </w:p>
        </w:tc>
      </w:tr>
    </w:tbl>
    <w:p>
      <w:pPr>
        <w:pStyle w:val="TextBody"/>
        <w:bidi w:val="0"/>
        <w:spacing w:lineRule="auto" w:line="288" w:before="80" w:after="283"/>
        <w:jc w:val="left"/>
        <w:rPr/>
      </w:pPr>
      <w:r>
        <w:rPr>
          <w:rFonts w:ascii="Verdana;sans-serif" w:hAnsi="Verdana;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r>
        <w:rPr>
          <w:color w:val="000000"/>
        </w:rPr>
        <w:t> </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x</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4239" w:type="dxa"/>
        <w:jc w:val="center"/>
        <w:tblInd w:w="0" w:type="dxa"/>
        <w:tblLayout w:type="fixed"/>
        <w:tblCellMar>
          <w:top w:w="28" w:type="dxa"/>
          <w:left w:w="28" w:type="dxa"/>
          <w:bottom w:w="28" w:type="dxa"/>
          <w:right w:w="28" w:type="dxa"/>
        </w:tblCellMar>
      </w:tblPr>
      <w:tblGrid>
        <w:gridCol w:w="576"/>
        <w:gridCol w:w="506"/>
        <w:gridCol w:w="508"/>
        <w:gridCol w:w="109"/>
        <w:gridCol w:w="109"/>
        <w:gridCol w:w="109"/>
        <w:gridCol w:w="649"/>
        <w:gridCol w:w="649"/>
        <w:gridCol w:w="652"/>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4"/>
              </w:rPr>
            </w:pPr>
            <w:r>
              <w:rPr>
                <w:rFonts w:ascii="Wingdings;sans-serif" w:hAnsi="Wingdings;sans-serif"/>
                <w:b w:val="false"/>
                <w:color w:val="000000"/>
                <w:sz w:val="14"/>
              </w:rPr>
              <w:t>o</w:t>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0000"/>
                <w:sz w:val="14"/>
              </w:rPr>
              <w:t>x</w:t>
            </w: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4"/>
              </w:rPr>
            </w:pPr>
            <w:r>
              <w:rPr>
                <w:rFonts w:ascii="Verdana;sans-serif" w:hAnsi="Verdana;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right"/>
              <w:rPr>
                <w:rFonts w:ascii="Wingdings;sans-serif" w:hAnsi="Wingdings;sans-serif"/>
                <w:b w:val="false"/>
                <w:color w:val="000000"/>
                <w:sz w:val="14"/>
              </w:rPr>
            </w:pPr>
            <w:r>
              <w:rPr>
                <w:rFonts w:ascii="Wingdings;sans-serif" w:hAnsi="Wingdings;sans-serif"/>
                <w:b w:val="false"/>
                <w:color w:val="000000"/>
                <w:sz w:val="14"/>
              </w:rPr>
              <w:t>x</w:t>
            </w:r>
          </w:p>
        </w:tc>
      </w:tr>
    </w:tbl>
    <w:p>
      <w:pPr>
        <w:pStyle w:val="TextBody"/>
        <w:bidi w:val="0"/>
        <w:spacing w:lineRule="auto" w:line="288" w:before="200" w:after="283"/>
        <w:jc w:val="left"/>
        <w:rPr/>
      </w:pPr>
      <w:r>
        <w:rPr>
          <w:rFonts w:ascii="Verdana;sans-serif" w:hAnsi="Verdana;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w:t>
      </w:r>
      <w:r>
        <w:rPr>
          <w:rFonts w:ascii="Wingdings;sans-serif" w:hAnsi="Wingdings;sans-serif"/>
          <w:b w:val="false"/>
          <w:color w:val="000000"/>
          <w:sz w:val="14"/>
        </w:rPr>
        <w:t>o</w:t>
      </w:r>
    </w:p>
    <w:p>
      <w:pPr>
        <w:pStyle w:val="TextBody"/>
        <w:bidi w:val="0"/>
        <w:spacing w:lineRule="auto" w:line="288" w:before="200" w:after="283"/>
        <w:jc w:val="left"/>
        <w:rPr/>
      </w:pPr>
      <w:r>
        <w:rPr>
          <w:rFonts w:ascii="Verdana;sans-serif" w:hAnsi="Verdana;sans-serif"/>
          <w:b w:val="false"/>
          <w:color w:val="000000"/>
          <w:sz w:val="14"/>
        </w:rPr>
        <w:t xml:space="preserve">Indicate by check mark whether the registrant is a shell company (as defined in Rule 12b-2 of the Act). </w:t>
      </w:r>
      <w:r>
        <w:rPr>
          <w:color w:val="000000"/>
        </w:rPr>
        <w:t>    </w:t>
      </w:r>
      <w:r>
        <w:rPr>
          <w:rFonts w:ascii="Verdana;sans-serif" w:hAnsi="Verdana;sans-serif"/>
          <w:b w:val="false"/>
          <w:color w:val="000000"/>
          <w:sz w:val="14"/>
        </w:rPr>
        <w:t>Yes</w:t>
      </w:r>
      <w:r>
        <w:rPr>
          <w:color w:val="000000"/>
        </w:rPr>
        <w:t>   </w:t>
      </w:r>
      <w:r>
        <w:rPr>
          <w:rFonts w:ascii="Wingdings;sans-serif" w:hAnsi="Wingdings;sans-serif"/>
          <w:b w:val="false"/>
          <w:color w:val="000000"/>
          <w:sz w:val="14"/>
        </w:rPr>
        <w:t>o</w:t>
      </w:r>
      <w:r>
        <w:rPr>
          <w:color w:val="000000"/>
        </w:rPr>
        <w:t>     </w:t>
      </w:r>
      <w:r>
        <w:rPr>
          <w:rFonts w:ascii="Verdana;sans-serif" w:hAnsi="Verdana;sans-serif"/>
          <w:b w:val="false"/>
          <w:color w:val="000000"/>
          <w:sz w:val="14"/>
        </w:rPr>
        <w:t>No</w:t>
      </w:r>
      <w:r>
        <w:rPr>
          <w:color w:val="000000"/>
        </w:rPr>
        <w:t>  </w:t>
      </w:r>
      <w:r>
        <w:rPr>
          <w:rFonts w:ascii="Wingdings;sans-serif" w:hAnsi="Wingdings;sans-serif"/>
          <w:b w:val="false"/>
          <w:color w:val="000000"/>
          <w:sz w:val="14"/>
        </w:rPr>
        <w:t>x</w:t>
      </w:r>
    </w:p>
    <w:p>
      <w:pPr>
        <w:pStyle w:val="TextBody"/>
        <w:bidi w:val="0"/>
        <w:spacing w:lineRule="auto" w:line="288" w:before="200" w:after="283"/>
        <w:jc w:val="left"/>
        <w:rPr>
          <w:rFonts w:ascii="Verdana;sans-serif" w:hAnsi="Verdana;sans-serif"/>
          <w:b w:val="false"/>
          <w:color w:val="000000"/>
          <w:sz w:val="14"/>
        </w:rPr>
      </w:pPr>
      <w:r>
        <w:rPr>
          <w:rFonts w:ascii="Verdana;sans-serif" w:hAnsi="Verdana;sans-serif"/>
          <w:b w:val="false"/>
          <w:color w:val="000000"/>
          <w:sz w:val="14"/>
        </w:rPr>
        <w:t>As of July 30, 2026, there were 49,152,102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tbl>
      <w:tblPr>
        <w:tblW w:w="2264" w:type="dxa"/>
        <w:jc w:val="left"/>
        <w:tblInd w:w="0" w:type="dxa"/>
        <w:tblLayout w:type="fixed"/>
        <w:tblCellMar>
          <w:top w:w="28" w:type="dxa"/>
          <w:left w:w="28" w:type="dxa"/>
          <w:bottom w:w="28" w:type="dxa"/>
          <w:right w:w="28" w:type="dxa"/>
        </w:tblCellMar>
      </w:tblPr>
      <w:tblGrid>
        <w:gridCol w:w="725"/>
        <w:gridCol w:w="636"/>
        <w:gridCol w:w="903"/>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0"/>
              </w:rPr>
            </w:pPr>
            <w:r>
              <w:rPr>
                <w:rFonts w:ascii="Arial;sans-serif" w:hAnsi="Arial;sans-serif"/>
                <w:b/>
                <w:color w:val="000000"/>
                <w:sz w:val="20"/>
              </w:rPr>
              <w:t>TABLE OF CONTENTS</w:t>
            </w:r>
          </w:p>
        </w:tc>
      </w:tr>
    </w:tbl>
    <w:tbl>
      <w:tblPr>
        <w:tblW w:w="10205" w:type="dxa"/>
        <w:jc w:val="center"/>
        <w:tblInd w:w="0" w:type="dxa"/>
        <w:tblLayout w:type="fixed"/>
        <w:tblCellMar>
          <w:top w:w="28" w:type="dxa"/>
          <w:left w:w="28" w:type="dxa"/>
          <w:bottom w:w="28" w:type="dxa"/>
          <w:right w:w="28" w:type="dxa"/>
        </w:tblCellMar>
      </w:tblPr>
      <w:tblGrid>
        <w:gridCol w:w="397"/>
        <w:gridCol w:w="350"/>
        <w:gridCol w:w="350"/>
        <w:gridCol w:w="2880"/>
        <w:gridCol w:w="2839"/>
        <w:gridCol w:w="2845"/>
        <w:gridCol w:w="158"/>
        <w:gridCol w:w="158"/>
        <w:gridCol w:w="228"/>
      </w:tblGrid>
      <w:tr>
        <w:trPr/>
        <w:tc>
          <w:tcPr>
            <w:tcW w:w="3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Page</w:t>
            </w:r>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0">
              <w:r>
                <w:rPr>
                  <w:rStyle w:val="InternetLink"/>
                  <w:rFonts w:ascii="Arial;sans-serif" w:hAnsi="Arial;sans-serif"/>
                  <w:b/>
                  <w:color w:val="0000FF"/>
                  <w:sz w:val="16"/>
                  <w:u w:val="single"/>
                </w:rPr>
                <w:t>Part I. Financial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d83a74f8b64252b563d8792d241db4_10">
              <w:r>
                <w:rPr>
                  <w:rStyle w:val="InternetLink"/>
                  <w:rFonts w:ascii="Arial;sans-serif" w:hAnsi="Arial;sans-serif"/>
                  <w:b w:val="false"/>
                  <w:strike w:val="false"/>
                  <w:dstrike w:val="false"/>
                  <w:color w:val="000000"/>
                  <w:sz w:val="16"/>
                  <w:u w:val="none"/>
                  <w:effect w:val="none"/>
                </w:rPr>
                <w:t>3</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3">
              <w:r>
                <w:rPr>
                  <w:rStyle w:val="InternetLink"/>
                  <w:rFonts w:ascii="Arial;sans-serif" w:hAnsi="Arial;sans-serif"/>
                  <w:b w:val="false"/>
                  <w:color w:val="0000FF"/>
                  <w:sz w:val="16"/>
                  <w:u w:val="single"/>
                </w:rPr>
                <w:t>Item 1.</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3">
              <w:r>
                <w:rPr>
                  <w:rStyle w:val="InternetLink"/>
                  <w:rFonts w:ascii="Arial;sans-serif" w:hAnsi="Arial;sans-serif"/>
                  <w:b w:val="false"/>
                  <w:color w:val="0000FF"/>
                  <w:sz w:val="16"/>
                  <w:u w:val="single"/>
                </w:rPr>
                <w:t>Financial Statements (unaudited)</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3">
              <w:r>
                <w:rPr>
                  <w:rStyle w:val="InternetLink"/>
                  <w:rFonts w:ascii="Arial;sans-serif" w:hAnsi="Arial;sans-serif"/>
                  <w:b w:val="false"/>
                  <w:strike w:val="false"/>
                  <w:dstrike w:val="false"/>
                  <w:color w:val="000000"/>
                  <w:sz w:val="16"/>
                  <w:u w:val="none"/>
                  <w:effect w:val="none"/>
                </w:rPr>
                <w:t>3</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6">
              <w:r>
                <w:rPr>
                  <w:rStyle w:val="InternetLink"/>
                  <w:rFonts w:ascii="Arial;sans-serif" w:hAnsi="Arial;sans-serif"/>
                  <w:b w:val="false"/>
                  <w:color w:val="000080"/>
                  <w:sz w:val="16"/>
                  <w:u w:val="single"/>
                </w:rPr>
                <w:t>Condensed Consolidated Balance Sheets as of June 30, 202</w:t>
              </w:r>
            </w:hyperlink>
            <w:hyperlink w:anchor="ib3d83a74f8b64252b563d8792d241db4_16">
              <w:r>
                <w:rPr>
                  <w:rStyle w:val="InternetLink"/>
                  <w:rFonts w:ascii="Arial;sans-serif" w:hAnsi="Arial;sans-serif"/>
                  <w:b w:val="false"/>
                  <w:color w:val="000080"/>
                  <w:sz w:val="16"/>
                  <w:u w:val="single"/>
                </w:rPr>
                <w:t>6</w:t>
              </w:r>
            </w:hyperlink>
            <w:hyperlink w:anchor="ib3d83a74f8b64252b563d8792d241db4_16">
              <w:r>
                <w:rPr>
                  <w:rStyle w:val="InternetLink"/>
                  <w:rFonts w:ascii="Arial;sans-serif" w:hAnsi="Arial;sans-serif"/>
                  <w:b w:val="false"/>
                  <w:color w:val="000080"/>
                  <w:sz w:val="16"/>
                  <w:u w:val="single"/>
                </w:rPr>
                <w:t xml:space="preserve"> and December 31, 20</w:t>
              </w:r>
            </w:hyperlink>
            <w:hyperlink w:anchor="ib3d83a74f8b64252b563d8792d241db4_16">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6">
              <w:r>
                <w:rPr>
                  <w:rStyle w:val="InternetLink"/>
                  <w:rFonts w:ascii="Arial;sans-serif" w:hAnsi="Arial;sans-serif"/>
                  <w:b w:val="false"/>
                  <w:strike w:val="false"/>
                  <w:dstrike w:val="false"/>
                  <w:color w:val="000000"/>
                  <w:sz w:val="16"/>
                  <w:u w:val="none"/>
                  <w:effect w:val="none"/>
                </w:rPr>
                <w:t>3</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9">
              <w:r>
                <w:rPr>
                  <w:rStyle w:val="InternetLink"/>
                  <w:rFonts w:ascii="Arial;sans-serif" w:hAnsi="Arial;sans-serif"/>
                  <w:b w:val="false"/>
                  <w:color w:val="000080"/>
                  <w:sz w:val="16"/>
                  <w:u w:val="single"/>
                </w:rPr>
                <w:t>Condensed Consolidated Statements of Operations for the Three and Six Months Ended June 30, 202</w:t>
              </w:r>
            </w:hyperlink>
            <w:hyperlink w:anchor="ib3d83a74f8b64252b563d8792d241db4_19">
              <w:r>
                <w:rPr>
                  <w:rStyle w:val="InternetLink"/>
                  <w:rFonts w:ascii="Arial;sans-serif" w:hAnsi="Arial;sans-serif"/>
                  <w:b w:val="false"/>
                  <w:color w:val="000080"/>
                  <w:sz w:val="16"/>
                  <w:u w:val="single"/>
                </w:rPr>
                <w:t>6</w:t>
              </w:r>
            </w:hyperlink>
            <w:hyperlink w:anchor="ib3d83a74f8b64252b563d8792d241db4_19">
              <w:r>
                <w:rPr>
                  <w:rStyle w:val="InternetLink"/>
                  <w:rFonts w:ascii="Arial;sans-serif" w:hAnsi="Arial;sans-serif"/>
                  <w:b w:val="false"/>
                  <w:color w:val="000080"/>
                  <w:sz w:val="16"/>
                  <w:u w:val="single"/>
                </w:rPr>
                <w:t xml:space="preserve"> and 20</w:t>
              </w:r>
            </w:hyperlink>
            <w:hyperlink w:anchor="ib3d83a74f8b64252b563d8792d241db4_19">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9">
              <w:r>
                <w:rPr>
                  <w:rStyle w:val="InternetLink"/>
                  <w:rFonts w:ascii="Arial;sans-serif" w:hAnsi="Arial;sans-serif"/>
                  <w:b w:val="false"/>
                  <w:strike w:val="false"/>
                  <w:dstrike w:val="false"/>
                  <w:color w:val="000000"/>
                  <w:sz w:val="16"/>
                  <w:u w:val="none"/>
                  <w:effect w:val="none"/>
                </w:rPr>
                <w:t>4</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22">
              <w:r>
                <w:rPr>
                  <w:rStyle w:val="InternetLink"/>
                  <w:rFonts w:ascii="Arial;sans-serif" w:hAnsi="Arial;sans-serif"/>
                  <w:b w:val="false"/>
                  <w:color w:val="000080"/>
                  <w:sz w:val="16"/>
                  <w:u w:val="single"/>
                </w:rPr>
                <w:t>Condensed Consolidated Statements of Comprehensive Loss for the Three and Six Months Ended June 30, 202</w:t>
              </w:r>
            </w:hyperlink>
            <w:hyperlink w:anchor="ib3d83a74f8b64252b563d8792d241db4_22">
              <w:r>
                <w:rPr>
                  <w:rStyle w:val="InternetLink"/>
                  <w:rFonts w:ascii="Arial;sans-serif" w:hAnsi="Arial;sans-serif"/>
                  <w:b w:val="false"/>
                  <w:color w:val="000080"/>
                  <w:sz w:val="16"/>
                  <w:u w:val="single"/>
                </w:rPr>
                <w:t>6</w:t>
              </w:r>
            </w:hyperlink>
            <w:hyperlink w:anchor="ib3d83a74f8b64252b563d8792d241db4_22">
              <w:r>
                <w:rPr>
                  <w:rStyle w:val="InternetLink"/>
                  <w:rFonts w:ascii="Arial;sans-serif" w:hAnsi="Arial;sans-serif"/>
                  <w:b w:val="false"/>
                  <w:color w:val="000080"/>
                  <w:sz w:val="16"/>
                  <w:u w:val="single"/>
                </w:rPr>
                <w:t xml:space="preserve"> and 20</w:t>
              </w:r>
            </w:hyperlink>
            <w:hyperlink w:anchor="ib3d83a74f8b64252b563d8792d241db4_22">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22">
              <w:r>
                <w:rPr>
                  <w:rStyle w:val="InternetLink"/>
                  <w:rFonts w:ascii="Arial;sans-serif" w:hAnsi="Arial;sans-serif"/>
                  <w:b w:val="false"/>
                  <w:strike w:val="false"/>
                  <w:dstrike w:val="false"/>
                  <w:color w:val="000000"/>
                  <w:sz w:val="16"/>
                  <w:u w:val="none"/>
                  <w:effect w:val="none"/>
                </w:rPr>
                <w:t>5</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25">
              <w:r>
                <w:rPr>
                  <w:rStyle w:val="InternetLink"/>
                  <w:rFonts w:ascii="Arial;sans-serif" w:hAnsi="Arial;sans-serif"/>
                  <w:b w:val="false"/>
                  <w:color w:val="000080"/>
                  <w:sz w:val="16"/>
                  <w:u w:val="single"/>
                </w:rPr>
                <w:t xml:space="preserve">Condensed Consolidated Statements of Stockholders' </w:t>
              </w:r>
            </w:hyperlink>
            <w:hyperlink w:anchor="ib3d83a74f8b64252b563d8792d241db4_25">
              <w:r>
                <w:rPr>
                  <w:rStyle w:val="InternetLink"/>
                  <w:rFonts w:ascii="Arial;sans-serif" w:hAnsi="Arial;sans-serif"/>
                  <w:b w:val="false"/>
                  <w:color w:val="000080"/>
                  <w:sz w:val="16"/>
                  <w:u w:val="single"/>
                </w:rPr>
                <w:t xml:space="preserve">Equity </w:t>
              </w:r>
            </w:hyperlink>
            <w:hyperlink w:anchor="ib3d83a74f8b64252b563d8792d241db4_25">
              <w:r>
                <w:rPr>
                  <w:rStyle w:val="InternetLink"/>
                  <w:rFonts w:ascii="Arial;sans-serif" w:hAnsi="Arial;sans-serif"/>
                  <w:b w:val="false"/>
                  <w:color w:val="000080"/>
                  <w:sz w:val="16"/>
                  <w:u w:val="single"/>
                </w:rPr>
                <w:t>(Deficit)</w:t>
              </w:r>
            </w:hyperlink>
            <w:hyperlink w:anchor="ib3d83a74f8b64252b563d8792d241db4_25">
              <w:r>
                <w:rPr>
                  <w:rStyle w:val="InternetLink"/>
                  <w:rFonts w:ascii="Arial;sans-serif" w:hAnsi="Arial;sans-serif"/>
                  <w:b w:val="false"/>
                  <w:color w:val="000080"/>
                  <w:sz w:val="16"/>
                  <w:u w:val="single"/>
                </w:rPr>
                <w:t xml:space="preserve"> </w:t>
              </w:r>
            </w:hyperlink>
            <w:hyperlink w:anchor="ib3d83a74f8b64252b563d8792d241db4_25">
              <w:r>
                <w:rPr>
                  <w:rStyle w:val="InternetLink"/>
                  <w:rFonts w:ascii="Arial;sans-serif" w:hAnsi="Arial;sans-serif"/>
                  <w:b w:val="false"/>
                  <w:color w:val="000080"/>
                  <w:sz w:val="16"/>
                  <w:u w:val="single"/>
                </w:rPr>
                <w:t>for the Three and Six Months Ended June 30, 202</w:t>
              </w:r>
            </w:hyperlink>
            <w:hyperlink w:anchor="ib3d83a74f8b64252b563d8792d241db4_25">
              <w:r>
                <w:rPr>
                  <w:rStyle w:val="InternetLink"/>
                  <w:rFonts w:ascii="Arial;sans-serif" w:hAnsi="Arial;sans-serif"/>
                  <w:b w:val="false"/>
                  <w:color w:val="000080"/>
                  <w:sz w:val="16"/>
                  <w:u w:val="single"/>
                </w:rPr>
                <w:t>6</w:t>
              </w:r>
            </w:hyperlink>
            <w:hyperlink w:anchor="ib3d83a74f8b64252b563d8792d241db4_25">
              <w:r>
                <w:rPr>
                  <w:rStyle w:val="InternetLink"/>
                  <w:rFonts w:ascii="Arial;sans-serif" w:hAnsi="Arial;sans-serif"/>
                  <w:b w:val="false"/>
                  <w:color w:val="000080"/>
                  <w:sz w:val="16"/>
                  <w:u w:val="single"/>
                </w:rPr>
                <w:t xml:space="preserve"> and 20</w:t>
              </w:r>
            </w:hyperlink>
            <w:hyperlink w:anchor="ib3d83a74f8b64252b563d8792d241db4_25">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25">
              <w:r>
                <w:rPr>
                  <w:rStyle w:val="InternetLink"/>
                  <w:rFonts w:ascii="Arial;sans-serif" w:hAnsi="Arial;sans-serif"/>
                  <w:b w:val="false"/>
                  <w:strike w:val="false"/>
                  <w:dstrike w:val="false"/>
                  <w:color w:val="000000"/>
                  <w:sz w:val="16"/>
                  <w:u w:val="none"/>
                  <w:effect w:val="none"/>
                </w:rPr>
                <w:t>6</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31">
              <w:r>
                <w:rPr>
                  <w:rStyle w:val="InternetLink"/>
                  <w:rFonts w:ascii="Arial;sans-serif" w:hAnsi="Arial;sans-serif"/>
                  <w:b w:val="false"/>
                  <w:color w:val="000080"/>
                  <w:sz w:val="16"/>
                  <w:u w:val="single"/>
                </w:rPr>
                <w:t>Condensed Consolidated Statements of Cash Flows for the Six Months Ended June 30, 202</w:t>
              </w:r>
            </w:hyperlink>
            <w:hyperlink w:anchor="ib3d83a74f8b64252b563d8792d241db4_31">
              <w:r>
                <w:rPr>
                  <w:rStyle w:val="InternetLink"/>
                  <w:rFonts w:ascii="Arial;sans-serif" w:hAnsi="Arial;sans-serif"/>
                  <w:b w:val="false"/>
                  <w:color w:val="000080"/>
                  <w:sz w:val="16"/>
                  <w:u w:val="single"/>
                </w:rPr>
                <w:t>6</w:t>
              </w:r>
            </w:hyperlink>
            <w:hyperlink w:anchor="ib3d83a74f8b64252b563d8792d241db4_31">
              <w:r>
                <w:rPr>
                  <w:rStyle w:val="InternetLink"/>
                  <w:rFonts w:ascii="Arial;sans-serif" w:hAnsi="Arial;sans-serif"/>
                  <w:b w:val="false"/>
                  <w:color w:val="000080"/>
                  <w:sz w:val="16"/>
                  <w:u w:val="single"/>
                </w:rPr>
                <w:t xml:space="preserve"> and 20</w:t>
              </w:r>
            </w:hyperlink>
            <w:hyperlink w:anchor="ib3d83a74f8b64252b563d8792d241db4_31">
              <w:r>
                <w:rPr>
                  <w:rStyle w:val="InternetLink"/>
                  <w:rFonts w:ascii="Arial;sans-serif" w:hAnsi="Arial;sans-serif"/>
                  <w:b w:val="false"/>
                  <w:color w:val="000080"/>
                  <w:sz w:val="16"/>
                  <w:u w:val="single"/>
                </w:rPr>
                <w:t>25</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31">
              <w:r>
                <w:rPr>
                  <w:rStyle w:val="InternetLink"/>
                  <w:rFonts w:ascii="Arial;sans-serif" w:hAnsi="Arial;sans-serif"/>
                  <w:b w:val="false"/>
                  <w:strike w:val="false"/>
                  <w:dstrike w:val="false"/>
                  <w:color w:val="000000"/>
                  <w:sz w:val="16"/>
                  <w:u w:val="none"/>
                  <w:effect w:val="none"/>
                </w:rPr>
                <w:t>8</w:t>
              </w:r>
            </w:hyperlink>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34">
              <w:r>
                <w:rPr>
                  <w:rStyle w:val="InternetLink"/>
                  <w:rFonts w:ascii="Arial;sans-serif" w:hAnsi="Arial;sans-serif"/>
                  <w:b w:val="false"/>
                  <w:color w:val="0000FF"/>
                  <w:sz w:val="16"/>
                  <w:u w:val="single"/>
                </w:rPr>
                <w:t>Notes to Unaudited Condensed Consolidated Financial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34">
              <w:r>
                <w:rPr>
                  <w:rStyle w:val="InternetLink"/>
                  <w:rFonts w:ascii="Arial;sans-serif" w:hAnsi="Arial;sans-serif"/>
                  <w:b w:val="false"/>
                  <w:strike w:val="false"/>
                  <w:dstrike w:val="false"/>
                  <w:color w:val="000000"/>
                  <w:sz w:val="16"/>
                  <w:u w:val="none"/>
                  <w:effect w:val="none"/>
                </w:rPr>
                <w:t>9</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97">
              <w:r>
                <w:rPr>
                  <w:rStyle w:val="InternetLink"/>
                  <w:rFonts w:ascii="Arial;sans-serif" w:hAnsi="Arial;sans-serif"/>
                  <w:b w:val="false"/>
                  <w:color w:val="0000FF"/>
                  <w:sz w:val="16"/>
                  <w:u w:val="single"/>
                </w:rPr>
                <w:t>Item 2.</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97">
              <w:r>
                <w:rPr>
                  <w:rStyle w:val="InternetLink"/>
                  <w:rFonts w:ascii="Arial;sans-serif" w:hAnsi="Arial;sans-serif"/>
                  <w:b w:val="false"/>
                  <w:color w:val="0000FF"/>
                  <w:sz w:val="16"/>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97">
              <w:r>
                <w:rPr>
                  <w:rStyle w:val="InternetLink"/>
                  <w:rFonts w:ascii="Arial;sans-serif" w:hAnsi="Arial;sans-serif"/>
                  <w:b w:val="false"/>
                  <w:strike w:val="false"/>
                  <w:dstrike w:val="false"/>
                  <w:color w:val="000000"/>
                  <w:sz w:val="16"/>
                  <w:u w:val="none"/>
                  <w:effect w:val="none"/>
                </w:rPr>
                <w:t>30</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42">
              <w:r>
                <w:rPr>
                  <w:rStyle w:val="InternetLink"/>
                  <w:rFonts w:ascii="Arial;sans-serif" w:hAnsi="Arial;sans-serif"/>
                  <w:b w:val="false"/>
                  <w:color w:val="0000FF"/>
                  <w:sz w:val="16"/>
                  <w:u w:val="single"/>
                </w:rPr>
                <w:t>Item 3.</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42">
              <w:r>
                <w:rPr>
                  <w:rStyle w:val="InternetLink"/>
                  <w:rFonts w:ascii="Arial;sans-serif" w:hAnsi="Arial;sans-serif"/>
                  <w:b w:val="false"/>
                  <w:color w:val="0000FF"/>
                  <w:sz w:val="16"/>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42">
              <w:r>
                <w:rPr>
                  <w:rStyle w:val="InternetLink"/>
                  <w:rFonts w:ascii="Arial;sans-serif" w:hAnsi="Arial;sans-serif"/>
                  <w:b w:val="false"/>
                  <w:strike w:val="false"/>
                  <w:dstrike w:val="false"/>
                  <w:color w:val="000000"/>
                  <w:sz w:val="16"/>
                  <w:u w:val="none"/>
                  <w:effect w:val="none"/>
                </w:rPr>
                <w:t>45</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45">
              <w:r>
                <w:rPr>
                  <w:rStyle w:val="InternetLink"/>
                  <w:rFonts w:ascii="Arial;sans-serif" w:hAnsi="Arial;sans-serif"/>
                  <w:b w:val="false"/>
                  <w:color w:val="0000FF"/>
                  <w:sz w:val="16"/>
                  <w:u w:val="single"/>
                </w:rPr>
                <w:t>Item 4.</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45">
              <w:r>
                <w:rPr>
                  <w:rStyle w:val="InternetLink"/>
                  <w:rFonts w:ascii="Arial;sans-serif" w:hAnsi="Arial;sans-serif"/>
                  <w:b w:val="false"/>
                  <w:color w:val="0000FF"/>
                  <w:sz w:val="16"/>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45">
              <w:r>
                <w:rPr>
                  <w:rStyle w:val="InternetLink"/>
                  <w:rFonts w:ascii="Arial;sans-serif" w:hAnsi="Arial;sans-serif"/>
                  <w:b w:val="false"/>
                  <w:strike w:val="false"/>
                  <w:dstrike w:val="false"/>
                  <w:color w:val="000000"/>
                  <w:sz w:val="16"/>
                  <w:u w:val="none"/>
                  <w:effect w:val="none"/>
                </w:rPr>
                <w:t>46</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48">
              <w:r>
                <w:rPr>
                  <w:rStyle w:val="InternetLink"/>
                  <w:rFonts w:ascii="Arial;sans-serif" w:hAnsi="Arial;sans-serif"/>
                  <w:b/>
                  <w:color w:val="0000FF"/>
                  <w:sz w:val="16"/>
                  <w:u w:val="single"/>
                </w:rPr>
                <w:t>Part II. 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d83a74f8b64252b563d8792d241db4_148">
              <w:r>
                <w:rPr>
                  <w:rStyle w:val="InternetLink"/>
                  <w:rFonts w:ascii="Arial;sans-serif" w:hAnsi="Arial;sans-serif"/>
                  <w:b w:val="false"/>
                  <w:strike w:val="false"/>
                  <w:dstrike w:val="false"/>
                  <w:color w:val="000000"/>
                  <w:sz w:val="16"/>
                  <w:u w:val="none"/>
                  <w:effect w:val="none"/>
                </w:rPr>
                <w:t>47</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51">
              <w:r>
                <w:rPr>
                  <w:rStyle w:val="InternetLink"/>
                  <w:rFonts w:ascii="Arial;sans-serif" w:hAnsi="Arial;sans-serif"/>
                  <w:b w:val="false"/>
                  <w:color w:val="0000FF"/>
                  <w:sz w:val="16"/>
                  <w:u w:val="single"/>
                </w:rPr>
                <w:t>Item 1.</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51">
              <w:r>
                <w:rPr>
                  <w:rStyle w:val="InternetLink"/>
                  <w:rFonts w:ascii="Arial;sans-serif" w:hAnsi="Arial;sans-serif"/>
                  <w:b w:val="false"/>
                  <w:color w:val="0000FF"/>
                  <w:sz w:val="16"/>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51">
              <w:r>
                <w:rPr>
                  <w:rStyle w:val="InternetLink"/>
                  <w:rFonts w:ascii="Arial;sans-serif" w:hAnsi="Arial;sans-serif"/>
                  <w:b w:val="false"/>
                  <w:strike w:val="false"/>
                  <w:dstrike w:val="false"/>
                  <w:color w:val="000000"/>
                  <w:sz w:val="16"/>
                  <w:u w:val="none"/>
                  <w:effect w:val="none"/>
                </w:rPr>
                <w:t>47</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54">
              <w:r>
                <w:rPr>
                  <w:rStyle w:val="InternetLink"/>
                  <w:rFonts w:ascii="Arial;sans-serif" w:hAnsi="Arial;sans-serif"/>
                  <w:b w:val="false"/>
                  <w:color w:val="0000FF"/>
                  <w:sz w:val="16"/>
                  <w:u w:val="single"/>
                </w:rPr>
                <w:t>Item 1A.</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54">
              <w:r>
                <w:rPr>
                  <w:rStyle w:val="InternetLink"/>
                  <w:rFonts w:ascii="Arial;sans-serif" w:hAnsi="Arial;sans-serif"/>
                  <w:b w:val="false"/>
                  <w:color w:val="0000FF"/>
                  <w:sz w:val="16"/>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54">
              <w:r>
                <w:rPr>
                  <w:rStyle w:val="InternetLink"/>
                  <w:rFonts w:ascii="Arial;sans-serif" w:hAnsi="Arial;sans-serif"/>
                  <w:b w:val="false"/>
                  <w:strike w:val="false"/>
                  <w:dstrike w:val="false"/>
                  <w:color w:val="000000"/>
                  <w:sz w:val="16"/>
                  <w:u w:val="none"/>
                  <w:effect w:val="none"/>
                </w:rPr>
                <w:t>47</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57">
              <w:r>
                <w:rPr>
                  <w:rStyle w:val="InternetLink"/>
                  <w:rFonts w:ascii="Arial;sans-serif" w:hAnsi="Arial;sans-serif"/>
                  <w:b w:val="false"/>
                  <w:color w:val="0000FF"/>
                  <w:sz w:val="16"/>
                  <w:u w:val="single"/>
                </w:rPr>
                <w:t>Item 2.</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57">
              <w:r>
                <w:rPr>
                  <w:rStyle w:val="InternetLink"/>
                  <w:rFonts w:ascii="Arial;sans-serif" w:hAnsi="Arial;sans-serif"/>
                  <w:b w:val="false"/>
                  <w:color w:val="0000FF"/>
                  <w:sz w:val="16"/>
                  <w:u w:val="single"/>
                </w:rPr>
                <w:t>Unregistered Sales of Equity Securities and Use of Proceeds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57">
              <w:r>
                <w:rPr>
                  <w:rStyle w:val="InternetLink"/>
                  <w:rFonts w:ascii="Arial;sans-serif" w:hAnsi="Arial;sans-serif"/>
                  <w:b w:val="false"/>
                  <w:strike w:val="false"/>
                  <w:dstrike w:val="false"/>
                  <w:color w:val="000000"/>
                  <w:sz w:val="16"/>
                  <w:u w:val="none"/>
                  <w:effect w:val="none"/>
                </w:rPr>
                <w:t>84</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60">
              <w:r>
                <w:rPr>
                  <w:rStyle w:val="InternetLink"/>
                  <w:rFonts w:ascii="Arial;sans-serif" w:hAnsi="Arial;sans-serif"/>
                  <w:b w:val="false"/>
                  <w:color w:val="0000FF"/>
                  <w:sz w:val="16"/>
                  <w:u w:val="single"/>
                </w:rPr>
                <w:t>Item 3.</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60">
              <w:r>
                <w:rPr>
                  <w:rStyle w:val="InternetLink"/>
                  <w:rFonts w:ascii="Arial;sans-serif" w:hAnsi="Arial;sans-serif"/>
                  <w:b w:val="false"/>
                  <w:color w:val="0000FF"/>
                  <w:sz w:val="16"/>
                  <w:u w:val="single"/>
                </w:rPr>
                <w:t>Defaults Upon Senior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60">
              <w:r>
                <w:rPr>
                  <w:rStyle w:val="InternetLink"/>
                  <w:rFonts w:ascii="Arial;sans-serif" w:hAnsi="Arial;sans-serif"/>
                  <w:b w:val="false"/>
                  <w:strike w:val="false"/>
                  <w:dstrike w:val="false"/>
                  <w:color w:val="000000"/>
                  <w:sz w:val="16"/>
                  <w:u w:val="none"/>
                  <w:effect w:val="none"/>
                </w:rPr>
                <w:t>84</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63">
              <w:r>
                <w:rPr>
                  <w:rStyle w:val="InternetLink"/>
                  <w:rFonts w:ascii="Arial;sans-serif" w:hAnsi="Arial;sans-serif"/>
                  <w:b w:val="false"/>
                  <w:color w:val="0000FF"/>
                  <w:sz w:val="16"/>
                  <w:u w:val="single"/>
                </w:rPr>
                <w:t>Item 4.</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63">
              <w:r>
                <w:rPr>
                  <w:rStyle w:val="InternetLink"/>
                  <w:rFonts w:ascii="Arial;sans-serif" w:hAnsi="Arial;sans-serif"/>
                  <w:b w:val="false"/>
                  <w:color w:val="0000FF"/>
                  <w:sz w:val="16"/>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63">
              <w:r>
                <w:rPr>
                  <w:rStyle w:val="InternetLink"/>
                  <w:rFonts w:ascii="Arial;sans-serif" w:hAnsi="Arial;sans-serif"/>
                  <w:b w:val="false"/>
                  <w:strike w:val="false"/>
                  <w:dstrike w:val="false"/>
                  <w:color w:val="000000"/>
                  <w:sz w:val="16"/>
                  <w:u w:val="none"/>
                  <w:effect w:val="none"/>
                </w:rPr>
                <w:t>84</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66">
              <w:r>
                <w:rPr>
                  <w:rStyle w:val="InternetLink"/>
                  <w:rFonts w:ascii="Arial;sans-serif" w:hAnsi="Arial;sans-serif"/>
                  <w:b w:val="false"/>
                  <w:color w:val="0000FF"/>
                  <w:sz w:val="16"/>
                  <w:u w:val="single"/>
                </w:rPr>
                <w:t>Item 5.</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66">
              <w:r>
                <w:rPr>
                  <w:rStyle w:val="InternetLink"/>
                  <w:rFonts w:ascii="Arial;sans-serif" w:hAnsi="Arial;sans-serif"/>
                  <w:b w:val="false"/>
                  <w:color w:val="0000FF"/>
                  <w:sz w:val="16"/>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66">
              <w:r>
                <w:rPr>
                  <w:rStyle w:val="InternetLink"/>
                  <w:rFonts w:ascii="Arial;sans-serif" w:hAnsi="Arial;sans-serif"/>
                  <w:b w:val="false"/>
                  <w:strike w:val="false"/>
                  <w:dstrike w:val="false"/>
                  <w:color w:val="000000"/>
                  <w:sz w:val="16"/>
                  <w:u w:val="none"/>
                  <w:effect w:val="none"/>
                </w:rPr>
                <w:t>85</w:t>
              </w:r>
            </w:hyperlink>
          </w:p>
        </w:tc>
      </w:tr>
      <w:tr>
        <w:trPr/>
        <w:tc>
          <w:tcPr>
            <w:tcW w:w="10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72">
              <w:r>
                <w:rPr>
                  <w:rStyle w:val="InternetLink"/>
                  <w:rFonts w:ascii="Arial;sans-serif" w:hAnsi="Arial;sans-serif"/>
                  <w:b w:val="false"/>
                  <w:color w:val="0000FF"/>
                  <w:sz w:val="16"/>
                  <w:u w:val="single"/>
                </w:rPr>
                <w:t>Item 6.</w:t>
              </w:r>
            </w:hyperlink>
          </w:p>
        </w:tc>
        <w:tc>
          <w:tcPr>
            <w:tcW w:w="856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72">
              <w:r>
                <w:rPr>
                  <w:rStyle w:val="InternetLink"/>
                  <w:rFonts w:ascii="Arial;sans-serif" w:hAnsi="Arial;sans-serif"/>
                  <w:b w:val="false"/>
                  <w:color w:val="0000FF"/>
                  <w:sz w:val="16"/>
                  <w:u w:val="single"/>
                </w:rPr>
                <w:t>Exhibits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72">
              <w:r>
                <w:rPr>
                  <w:rStyle w:val="InternetLink"/>
                  <w:rFonts w:ascii="Arial;sans-serif" w:hAnsi="Arial;sans-serif"/>
                  <w:b w:val="false"/>
                  <w:strike w:val="false"/>
                  <w:dstrike w:val="false"/>
                  <w:color w:val="000000"/>
                  <w:sz w:val="16"/>
                  <w:u w:val="none"/>
                  <w:effect w:val="none"/>
                </w:rPr>
                <w:t>86</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68" w:before="0" w:after="0"/>
              <w:jc w:val="left"/>
              <w:rPr/>
            </w:pPr>
            <w:hyperlink w:anchor="ib3d83a74f8b64252b563d8792d241db4_175">
              <w:r>
                <w:rPr>
                  <w:rStyle w:val="InternetLink"/>
                  <w:rFonts w:ascii="Arial;sans-serif" w:hAnsi="Arial;sans-serif"/>
                  <w:b w:val="false"/>
                  <w:color w:val="0000FF"/>
                  <w:sz w:val="16"/>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b3d83a74f8b64252b563d8792d241db4_175">
              <w:r>
                <w:rPr>
                  <w:rStyle w:val="InternetLink"/>
                  <w:rFonts w:ascii="Arial;sans-serif" w:hAnsi="Arial;sans-serif"/>
                  <w:b w:val="false"/>
                  <w:strike w:val="false"/>
                  <w:dstrike w:val="false"/>
                  <w:color w:val="000000"/>
                  <w:sz w:val="16"/>
                  <w:u w:val="none"/>
                  <w:effect w:val="none"/>
                </w:rPr>
                <w:t>87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035"/>
        <w:gridCol w:w="2226"/>
        <w:gridCol w:w="2211"/>
        <w:gridCol w:w="211"/>
        <w:gridCol w:w="826"/>
        <w:gridCol w:w="109"/>
        <w:gridCol w:w="109"/>
        <w:gridCol w:w="109"/>
        <w:gridCol w:w="109"/>
        <w:gridCol w:w="222"/>
        <w:gridCol w:w="872"/>
        <w:gridCol w:w="166"/>
      </w:tblGrid>
      <w:tr>
        <w:trPr/>
        <w:tc>
          <w:tcPr>
            <w:tcW w:w="303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r>
      <w:tr>
        <w:trPr/>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June 30, </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December 31, </w:t>
              <w:br/>
              <w:t>2025</w:t>
            </w:r>
          </w:p>
        </w:tc>
      </w:tr>
      <w:tr>
        <w:trPr/>
        <w:tc>
          <w:tcPr>
            <w:tcW w:w="7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(Note 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of $73 as of both June 30, 2026 and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Vendor financing arrangements,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of $0.001 - 10,000,000 shares authorized and no shares issued and outstanding as of both June 30, 2026 and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of $0.001 - 300,000,000 shares authorized as of both June 30, 2026 and December 31, 2025; 49,051,892 and 44,268,816 shares issued and outstanding as of June 30, 2026 and December 31,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115,031 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00"/>
        <w:gridCol w:w="1184"/>
        <w:gridCol w:w="1197"/>
        <w:gridCol w:w="240"/>
        <w:gridCol w:w="841"/>
        <w:gridCol w:w="109"/>
        <w:gridCol w:w="109"/>
        <w:gridCol w:w="109"/>
        <w:gridCol w:w="109"/>
        <w:gridCol w:w="244"/>
        <w:gridCol w:w="837"/>
        <w:gridCol w:w="109"/>
        <w:gridCol w:w="109"/>
        <w:gridCol w:w="109"/>
        <w:gridCol w:w="109"/>
        <w:gridCol w:w="240"/>
        <w:gridCol w:w="841"/>
        <w:gridCol w:w="109"/>
        <w:gridCol w:w="109"/>
        <w:gridCol w:w="109"/>
        <w:gridCol w:w="109"/>
        <w:gridCol w:w="240"/>
        <w:gridCol w:w="841"/>
        <w:gridCol w:w="109"/>
        <w:gridCol w:w="109"/>
        <w:gridCol w:w="109"/>
        <w:gridCol w:w="109"/>
        <w:gridCol w:w="156"/>
      </w:tblGrid>
      <w:tr>
        <w:trPr/>
        <w:tc>
          <w:tcPr>
            <w:tcW w:w="160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Licensing, support and maintenance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royalties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services and other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Loss before income taxes and loss from equity method investment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 net of tax</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common stockholders, basic and 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Weighted-average shares used in computing per share amounts,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47,276,533 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46,415,392 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Comprehensive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638"/>
        <w:gridCol w:w="1393"/>
        <w:gridCol w:w="1419"/>
        <w:gridCol w:w="211"/>
        <w:gridCol w:w="779"/>
        <w:gridCol w:w="109"/>
        <w:gridCol w:w="109"/>
        <w:gridCol w:w="109"/>
        <w:gridCol w:w="109"/>
        <w:gridCol w:w="211"/>
        <w:gridCol w:w="674"/>
        <w:gridCol w:w="109"/>
        <w:gridCol w:w="109"/>
        <w:gridCol w:w="109"/>
        <w:gridCol w:w="109"/>
        <w:gridCol w:w="211"/>
        <w:gridCol w:w="779"/>
        <w:gridCol w:w="109"/>
        <w:gridCol w:w="109"/>
        <w:gridCol w:w="109"/>
        <w:gridCol w:w="109"/>
        <w:gridCol w:w="211"/>
        <w:gridCol w:w="779"/>
        <w:gridCol w:w="109"/>
        <w:gridCol w:w="109"/>
        <w:gridCol w:w="109"/>
        <w:gridCol w:w="109"/>
        <w:gridCol w:w="156"/>
      </w:tblGrid>
      <w:tr>
        <w:trPr/>
        <w:tc>
          <w:tcPr>
            <w:tcW w:w="163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Six Months Ended </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pension actuarial gain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gains on available-for-sale securities, net of tax</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Stockholders' Equity (Deficit)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30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2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46,017,908 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314,947 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Restricted Stock Units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621,239 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under employee stock purchase plan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the at-the-market offering, net of commissions and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2,041,487 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49,051,892 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1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63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41,403,294 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481,094 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619,362 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pension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42,592,418 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Statements of Stockholders' Equity (Deficit)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315"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73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9"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Equity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44,268,816 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390,321 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1,129,041 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56,311 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in connection with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1,096,280 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the at-the-market offering, net of commissions and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2,111,123 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losses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49,051,892 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10" w:type="dxa"/>
        <w:jc w:val="left"/>
        <w:tblInd w:w="0" w:type="dxa"/>
        <w:tblLayout w:type="fixed"/>
        <w:tblCellMar>
          <w:top w:w="28" w:type="dxa"/>
          <w:left w:w="28" w:type="dxa"/>
          <w:bottom w:w="28" w:type="dxa"/>
          <w:right w:w="28" w:type="dxa"/>
        </w:tblCellMar>
      </w:tblPr>
      <w:tblGrid>
        <w:gridCol w:w="809"/>
        <w:gridCol w:w="368"/>
        <w:gridCol w:w="369"/>
        <w:gridCol w:w="109"/>
        <w:gridCol w:w="109"/>
        <w:gridCol w:w="109"/>
        <w:gridCol w:w="540"/>
        <w:gridCol w:w="541"/>
        <w:gridCol w:w="216"/>
        <w:gridCol w:w="109"/>
        <w:gridCol w:w="109"/>
        <w:gridCol w:w="109"/>
        <w:gridCol w:w="232"/>
        <w:gridCol w:w="398"/>
        <w:gridCol w:w="121"/>
        <w:gridCol w:w="109"/>
        <w:gridCol w:w="109"/>
        <w:gridCol w:w="109"/>
        <w:gridCol w:w="211"/>
        <w:gridCol w:w="826"/>
        <w:gridCol w:w="109"/>
        <w:gridCol w:w="109"/>
        <w:gridCol w:w="109"/>
        <w:gridCol w:w="109"/>
        <w:gridCol w:w="442"/>
        <w:gridCol w:w="748"/>
        <w:gridCol w:w="161"/>
        <w:gridCol w:w="109"/>
        <w:gridCol w:w="109"/>
        <w:gridCol w:w="109"/>
        <w:gridCol w:w="211"/>
        <w:gridCol w:w="841"/>
        <w:gridCol w:w="109"/>
        <w:gridCol w:w="109"/>
        <w:gridCol w:w="109"/>
        <w:gridCol w:w="109"/>
        <w:gridCol w:w="211"/>
        <w:gridCol w:w="63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4" w:type="dxa"/>
            <w:gridSpan w:val="36"/>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Stockholders’ Deficit</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40,724,936 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627,053 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for settlement of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1,151,761 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gains on available-for-sale securities,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pension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42,592,418 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844"/>
        <w:gridCol w:w="2495"/>
        <w:gridCol w:w="2502"/>
        <w:gridCol w:w="196"/>
        <w:gridCol w:w="690"/>
        <w:gridCol w:w="109"/>
        <w:gridCol w:w="109"/>
        <w:gridCol w:w="109"/>
        <w:gridCol w:w="109"/>
        <w:gridCol w:w="196"/>
        <w:gridCol w:w="690"/>
        <w:gridCol w:w="156"/>
      </w:tblGrid>
      <w:tr>
        <w:trPr/>
        <w:tc>
          <w:tcPr>
            <w:tcW w:w="2844"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7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provided by operating activities:</w:t>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income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(Note 7)</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accretion of discounts on available-for-sale securities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contingent consideration liability</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expenses and other liabilities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securities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business combination, net of cash acquired</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under vendor financing arrangements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stock options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employee stock purchase plan</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common stock under the at-the-market offering, net of commissions and offering costs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IN CASH, CASH EQUIVALENTS AND RESTRICTED CASH</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48" w:type="dxa"/>
        <w:jc w:val="left"/>
        <w:tblInd w:w="0" w:type="dxa"/>
        <w:tblLayout w:type="fixed"/>
        <w:tblCellMar>
          <w:top w:w="28" w:type="dxa"/>
          <w:left w:w="28" w:type="dxa"/>
          <w:bottom w:w="28" w:type="dxa"/>
          <w:right w:w="28" w:type="dxa"/>
        </w:tblCellMar>
      </w:tblPr>
      <w:tblGrid>
        <w:gridCol w:w="1979"/>
        <w:gridCol w:w="1742"/>
        <w:gridCol w:w="1753"/>
        <w:gridCol w:w="196"/>
        <w:gridCol w:w="646"/>
        <w:gridCol w:w="109"/>
        <w:gridCol w:w="109"/>
        <w:gridCol w:w="109"/>
        <w:gridCol w:w="109"/>
        <w:gridCol w:w="196"/>
        <w:gridCol w:w="646"/>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consideration issued for Cycuity, Inc. (Cycuity) acquisition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contingent consideration liability related to Cycuity acquisition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 of property and equipment through vendor financing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exchanged for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offering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i/>
          <w:color w:val="000000"/>
          <w:sz w:val="16"/>
        </w:rPr>
      </w:pPr>
      <w:r>
        <w:rPr>
          <w:rFonts w:ascii="Arial;sans-serif" w:hAnsi="Arial;sans-serif"/>
          <w:b w:val="false"/>
          <w:i/>
          <w:color w:val="000000"/>
          <w:sz w:val="16"/>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ARTERIS,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Arteris, Inc. was incorporated in Delaware on April 12, 2004. Arteris, Inc. and its subsidiaries (collectively, the Company or Arteris) develop and license Network-on-Chip (NoC) interconnect intellectual property (IP), System-on-Chip (SoC) and related software solutions used in the design of semiconductor chips and chiplets used in a broad range of end products. The Company also provides hardware security verification software solutions, IP support &amp; maintenance, professional services, training and on-site support to assist customers with the development and use of its technologies. The Company is headquartered in Campbell, California and has offices in the United States, France, Poland, Japan, South Korea, Taiwan and China.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2.    BASIS OF PRESENTATION AND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accompanying unaudited condensed consolidated financial statements have been prepared in accordance with generally accepted accounting principles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2025 and the related notes included in the Company’s Form 10-K filed on February 12, 2026 (2025 Form 10-K) with the U.S. Securities and Exchange Commission (SEC). The December 31, 2025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operating results for the three and six months ended June 30, 2026 are not necessarily indicative of the results to be expected for the full year or any other future interim or annual period.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Reclassifications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Certain prior period amounts were reclassified to conform to the current period presentation. These reclassifications did not have an impact on previously reported amounts.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the accounts of Arteris, Inc. and its wholly-owned subsidiaries. All intercompany transactions and accounts have been eliminated.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operates as a single operating segment. The chief operating decision maker (CODM) is the Company’s Chief Executive Officer, who makes resource allocation decisions and assesses performance based on financial information presented on a consolidated basis, accompanied by disaggregated revenue information. Accordingly, the Company has determined that it has a single reportable segment and operating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 for credit losses, deferred tax assets and related valuation allowance, stock-based compensation, potential reserves relating to litigation and tax matters, collectability of certain receivables, fair value and amortization of deferred income, fair value of contingent consideration liability arising out of the Cycuity acquisition, as well as other accruals or reserves. Actual results could differ from those estimates and such differences may be material to the unaudited condensed consolidated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June 30, 2026,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operations.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both June 30, 2026 and December 31, 2025, the Company’s restricted cash balance was $0.3 million. The Company’s restricted cash balance as of June 30, 2026 was primarily related to a letter of credit for its facility lease agreement and collateralized cash for corporate credit cards. Restricted cash, current is included in prepaid expenses and other current assets and restricted cash, noncurrent is included in other assets on the consolidated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Concentrations of Credit Risk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that potentially subject us to concentration of credit risk consist of cash and cash equivalents, investments and accounts receivable. Cash is currently held in four financial institutions that the Company believes are creditworthy. Cash held at these financial institutions generally exceeds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accounts receivable are derived principally from revenue earned from customers located in the Americas, Europe, Middle East and Asia Pacific regions.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Accounts receivable from the Company’s major customers representing 10% or more of total accounts receivable was as follows:</w:t>
      </w:r>
    </w:p>
    <w:tbl>
      <w:tblPr>
        <w:tblW w:w="3311" w:type="dxa"/>
        <w:jc w:val="left"/>
        <w:tblInd w:w="0" w:type="dxa"/>
        <w:tblLayout w:type="fixed"/>
        <w:tblCellMar>
          <w:top w:w="28" w:type="dxa"/>
          <w:left w:w="28" w:type="dxa"/>
          <w:bottom w:w="28" w:type="dxa"/>
          <w:right w:w="28" w:type="dxa"/>
        </w:tblCellMar>
      </w:tblPr>
      <w:tblGrid>
        <w:gridCol w:w="364"/>
        <w:gridCol w:w="320"/>
        <w:gridCol w:w="321"/>
        <w:gridCol w:w="176"/>
        <w:gridCol w:w="176"/>
        <w:gridCol w:w="413"/>
        <w:gridCol w:w="109"/>
        <w:gridCol w:w="109"/>
        <w:gridCol w:w="109"/>
        <w:gridCol w:w="254"/>
        <w:gridCol w:w="254"/>
        <w:gridCol w:w="70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w:t>
            </w:r>
          </w:p>
        </w:tc>
        <w:tc>
          <w:tcPr>
            <w:tcW w:w="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B</w:t>
            </w:r>
          </w:p>
        </w:tc>
        <w:tc>
          <w:tcPr>
            <w:tcW w:w="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D</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Customer accounted for less than 10% of total accounts receivable at period end.</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Revenue from the Company’s major customers representing 10% or more of total revenue was as follows:</w:t>
      </w:r>
    </w:p>
    <w:tbl>
      <w:tblPr>
        <w:tblW w:w="5156" w:type="dxa"/>
        <w:jc w:val="left"/>
        <w:tblInd w:w="0" w:type="dxa"/>
        <w:tblLayout w:type="fixed"/>
        <w:tblCellMar>
          <w:top w:w="28" w:type="dxa"/>
          <w:left w:w="28" w:type="dxa"/>
          <w:bottom w:w="28" w:type="dxa"/>
          <w:right w:w="28" w:type="dxa"/>
        </w:tblCellMar>
      </w:tblPr>
      <w:tblGrid>
        <w:gridCol w:w="363"/>
        <w:gridCol w:w="320"/>
        <w:gridCol w:w="321"/>
        <w:gridCol w:w="169"/>
        <w:gridCol w:w="169"/>
        <w:gridCol w:w="169"/>
        <w:gridCol w:w="169"/>
        <w:gridCol w:w="169"/>
        <w:gridCol w:w="169"/>
        <w:gridCol w:w="169"/>
        <w:gridCol w:w="169"/>
        <w:gridCol w:w="398"/>
        <w:gridCol w:w="109"/>
        <w:gridCol w:w="109"/>
        <w:gridCol w:w="109"/>
        <w:gridCol w:w="155"/>
        <w:gridCol w:w="155"/>
        <w:gridCol w:w="156"/>
        <w:gridCol w:w="149"/>
        <w:gridCol w:w="149"/>
        <w:gridCol w:w="149"/>
        <w:gridCol w:w="165"/>
        <w:gridCol w:w="166"/>
        <w:gridCol w:w="350"/>
        <w:gridCol w:w="109"/>
        <w:gridCol w:w="109"/>
        <w:gridCol w:w="109"/>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w:t>
            </w:r>
          </w:p>
        </w:tc>
        <w:tc>
          <w:tcPr>
            <w:tcW w:w="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Customer accounted for less than 10% of total revenue in the period.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Combination of Cycuity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On January 14, 2026 (the Acquisition Date), the Company completed the acquisition of Cycuity (the Acquisition) for approximately $43.1 million, consisting of cash of $15.1 million, the Company’s common stock with a fair value of $19.0 million and earn-out consideration with a fair value of $9.0 million as of the Acquisition Date. The Company accounted for the acquisition of Cycuity by applying the acquisition method of accounting for business combinations, see Note 7, Business Combination.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There have been no significant changes to the Company’s significant accounting policies during the six months ended June 30, 2026 from those disclosed in the annual consolidated financial statements for the year ended December 31, 2025, except for the following.</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allocates the purchase price to the tangible assets acquired, liabilities assumed, and intangible assets acquired based on their estimated fair values. The excess of the purchase price over the fair value of these identifiable assets and liabilities is recorded as goodwill. Such valuations require management to make significant estimates and assumptions, especially with respect to intangible assets. These estimates are based on information obtained from management of the acquired companies, the Company’s assessment of this information, and historical experience. Significant estimates in valuing certain intangible assets include, but are not limited to, future expected cash flows from acquired customers,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In addition, unanticipated events and circumstances may occur that may affect the accuracy or validity of such estimates, and if such events occur, the Company may be required to adjust the value allocated to acquired assets or assumed liabilities.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Company’s consolidated statements of operations. Acquisition-related costs, such as advisory, legal, accounting, valuation, other professional or consulting fees and integration costs, are expensed as incurred.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measures equity classified stock-based awards, including stock options, restricted stock units (RSUs), and starting in the three months ended March 31, 2026, performance stock units (PSUs), granted to employees, directors, and non-employees based on the estimated fair values of the awards on the date of the grant. Stock-based compensation expense for awards with service-based vesting is recognized on a straight-line basis over the requisite service period, which is generally the vesting period of such awards, as a component of operating expenses within the consolidated statements of operations. The Company accounts for forfeitures related to these awards as they occur.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RSUs granted is measured as the fair value per share of the Company’s common stock on the date of grant.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fair value of each stock option grant is estimated on the date of grant using the Black-Scholes option-pricing model. This valuation model for stock-based compensation expense requires the Company to make assumptions and judgments about the variables used in the calculation including the expected term, the volatility of the Company’s common stock, and an assumed risk-free interest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PSUs that include a market condition, the Company determines the grant date fair value of the award using a Monte Carlo valuation model and recognizes compensation cost on a straight-line basis over the requisite service period. Stock-based compensation expense for PSUs that include market conditions is based on the grant-date fair value and is recognized regardless of whether the market condition is ultimately achieved.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adopted the 2021 Employee Stock Purchase Plan (the 2021 ESPP) effective on October 26, 2021. The 2021 ESPP provides for six-month offering periods beginning May 22 and November 22 of each year, and each offering period consists of a six-month purchase period. The first offering under the 2021 ESPP began on May 22, 2024, and ended on November 21, 2024. Eligible employees are entitled to purchase common stock at the end of six-month offering periods, by means of limited payroll deductions, at a 15% discount from the fair market value of the common stock as of specific dates.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shares of common stock to be issued under the 2021 ESPP is estimated using the Black-Scholes option pricing model, which is impacted by the fair value of the Company’s common stock, as well as changes in assumptions regarding a number of subjective variables. These variables include the expected common stock price volatility over the term of the awards, the expected term of the awards, and the risk-free interest rate. Stock-based compensation expense for ESPP awards is recognized on a straight-line basis over the term of each ESPP offering period.</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Revenue Recognition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recognizes revenue in accordance with ASC Topic 606, Revenue from Contracts with Customers, and subsequently issued additional related ASUs (Topic 606). The Company recognizes revenue as it transfers control of deliverables (software and services) to its customers in an amount reflecting the consideration to which it expects to be entitled. To recognize revenues,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The Company accounts for a contract when it has approval and commitment from all parties, the rights of the parties are identified, payment terms are identified, the contract has commercial substance and collectability of consideration is probable. The Company applies judgment in determining the customer’s ability and intention to pay based on a variety of factors including the customers’ historical payment experience.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Nature of Products and Services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revenue is primarily derived from licensing intellectual property, licensing software, support and maintenance services, professional services, training services, and royalties.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Design Solutions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Interconnect Solutions product arrangements provide customers the right to software licenses, services, and support and maintenance. The Company enters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Engineering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Application Engineering Support Services are integral and fundamental to the customer’s ability to derive its intended benefit from the IP. Besides Application Engineering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the Company typically continues to provide technical support and software updates throughout the license term even if the customer does not renew these services in subsequent years, making the license term and support and maintenance term co-terminus.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Considering the nature of the combined license and assisting the Company’s customers in applying its IP technology in its customers’ development environment and the relative significance thereof, the Company has concluded that its promise to provide an Interconnect Solutions IP license is not distinct from its obligation to provide the Application Engineering Support Services and benefits of the RTL. Customers cannot benefit from the design license on its own;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Further, although technical support and software updates is a distinct performance obligation, it is accounted for as if it were part of a single performance obligation that includes the licenses, RTL and Application Engineering Support Services because the technical support and updates are provided in practice for the same period of time and have the same time-based pattern of transfer to the customer as the combined design license, RTL, and Application Engineering Support Services. Therefore, revenue from Interconnect Solutions IP licensing arrangements is recognized ratably over the design term.</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Revenues that are derived from the sale of a licensee’s products that incorporate the Company’s IP are classified as royalty revenues. Royalty revenues are recognized during the quarter in which the sale of the product incorporating the Company’s IP occurs and are included in variable royalties in the consolidated statements of operations. Royalties are calculated either as a percentage of the revenues received by a licensee’s sale of products incorporating the Company’s IP or on a per unit basis, as specified in the agreements with the licensees. For the majority of the Company’s royalty revenues, it receives the actual sales data from its customers after the quarter ends and accounts for it as unbilled receivables. In such instances, the Company recognizes royalty revenues based on its estimation of the customers’ sales during the quarter.</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SoC Integration Automation Software Solutions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SoC Integration Automation software solutions, CSRCompiler and hardware security verification software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Majority of the Company’s SoC Integration Automation software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The Company records obligations for refunds in accrued expenses and other current liabilities on the consolidated balance sheets.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Hardware Security Verification Software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hardware security verification software product arrangements, which were derived from the acquisition of Cycuity that closed in January 2026, provide customers the right to software licenses, software updates and technical support. The software licenses are time-based licenses with terms generally ranging from one to three years and generally provide the customer with limited rights to receive certain quantities of licensed software. In addition to the licenses, the arrangements also include: support and maintenance services, provided by Application Engineering Support Services, which includes providing frequent updates and upgrades to maintain the utility of the software due to rapid changes in technology. Updates are generally made available throughout the entire term of the arrangement. The updates provide continued access to evolving technology as customers’ designs migrate to more advanced nodes and as customers’ technological requirements evolve. The Company concluded that its hardware security verification software product licenses are not distinct from its obligation to provide unspecified software updates to the licensed software throughout the license term. Such updates represent inputs to a single, combined performance obligation, commencing upon the later of the arrangement effective date or transfer of control to the software license, leading to ratable recognition of the related license revenue over the contract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Professional Services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agreements may include service elements (other than maintenance and support services). These services include training, design assistance, and consulting, and may include implementation, integration, or security verification. Such services are typically provided by the Company or by third-party subcontractors under contracts and task orders with the U.S. government for which the Company acts as the prime contractor. Labor and services performed by third-party subcontractors related to contracts with the U.S. government are recognized as professional services revenue. The related costs are recorded as cost of revenue in the same period in which the associated revenue is recognized. Professional services agreements are invoiced on a fixed fee or time and materials basis. Revenue is recognized over the period the services are provided, generally on a cost-to-cost basis.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Multiple Performance Obligations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professional services are typically estimated based on observable transactions when these services are sold on a standalone basis.</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Transaction Price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reports revenue net of any revenue-based taxes assessed by governmental authorities that are imposed on and concurrent with specific revenue-producing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instances where foreign licensees withhold and remit taxes to local authorities in accordance with local laws and regulations, the Company recognizes and presents revenue on a gross basis and includes the withholding tax in income tax expense.</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Flexible Spending Accounts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Some customers enter into a non-cancelable flexible spending account agreement (FSA)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Each separate order under the agreement is treated as an individual contract and accounted for based on the respective performance obligations included within the FSA.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Contract Modifications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Judgments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pStyle w:val="TextBody"/>
        <w:bidi w:val="0"/>
        <w:spacing w:lineRule="auto" w:line="28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Contract Balances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timing of revenue recognition may differ from the timing of invoicing to customers, and these timing differences result in contract assets (unbilled receivables), or contract liabilities (deferred revenue) on the Company’s consolidated balance sheets. The Company records a contract asset when revenue is recognized prior to invoicing, and it has an unconditional right to invoice and receive payment. The Company records deferred revenue when it invoices customers and revenue is not yet recognized. Customers are generally invoiced in single or annual amounts, although some customers are invoiced more frequently over time.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capitalizes sales commission as costs of obtaining a contract when they are incremental and, if they are expected to be recovered, amortized in a manner consistent with the pattern of transfer of the good or service to which the asset relates.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Recently Adopted Accounting Pronouncements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July 2025, the FASB issued ASU 2025-05, Financial Instruments - Credit Losses (Topic 326), which provides all entities with a practical expedient to assume that current conditions as of the balance sheet date do not change for the remaining life of current accounts receivable and contract assets. This ASU is effective for fiscal years beginning after December 15, 2025 and interim reporting periods within those annual reporting periods, with early adoption permitted. The adoption of ASU 2025-05 did not have a significant impact on the Company’s consolidated financial statements.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Recently Issued Accounting Pronouncements Not Yet Adopted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December 2025, the FASB issued ASU 2025-12, Codification Improvements, to address suggestions received from stakeholders on the ASC and to make other incremental improvements to GAAP. The update represents changes to the codification that (1) clarify, (2) correct errors, or (3) make other improvements that are intended to make it easier to understand and apply. The guidance is effective for fiscal years beginning after December 15, 2026, including interim periods within those fiscal years. The Company is currently evaluating the impact of adopting this ASU on its consolidated financial statements and disclosures.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December 2025, the FASB issued ASU 2025-11, Interim Reporting (Topic 270): Narrow-Scope Improvements, to amend the guidance in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This ASU is effective for fiscal years beginning after December 15, 2027 and interim reporting periods within those annual reporting periods, with early adoption permitted. The Company is currently evaluating the impact of adopting this ASU on its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December 2025, the FASB issued ASU 2025-10, Accounting for Government Grants Received by Business Entities. This ASU establishes the accounting and presentation for government grants received by a business entity under Government Grants (Topic 832). This ASU is effective for fiscal years beginning after December 15, 2028 and interim reporting periods within those annual reporting periods, with early adoption permitted. The Company is currently evaluating the impact of adopting this ASU on its consolidated financial statements and disclosures.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September 2025, the FASB issued ASU 2025-06, Targeted Improvements to the Accounting for Internal-Use Software, which modernizes the accounting for internal-use software costs and clarifies criteria for capitalization. This ASU is effective for fiscal years beginning after December 15, 2027 and interim reporting periods within those annual reporting periods, with early adoption permitted as of the beginning of an annual period. The Company is currently evaluating the impact of adopting this ASU on its consolidated financial statements and disclosures.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November 2024, the FASB issued ASU 2024-03, Disaggregation of Income Statement Expenses, and in January 2025, the FASB issued ASU 2025-01, Income Statement - Reporting Comprehensive Income - Expense Disaggregation Disclosures, which requires incremental disclosures to disaggregate certain income statement expense line items on an annual and interim basis. ASU 2024-03, as clarified by ASU 2025-01, is effective for fiscal years beginning after December 15, 2026 and interim periods within fiscal years beginning after December 15, 2027, with early adoption permitted. The Company is currently evaluating the impact of adopting these ASUs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3.    REVENUE</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Disaggregated Revenue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shows revenue by product and services groups (in thousands):</w:t>
      </w:r>
    </w:p>
    <w:tbl>
      <w:tblPr>
        <w:tblW w:w="8010"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provides information about accounts receivable, net, contract assets and deferred revenue (in thousands):</w:t>
      </w:r>
    </w:p>
    <w:tbl>
      <w:tblPr>
        <w:tblW w:w="4503" w:type="dxa"/>
        <w:jc w:val="left"/>
        <w:tblInd w:w="0" w:type="dxa"/>
        <w:tblLayout w:type="fixed"/>
        <w:tblCellMar>
          <w:top w:w="28" w:type="dxa"/>
          <w:left w:w="28" w:type="dxa"/>
          <w:bottom w:w="28" w:type="dxa"/>
          <w:right w:w="28" w:type="dxa"/>
        </w:tblCellMar>
      </w:tblPr>
      <w:tblGrid>
        <w:gridCol w:w="696"/>
        <w:gridCol w:w="610"/>
        <w:gridCol w:w="614"/>
        <w:gridCol w:w="196"/>
        <w:gridCol w:w="736"/>
        <w:gridCol w:w="109"/>
        <w:gridCol w:w="109"/>
        <w:gridCol w:w="109"/>
        <w:gridCol w:w="109"/>
        <w:gridCol w:w="239"/>
        <w:gridCol w:w="788"/>
        <w:gridCol w:w="188"/>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19,183 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95,341 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recognized revenue of $19.1 million and $14.0 million for the three months ended June 30, 2026 and 2025, respectively, and $35.3 million and $25.5 million for the six months ended June 30, 2026 and 2025, respectively, that was included in the deferred revenue balance at the beginning of the respective periods. Contract assets, current are included in prepaid expenses and other current assets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non-cancelable contracted but unsatisfied or partially satisfied performance obligations that have not yet been recognized were $131.4 million which include deferred revenue, amounts that will be invoiced and recognized as revenues in future periods and FSA commitments, from customers where actual product selection and quantities of specific products are to be determined by customers at a future period. The Company expects to recognize $67.5 million of this balance over the next 12 months and the remainder thereafter. FSA commitments amounted to $2.7 million and $3.8 million as of June 30, 2026 and December 31, 2025, respectively. The Company has elected to exclude the potential future royalty receipts from these amounts.</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Costs of Obtaining a Contract with a Customer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capitalized direct commission costs were as follows (in thousands):</w:t>
      </w:r>
    </w:p>
    <w:tbl>
      <w:tblPr>
        <w:tblW w:w="8387" w:type="dxa"/>
        <w:jc w:val="left"/>
        <w:tblInd w:w="0" w:type="dxa"/>
        <w:tblLayout w:type="fixed"/>
        <w:tblCellMar>
          <w:top w:w="28" w:type="dxa"/>
          <w:left w:w="28" w:type="dxa"/>
          <w:bottom w:w="28" w:type="dxa"/>
          <w:right w:w="28" w:type="dxa"/>
        </w:tblCellMar>
      </w:tblPr>
      <w:tblGrid>
        <w:gridCol w:w="2168"/>
        <w:gridCol w:w="1902"/>
        <w:gridCol w:w="1914"/>
        <w:gridCol w:w="196"/>
        <w:gridCol w:w="556"/>
        <w:gridCol w:w="109"/>
        <w:gridCol w:w="109"/>
        <w:gridCol w:w="109"/>
        <w:gridCol w:w="109"/>
        <w:gridCol w:w="262"/>
        <w:gridCol w:w="745"/>
        <w:gridCol w:w="208"/>
      </w:tblGrid>
      <w:tr>
        <w:trPr/>
        <w:tc>
          <w:tcPr>
            <w:tcW w:w="2168"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commission capitalized in prepaid expenses and other current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commission capitalized in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Amortization of capitalized sales commissions was $1.2 million and $0.9 million for the three months ended June 30, 2026 and 2025, and $2.3 million and $1.7 million for the six months ended June 30, 2026 and 2025, respectively, and are included in sales and marketing expense in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4.    NET LOSS PER SHARE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the calculation of basic and diluted net loss per share attributable to common stockholders (in thousands, except share and per share data):</w:t>
      </w:r>
    </w:p>
    <w:tbl>
      <w:tblPr>
        <w:tblW w:w="9942" w:type="dxa"/>
        <w:jc w:val="left"/>
        <w:tblInd w:w="0" w:type="dxa"/>
        <w:tblLayout w:type="fixed"/>
        <w:tblCellMar>
          <w:top w:w="28" w:type="dxa"/>
          <w:left w:w="28" w:type="dxa"/>
          <w:bottom w:w="28" w:type="dxa"/>
          <w:right w:w="28" w:type="dxa"/>
        </w:tblCellMar>
      </w:tblPr>
      <w:tblGrid>
        <w:gridCol w:w="1517"/>
        <w:gridCol w:w="1333"/>
        <w:gridCol w:w="1350"/>
        <w:gridCol w:w="219"/>
        <w:gridCol w:w="742"/>
        <w:gridCol w:w="109"/>
        <w:gridCol w:w="109"/>
        <w:gridCol w:w="109"/>
        <w:gridCol w:w="109"/>
        <w:gridCol w:w="245"/>
        <w:gridCol w:w="716"/>
        <w:gridCol w:w="109"/>
        <w:gridCol w:w="109"/>
        <w:gridCol w:w="109"/>
        <w:gridCol w:w="109"/>
        <w:gridCol w:w="219"/>
        <w:gridCol w:w="742"/>
        <w:gridCol w:w="109"/>
        <w:gridCol w:w="109"/>
        <w:gridCol w:w="109"/>
        <w:gridCol w:w="109"/>
        <w:gridCol w:w="219"/>
        <w:gridCol w:w="742"/>
        <w:gridCol w:w="109"/>
        <w:gridCol w:w="109"/>
        <w:gridCol w:w="109"/>
        <w:gridCol w:w="109"/>
        <w:gridCol w:w="154"/>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outstanding, basic and 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47,276,533 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41,819,427 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46,415,392 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Since the Company was in a loss position for all periods presented, the diluted earnings per share was equal to the basic earnings per share as the effect of potentially dilutive securities would have been antidilutive.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potentially dilutive securities that were excluded from the calculation of diluted earnings per share because they would be anti-dilutive:</w:t>
      </w:r>
    </w:p>
    <w:tbl>
      <w:tblPr>
        <w:tblW w:w="7449" w:type="dxa"/>
        <w:jc w:val="left"/>
        <w:tblInd w:w="0" w:type="dxa"/>
        <w:tblLayout w:type="fixed"/>
        <w:tblCellMar>
          <w:top w:w="28" w:type="dxa"/>
          <w:left w:w="28" w:type="dxa"/>
          <w:bottom w:w="28" w:type="dxa"/>
          <w:right w:w="28" w:type="dxa"/>
        </w:tblCellMar>
      </w:tblPr>
      <w:tblGrid>
        <w:gridCol w:w="1622"/>
        <w:gridCol w:w="1426"/>
        <w:gridCol w:w="1436"/>
        <w:gridCol w:w="435"/>
        <w:gridCol w:w="436"/>
        <w:gridCol w:w="391"/>
        <w:gridCol w:w="109"/>
        <w:gridCol w:w="109"/>
        <w:gridCol w:w="109"/>
        <w:gridCol w:w="435"/>
        <w:gridCol w:w="436"/>
        <w:gridCol w:w="505"/>
      </w:tblGrid>
      <w:tr>
        <w:trPr/>
        <w:tc>
          <w:tcPr>
            <w:tcW w:w="162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and other</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5,231,903 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5,587,907 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1,309,075 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1,850,551 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committed under the 2021 ESPP</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28,996 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75,618 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common shares issued for business combination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234,859 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6,569,974 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7,748,935 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5.    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summarize the fair value and amortized cost of the Company’s cash equivalents and available-for-sale securities by major security type (in thousands):</w:t>
      </w:r>
    </w:p>
    <w:tbl>
      <w:tblPr>
        <w:tblW w:w="8049" w:type="dxa"/>
        <w:jc w:val="left"/>
        <w:tblInd w:w="0" w:type="dxa"/>
        <w:tblLayout w:type="fixed"/>
        <w:tblCellMar>
          <w:top w:w="28" w:type="dxa"/>
          <w:left w:w="28" w:type="dxa"/>
          <w:bottom w:w="28" w:type="dxa"/>
          <w:right w:w="28" w:type="dxa"/>
        </w:tblCellMar>
      </w:tblPr>
      <w:tblGrid>
        <w:gridCol w:w="971"/>
        <w:gridCol w:w="855"/>
        <w:gridCol w:w="859"/>
        <w:gridCol w:w="254"/>
        <w:gridCol w:w="955"/>
        <w:gridCol w:w="141"/>
        <w:gridCol w:w="109"/>
        <w:gridCol w:w="109"/>
        <w:gridCol w:w="109"/>
        <w:gridCol w:w="429"/>
        <w:gridCol w:w="891"/>
        <w:gridCol w:w="240"/>
        <w:gridCol w:w="109"/>
        <w:gridCol w:w="109"/>
        <w:gridCol w:w="109"/>
        <w:gridCol w:w="325"/>
        <w:gridCol w:w="1220"/>
        <w:gridCol w:w="255"/>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June 30, 2026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111,564 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111,538 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943" w:type="dxa"/>
        <w:jc w:val="left"/>
        <w:tblInd w:w="0" w:type="dxa"/>
        <w:tblLayout w:type="fixed"/>
        <w:tblCellMar>
          <w:top w:w="28" w:type="dxa"/>
          <w:left w:w="28" w:type="dxa"/>
          <w:bottom w:w="28" w:type="dxa"/>
          <w:right w:w="28" w:type="dxa"/>
        </w:tblCellMar>
      </w:tblPr>
      <w:tblGrid>
        <w:gridCol w:w="971"/>
        <w:gridCol w:w="855"/>
        <w:gridCol w:w="859"/>
        <w:gridCol w:w="278"/>
        <w:gridCol w:w="917"/>
        <w:gridCol w:w="154"/>
        <w:gridCol w:w="109"/>
        <w:gridCol w:w="109"/>
        <w:gridCol w:w="109"/>
        <w:gridCol w:w="400"/>
        <w:gridCol w:w="831"/>
        <w:gridCol w:w="224"/>
        <w:gridCol w:w="109"/>
        <w:gridCol w:w="109"/>
        <w:gridCol w:w="109"/>
        <w:gridCol w:w="354"/>
        <w:gridCol w:w="1168"/>
        <w:gridCol w:w="278"/>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Fair Value</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Assets: </w:t>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Money market funds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56,305 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maturity dates of the Company’s investments are as follows (in thousands):</w:t>
      </w:r>
    </w:p>
    <w:tbl>
      <w:tblPr>
        <w:tblW w:w="2744" w:type="dxa"/>
        <w:jc w:val="left"/>
        <w:tblInd w:w="0" w:type="dxa"/>
        <w:tblLayout w:type="fixed"/>
        <w:tblCellMar>
          <w:top w:w="28" w:type="dxa"/>
          <w:left w:w="28" w:type="dxa"/>
          <w:bottom w:w="28" w:type="dxa"/>
          <w:right w:w="28" w:type="dxa"/>
        </w:tblCellMar>
      </w:tblPr>
      <w:tblGrid>
        <w:gridCol w:w="553"/>
        <w:gridCol w:w="486"/>
        <w:gridCol w:w="490"/>
        <w:gridCol w:w="219"/>
        <w:gridCol w:w="824"/>
        <w:gridCol w:w="172"/>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than one year</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110,340 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 years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111,538 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both June 30, 2026 and December 31, 2025, there were no securities in a continuous net unrealized loss position for more than 12 months. As of both June 30, 2026 and December 31, 2025,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both June 30, 2026 and December 31, 2025 no allowance for credit losses or impairment losses for the Company’s investments were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6.    FAIR VALUE MEASUREMENTS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Assets Measured and Recorded at Fair Value on a Non-Recurring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Equity method investments, and certain non-financial assets, such as intangible assets are remeasured at fair value only if an impairment or observable price adjustment is recognized in the current period.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Not Recorded at Fair Value on a 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Financial instruments not recorded at fair value on a recurring basis include vendor financing arrangements. The carrying value of the vendor financing agreements was $3.5 million and $1.6 million as of June 30, 2026 and December 31, 2025,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Financial Instruments Recorded at Fair Value on a Recurring Basis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tables summarize the Company’s financial assets and liabilities measured at fair value on a recurring basis by level within the fair value hierarchy (in thousands):</w:t>
      </w:r>
    </w:p>
    <w:tbl>
      <w:tblPr>
        <w:tblW w:w="7725" w:type="dxa"/>
        <w:jc w:val="left"/>
        <w:tblInd w:w="0" w:type="dxa"/>
        <w:tblLayout w:type="fixed"/>
        <w:tblCellMar>
          <w:top w:w="28" w:type="dxa"/>
          <w:left w:w="28" w:type="dxa"/>
          <w:bottom w:w="28" w:type="dxa"/>
          <w:right w:w="28" w:type="dxa"/>
        </w:tblCellMar>
      </w:tblPr>
      <w:tblGrid>
        <w:gridCol w:w="1012"/>
        <w:gridCol w:w="892"/>
        <w:gridCol w:w="90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01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Contingent consideration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contingent consideration liability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74" w:type="dxa"/>
        <w:jc w:val="left"/>
        <w:tblInd w:w="0" w:type="dxa"/>
        <w:tblLayout w:type="fixed"/>
        <w:tblCellMar>
          <w:top w:w="28" w:type="dxa"/>
          <w:left w:w="28" w:type="dxa"/>
          <w:bottom w:w="28" w:type="dxa"/>
          <w:right w:w="28" w:type="dxa"/>
        </w:tblCellMar>
      </w:tblPr>
      <w:tblGrid>
        <w:gridCol w:w="968"/>
        <w:gridCol w:w="854"/>
        <w:gridCol w:w="862"/>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Short-term investments: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short-term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investments: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treasury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U.S. government agency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long-term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Money market funds are highly liquid investments and are actively traded. The fair value is based on quoted prices for identical assets in active markets and therefore classified as Level 1 of the fair value hierarchy.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Company’s other investments are considered Level 2 financial instruments as their fair values are determined using inputs that are directly or indirectly observable in active or less active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Cycuity-related Contingent Consideration Liability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Contingent consideration liability is based on the achievement of specified bookings targets during the earn-out period from the Acquisition Date through December 31, 2026 in connection with the Cycuity acquisition. The estimated fair value of the contingent consideration liability is determined using a Monte Carlo simulation model using significant unobservable fair value inputs and is therefore classified as a Level 3 measurement. The assumptions used in the calculation are based on the achievement of specified bookings targets over the term of the contingent earn-out period, expected volatility, and discount rate. The estimates of fair value are uncertain and changes in any of the estimated inputs used will result in significant adjustments to the fair value. As of June 30, 2026, the Company used a volatility rate of 33% and a risk free rate of 3.8%.</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sets forth a summary of the changes in the fair value of the contingent consideration liability (in thousands):</w:t>
      </w:r>
    </w:p>
    <w:tbl>
      <w:tblPr>
        <w:tblW w:w="7102" w:type="dxa"/>
        <w:jc w:val="left"/>
        <w:tblInd w:w="0" w:type="dxa"/>
        <w:tblLayout w:type="fixed"/>
        <w:tblCellMar>
          <w:top w:w="28" w:type="dxa"/>
          <w:left w:w="28" w:type="dxa"/>
          <w:bottom w:w="28" w:type="dxa"/>
          <w:right w:w="28" w:type="dxa"/>
        </w:tblCellMar>
      </w:tblPr>
      <w:tblGrid>
        <w:gridCol w:w="2054"/>
        <w:gridCol w:w="1804"/>
        <w:gridCol w:w="1812"/>
        <w:gridCol w:w="196"/>
        <w:gridCol w:w="646"/>
        <w:gridCol w:w="109"/>
        <w:gridCol w:w="109"/>
        <w:gridCol w:w="109"/>
        <w:gridCol w:w="109"/>
        <w:gridCol w:w="154"/>
      </w:tblGrid>
      <w:tr>
        <w:trPr/>
        <w:tc>
          <w:tcPr>
            <w:tcW w:w="205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value—April 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the fair value during the year recorded to acquisition-related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There were no transfers between levels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shd w:fill="FFFFFF" w:val="clear"/>
        </w:rPr>
      </w:pPr>
      <w:r>
        <w:rPr>
          <w:rFonts w:ascii="Arial;sans-serif" w:hAnsi="Arial;sans-serif"/>
          <w:b/>
          <w:color w:val="000000"/>
          <w:sz w:val="20"/>
          <w:shd w:fill="FFFFFF" w:val="clear"/>
        </w:rPr>
        <w:t>7. BUSINESS COMBINATION</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Cycuity Acquisition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On January 14, 2026, the Company completed the acquisition of Cycuity for approximately $43.1 million, consisting of cash of $15.1 million, the Company’s common stock with a fair value of $19.0 million and earn-out consideration with a fair value of $9.0 million as of the Acquisition Date.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Prior to the acquisition, Cycuity was a privately held provider and domain expert of semiconductor cybersecurity assurance technology. By combining innovative system IP from Arteris with leading silicon hardware security assurance technology from Cycuity, the acquisition positions Arteris to address the growing concern around hardware security. The Acquisition has been accounted for in accordance with the acquisition method of accounting for business combinations with the Company as the accounting acquirer.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preliminary purchase price consideration allocated to the assets acquired and liabilities assumed for the Acquisition is as follows (in thousands):</w:t>
      </w:r>
    </w:p>
    <w:tbl>
      <w:tblPr>
        <w:tblW w:w="4633" w:type="dxa"/>
        <w:jc w:val="left"/>
        <w:tblInd w:w="0" w:type="dxa"/>
        <w:tblLayout w:type="fixed"/>
        <w:tblCellMar>
          <w:top w:w="28" w:type="dxa"/>
          <w:left w:w="28" w:type="dxa"/>
          <w:bottom w:w="28" w:type="dxa"/>
          <w:right w:w="28" w:type="dxa"/>
        </w:tblCellMar>
      </w:tblPr>
      <w:tblGrid>
        <w:gridCol w:w="1092"/>
        <w:gridCol w:w="960"/>
        <w:gridCol w:w="962"/>
        <w:gridCol w:w="318"/>
        <w:gridCol w:w="1051"/>
        <w:gridCol w:w="250"/>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JANUARY 14, 2026</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Cash consideration paid at closing</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14,121 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Stock consideration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19,016 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Cash payments to settle vested awards</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971</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Contingent consideration</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9,018 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Total purchase consideration</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43,126 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connection with the Acquisition, the Company issued 1,096,280 shares of the Company’s common stock. Additionally, the former holders of Cycuity equity securities obtained the right to receive additional contingent consideration of up to $12.0 million. The contingent consideration is based on the achievement of specified bookings targets during the earn-out period from the Acquisition Date through December 31, 2026, and, if earned, will be payable no later than March 31, 2027. Earn-out payments will be settled in cash for in-the-money option holders and unaccredited investors and in shares of the Company’s common stock for accredited equity holders and warrant holders. The contingent consideration has been accounted for as part of the business combination and was recognized at its acquisition-date fair value as a component of total purchase consideration. The contingent consideration is remeasured at fair value at each reporting date, with changes in fair value recognized in earnings until the contingency is resolved, and is included in accrued expenses and other current liabilities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Certain outstanding option awards granted by Cycuity were accelerated as a result of the acquisition and paid in cash. As a result, the fair value of these accelerated option awards of $0.2 million was recognized as a post-combination expense, included in stock-based compensation expense for the six months ended June 30, 2026.</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incurred acquisition-related expenses associated with the Acquisition of $0.7 million for the six months ended June 30, 2026, which were expensed as incurred in the unaudited condensed consolidated statements of operations.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purchase price is allocated to identifiable assets acquired and liabilities assumed based on their fair values on the Acquisition Date, including measurement period adjustment, as follows (in thousands):</w:t>
      </w:r>
    </w:p>
    <w:tbl>
      <w:tblPr>
        <w:tblW w:w="4430" w:type="dxa"/>
        <w:jc w:val="left"/>
        <w:tblInd w:w="0" w:type="dxa"/>
        <w:tblLayout w:type="fixed"/>
        <w:tblCellMar>
          <w:top w:w="28" w:type="dxa"/>
          <w:left w:w="28" w:type="dxa"/>
          <w:bottom w:w="28" w:type="dxa"/>
          <w:right w:w="28" w:type="dxa"/>
        </w:tblCellMar>
      </w:tblPr>
      <w:tblGrid>
        <w:gridCol w:w="1242"/>
        <w:gridCol w:w="1087"/>
        <w:gridCol w:w="1105"/>
        <w:gridCol w:w="196"/>
        <w:gridCol w:w="64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Amount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Intangibles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Total assets acquired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23,639 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Accounts payable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2,910 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Total liabilities assumed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11,634 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Total identifiable net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12,005 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31,121 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Total purchase consideration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43,126 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may obtain additional information about facts and circumstances that existed as of the Acquisition Date during the remainder of the measurement period, which may not exceed 12 months from the Acquisition Date. Changes to amounts recorded as assets and liabilities may result in a corresponding adjustment to goodwill during the respective measurement period.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fair value of the identifiable intangible assets acquired (in thousands) and useful lives:</w:t>
      </w:r>
    </w:p>
    <w:tbl>
      <w:tblPr>
        <w:tblW w:w="5746" w:type="dxa"/>
        <w:jc w:val="left"/>
        <w:tblInd w:w="0" w:type="dxa"/>
        <w:tblLayout w:type="fixed"/>
        <w:tblCellMar>
          <w:top w:w="28" w:type="dxa"/>
          <w:left w:w="28" w:type="dxa"/>
          <w:bottom w:w="28" w:type="dxa"/>
          <w:right w:w="28" w:type="dxa"/>
        </w:tblCellMar>
      </w:tblPr>
      <w:tblGrid>
        <w:gridCol w:w="1213"/>
        <w:gridCol w:w="1063"/>
        <w:gridCol w:w="1068"/>
        <w:gridCol w:w="196"/>
        <w:gridCol w:w="646"/>
        <w:gridCol w:w="109"/>
        <w:gridCol w:w="109"/>
        <w:gridCol w:w="109"/>
        <w:gridCol w:w="109"/>
        <w:gridCol w:w="328"/>
        <w:gridCol w:w="328"/>
        <w:gridCol w:w="468"/>
      </w:tblGrid>
      <w:tr>
        <w:trPr/>
        <w:tc>
          <w:tcPr>
            <w:tcW w:w="121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Useful Lives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9,600 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7 years</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8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Trade name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 year</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20"/>
              <w:jc w:val="left"/>
              <w:rPr>
                <w:rFonts w:ascii="Arial;sans-serif" w:hAnsi="Arial;sans-serif"/>
                <w:b w:val="false"/>
                <w:color w:val="000000"/>
                <w:sz w:val="16"/>
              </w:rPr>
            </w:pPr>
            <w:r>
              <w:rPr>
                <w:rFonts w:ascii="Arial;sans-serif" w:hAnsi="Arial;sans-serif"/>
                <w:b w:val="false"/>
                <w:color w:val="000000"/>
                <w:sz w:val="16"/>
              </w:rPr>
              <w:t>Total acquired intangibles with definite lives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18,070 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the acquired developed technology intangible assets was determined primarily using the excess earnings method. The fair value of the acquired customer relationships intangible assets was determined using the with-and-without method. The fair value of the acquired trade name intangible assets was determined using the relief-from-royalty method.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Goodwill generated from this business combination is attributed to synergies between the Company and Cycuity’s respective products and services. The Company does not have any tax basis in the total goodwill of $31.1 million and the goodwill is non-deductible for income tax purposes. The Company recorded a one-time non-cash income tax benefit of $4.1 million in the condensed consolidated statement of operations for the six months ended June 30, 2026, related to the release of a portion of the valuation allowance as a result of the acquired intangibles. The revenue and earnings of the acquired business have been included in the Company’s results since the Acquisition Date.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Pro forma results of operations for the acquisition have not been presented because they are not material to the Company's consolidated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8.    INTANGIBLE ASSETS AND GOODWILL</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Intangible assets, net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Intangible assets, net consisted of the following as of June 30, 2026 (in thousands):</w:t>
      </w:r>
    </w:p>
    <w:tbl>
      <w:tblPr>
        <w:tblW w:w="7462" w:type="dxa"/>
        <w:jc w:val="left"/>
        <w:tblInd w:w="0" w:type="dxa"/>
        <w:tblLayout w:type="fixed"/>
        <w:tblCellMar>
          <w:top w:w="28" w:type="dxa"/>
          <w:left w:w="28" w:type="dxa"/>
          <w:bottom w:w="28" w:type="dxa"/>
          <w:right w:w="28" w:type="dxa"/>
        </w:tblCellMar>
      </w:tblPr>
      <w:tblGrid>
        <w:gridCol w:w="653"/>
        <w:gridCol w:w="572"/>
        <w:gridCol w:w="575"/>
        <w:gridCol w:w="290"/>
        <w:gridCol w:w="958"/>
        <w:gridCol w:w="161"/>
        <w:gridCol w:w="109"/>
        <w:gridCol w:w="109"/>
        <w:gridCol w:w="109"/>
        <w:gridCol w:w="499"/>
        <w:gridCol w:w="1456"/>
        <w:gridCol w:w="280"/>
        <w:gridCol w:w="109"/>
        <w:gridCol w:w="109"/>
        <w:gridCol w:w="109"/>
        <w:gridCol w:w="268"/>
        <w:gridCol w:w="885"/>
        <w:gridCol w:w="211"/>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(3,233)</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23,690 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(4,923)</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Intangible assets, net consisted of the following as of December 31, 2025 (in thousands):</w:t>
      </w:r>
    </w:p>
    <w:tbl>
      <w:tblPr>
        <w:tblW w:w="7464" w:type="dxa"/>
        <w:jc w:val="left"/>
        <w:tblInd w:w="0" w:type="dxa"/>
        <w:tblLayout w:type="fixed"/>
        <w:tblCellMar>
          <w:top w:w="28" w:type="dxa"/>
          <w:left w:w="28" w:type="dxa"/>
          <w:bottom w:w="28" w:type="dxa"/>
          <w:right w:w="28" w:type="dxa"/>
        </w:tblCellMar>
      </w:tblPr>
      <w:tblGrid>
        <w:gridCol w:w="653"/>
        <w:gridCol w:w="572"/>
        <w:gridCol w:w="575"/>
        <w:gridCol w:w="321"/>
        <w:gridCol w:w="911"/>
        <w:gridCol w:w="178"/>
        <w:gridCol w:w="109"/>
        <w:gridCol w:w="109"/>
        <w:gridCol w:w="109"/>
        <w:gridCol w:w="499"/>
        <w:gridCol w:w="1456"/>
        <w:gridCol w:w="280"/>
        <w:gridCol w:w="109"/>
        <w:gridCol w:w="109"/>
        <w:gridCol w:w="109"/>
        <w:gridCol w:w="295"/>
        <w:gridCol w:w="838"/>
        <w:gridCol w:w="232"/>
      </w:tblGrid>
      <w:tr>
        <w:trPr/>
        <w:tc>
          <w:tcPr>
            <w:tcW w:w="65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Book Value</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Trade name and other</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Total intangibles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(3,452)</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Amortization expense of intangible assets was $0.8 million and $0.2 million for the three months ended June 30, 2026 and 2025, respectively, and $1.5 million and $0.4 million for the six months ended June 30, 2026 and 2025,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expected future amortization expense of these intangible assets as of June 30, 2026 is as follows (in thousands):</w:t>
      </w:r>
    </w:p>
    <w:tbl>
      <w:tblPr>
        <w:tblW w:w="3665" w:type="dxa"/>
        <w:jc w:val="left"/>
        <w:tblInd w:w="0" w:type="dxa"/>
        <w:tblLayout w:type="fixed"/>
        <w:tblCellMar>
          <w:top w:w="28" w:type="dxa"/>
          <w:left w:w="28" w:type="dxa"/>
          <w:bottom w:w="28" w:type="dxa"/>
          <w:right w:w="28" w:type="dxa"/>
        </w:tblCellMar>
      </w:tblPr>
      <w:tblGrid>
        <w:gridCol w:w="966"/>
        <w:gridCol w:w="849"/>
        <w:gridCol w:w="854"/>
        <w:gridCol w:w="196"/>
        <w:gridCol w:w="646"/>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future amortization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Goodwill was $35.3 million and $4.2 million as of June 30, 2026 and December 31, 2025. No goodwill impairments were recorded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9.    LEASES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leases its offices and data center hosting space at various locations under operating lease agreements expiring at various dates through 2035. Under the terms of these agreements, the Company also bears the costs for certain insurance, property tax, and maintenance. The terms of certain lease agreements provide for increasing rental payments at fixed intervals.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Total operating lease related costs were as follows (in thousands):</w:t>
      </w:r>
    </w:p>
    <w:tbl>
      <w:tblPr>
        <w:tblW w:w="6061" w:type="dxa"/>
        <w:jc w:val="left"/>
        <w:tblInd w:w="0" w:type="dxa"/>
        <w:tblLayout w:type="fixed"/>
        <w:tblCellMar>
          <w:top w:w="28" w:type="dxa"/>
          <w:left w:w="28" w:type="dxa"/>
          <w:bottom w:w="28" w:type="dxa"/>
          <w:right w:w="28" w:type="dxa"/>
        </w:tblCellMar>
      </w:tblPr>
      <w:tblGrid>
        <w:gridCol w:w="613"/>
        <w:gridCol w:w="540"/>
        <w:gridCol w:w="542"/>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lease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weighted-average remaining term of the Company’s operating leases was 4.9 years and 3.8 years as of June 30, 2026 and December 31, 2025, respectively. The weighted-average discount rate used to measure the present value of the operating lease liabilities was 7.0% as of June 30, 2026 and 10.0% as of December 31, 2025. Cash payments made related to operating lease liabilities were $0.6 million and $0.5 million for the three months ended June 30, 2026 and 2025, respectively, and $0.9 million and $0.8 million for the six months ended June 30, 2026 and 2025,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Maturities of operating lease liabilities as of June 30, 2026 were as follows (in thousands):</w:t>
      </w:r>
    </w:p>
    <w:tbl>
      <w:tblPr>
        <w:tblW w:w="3696" w:type="dxa"/>
        <w:jc w:val="left"/>
        <w:tblInd w:w="0" w:type="dxa"/>
        <w:tblLayout w:type="fixed"/>
        <w:tblCellMar>
          <w:top w:w="28" w:type="dxa"/>
          <w:left w:w="28" w:type="dxa"/>
          <w:bottom w:w="28" w:type="dxa"/>
          <w:right w:w="28" w:type="dxa"/>
        </w:tblCellMar>
      </w:tblPr>
      <w:tblGrid>
        <w:gridCol w:w="1010"/>
        <w:gridCol w:w="887"/>
        <w:gridCol w:w="893"/>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lease liabilities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10.    BORROWINGS</w:t>
      </w:r>
    </w:p>
    <w:p>
      <w:pPr>
        <w:pStyle w:val="TextBody"/>
        <w:bidi w:val="0"/>
        <w:spacing w:lineRule="auto" w:line="288" w:before="180" w:after="283"/>
        <w:jc w:val="both"/>
        <w:rPr/>
      </w:pPr>
      <w:r>
        <w:rPr>
          <w:rFonts w:ascii="Arial;sans-serif" w:hAnsi="Arial;sans-serif"/>
          <w:b/>
          <w:color w:val="000000"/>
          <w:sz w:val="20"/>
        </w:rPr>
        <w:t>Vendor financing arrangements</w:t>
      </w:r>
      <w:r>
        <w:rPr>
          <w:color w:val="000000"/>
        </w:rPr>
        <w:t>—</w:t>
      </w:r>
      <w:r>
        <w:rPr>
          <w:rFonts w:ascii="Arial;sans-serif" w:hAnsi="Arial;sans-serif"/>
          <w:b w:val="false"/>
          <w:color w:val="000000"/>
          <w:sz w:val="20"/>
        </w:rPr>
        <w:t>The Company has various vendor financing arrangements with extended payment terms on the purchase of software licenses and equipment. In order to determine the present value of the commitments, the Company used an imputed interest rate of 7.0%, which is an estimate based on the Company’s collateralized borrowing rate.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Expected cash flows related to vendor financing arrangements as of June 30, 2026 were as follows (in thousands):</w:t>
      </w:r>
    </w:p>
    <w:tbl>
      <w:tblPr>
        <w:tblW w:w="4521" w:type="dxa"/>
        <w:jc w:val="left"/>
        <w:tblInd w:w="0" w:type="dxa"/>
        <w:tblLayout w:type="fixed"/>
        <w:tblCellMar>
          <w:top w:w="28" w:type="dxa"/>
          <w:left w:w="28" w:type="dxa"/>
          <w:bottom w:w="28" w:type="dxa"/>
          <w:right w:w="28" w:type="dxa"/>
        </w:tblCellMar>
      </w:tblPr>
      <w:tblGrid>
        <w:gridCol w:w="1308"/>
        <w:gridCol w:w="1150"/>
        <w:gridCol w:w="1157"/>
        <w:gridCol w:w="196"/>
        <w:gridCol w:w="55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Fiscal year ending December 31,</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Remainder of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undiscounted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vendor financing arrangements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current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Vendor financing arrangements,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11.    COMMITMENTS AND CONTINGENCIES</w:t>
      </w:r>
    </w:p>
    <w:p>
      <w:pPr>
        <w:pStyle w:val="TextBody"/>
        <w:bidi w:val="0"/>
        <w:spacing w:lineRule="auto" w:line="288" w:before="180" w:after="283"/>
        <w:jc w:val="both"/>
        <w:rPr/>
      </w:pPr>
      <w:r>
        <w:rPr>
          <w:rFonts w:ascii="Arial;sans-serif" w:hAnsi="Arial;sans-serif"/>
          <w:b/>
          <w:color w:val="000000"/>
          <w:sz w:val="20"/>
          <w:shd w:fill="FFFFFF" w:val="clear"/>
        </w:rPr>
        <w:t>Indemnifications</w:t>
      </w:r>
      <w:r>
        <w:rPr>
          <w:color w:val="000000"/>
          <w:shd w:fill="FFFFFF" w:val="clear"/>
        </w:rPr>
        <w:t>—</w:t>
      </w:r>
      <w:r>
        <w:rPr>
          <w:rFonts w:ascii="Arial;sans-serif" w:hAnsi="Arial;sans-serif"/>
          <w:b w:val="false"/>
          <w:color w:val="000000"/>
          <w:sz w:val="20"/>
        </w:rPr>
        <w:t>The Company often enters into limited indemnification provisions in license agreements in the ordinary course of the 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has incurred no actual payment obligations from these above-noted indemnification provisions and director and officer indemnity agreements for the three and six months ended June 30, 2026 and 2025 and the unaudited condensed consolidated financial statements do not include liabilities for any potential indemnity-related obligations as of June 30, 2026 and December 31, 2025. </w:t>
      </w:r>
    </w:p>
    <w:p>
      <w:pPr>
        <w:pStyle w:val="TextBody"/>
        <w:bidi w:val="0"/>
        <w:spacing w:lineRule="auto" w:line="288" w:before="180" w:after="283"/>
        <w:jc w:val="both"/>
        <w:rPr/>
      </w:pPr>
      <w:r>
        <w:rPr>
          <w:rFonts w:ascii="Arial;sans-serif" w:hAnsi="Arial;sans-serif"/>
          <w:b/>
          <w:color w:val="000000"/>
          <w:sz w:val="20"/>
          <w:shd w:fill="FFFFFF" w:val="clear"/>
        </w:rPr>
        <w:t>Legal</w:t>
      </w:r>
      <w:r>
        <w:rPr>
          <w:color w:val="000000"/>
          <w:shd w:fill="FFFFFF" w:val="clear"/>
        </w:rPr>
        <w:t>—</w:t>
      </w:r>
      <w:r>
        <w:rPr>
          <w:rFonts w:ascii="Arial;sans-serif" w:hAnsi="Arial;sans-serif"/>
          <w:b w:val="false"/>
          <w:color w:val="000000"/>
          <w:sz w:val="20"/>
        </w:rPr>
        <w:t>The Company has been and will continue to be subject to legal proceedings and claims.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the normal course of business, the Company may receive inquiries or become involved in legal disputes regarding such litigation matters. The resolution of these matters often develops over time and expectations can change as a result of new findings, rulings, appeals or settlement arrangements. These matters are subject to inherent uncertainties and management’s view of these matters may change in the future.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Significant judgment is required in both the determination of probability and determination as to whether a loss is reasonably estimable. Intellectual property claims are inherently unpredictable and may have a material adverse effect on the Company’s financial position, results of operations, or cash flows. Due to the inherent uncertainties and complex technical issues arising from this or any intellectual property litigation, the Company cannot predict or guarantee any result of, and cannot reasonably estimate liability, if any, or range of loss that could result from such intellectual property litigation. Future revisions to such estimates could materially impact the Company’s results.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December 2022, the Company received a complaint filed by Network System Technologies, LLC (NST) against the Company and another defendant in the semiconductor industry in the United States District Court for the Western District of Texas alleging intellectual property infringement of certain NST products. Additional complaints were filed in the Eastern District of Texas against certain companies, including some customers of the Company. On September 4, 2024, the court in the Western District of Texas dismissed without prejudice all claims against the Company. The court will maintain jurisdiction solely for the purpose of enforcing discovery in relation to the remaining defendant’s litigation. As of June 30, 2026, no new claims against the Company in connection with this matter have been made, nor have any new customer indemnity claims been received. The Company will continue to monitor this matter.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October 14, 2025, NST filed patent infringement complaints against three customers of the Company. The Company is not a named party to these lawsuits, however the complaints refer to the Company’s interconnect technology. As of June 30, 2026, the Company has denied all claims for indemnification, and it is not possible to determine the potential costs and legal expenses or the extent of any further customer indemnity claims. The Company will continue to monitor this matter.</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has no material contractual non-cancelable commitments 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12. COMMON STOCK AND STOCKHOLDERS’ EQUITY (DEFICIT)</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Common Stock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Holders of common stock are entitled to one vote per share and to receive dividends and, upon liquidation or dissolution, are entitled to receive all assets available for distribution to common stockholders. The common stock has no preemptive or other subscription rights and there are no redemption or sinking fund provisions with respect to such shares. Common stock is subordinate to the preferred stock with respect to dividend rights and rights upon liquidation, winding-up, and dissolution of the Company. In connection with its Initial Public Offering in October 2021, the Company amended and restated its certificate of incorporation to authorize 300,000,000 shares of common stock.</w:t>
      </w:r>
    </w:p>
    <w:p>
      <w:pPr>
        <w:pStyle w:val="TextBody"/>
        <w:bidi w:val="0"/>
        <w:spacing w:lineRule="auto" w:line="288" w:before="180" w:after="283"/>
        <w:jc w:val="left"/>
        <w:rPr>
          <w:rFonts w:ascii="Arial;sans-serif" w:hAnsi="Arial;sans-serif"/>
          <w:b/>
          <w:i/>
          <w:color w:val="000000"/>
          <w:sz w:val="20"/>
          <w:shd w:fill="FFFFFF" w:val="clear"/>
        </w:rPr>
      </w:pPr>
      <w:r>
        <w:rPr>
          <w:rFonts w:ascii="Arial;sans-serif" w:hAnsi="Arial;sans-serif"/>
          <w:b/>
          <w:i/>
          <w:color w:val="000000"/>
          <w:sz w:val="20"/>
          <w:shd w:fill="FFFFFF" w:val="clear"/>
        </w:rPr>
        <w:t>Stock Repurchases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There were no repurchased shares for both the three months ended June 30, 2026 and 2025.</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Sales of Common Stock Under At-the-Market Offering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December 2025, the Company filed a Registration Statement on Form S-3 covering the offering of up to $200.0 million of common stock, preferred stock, debt securities, warrants and units, which was declared effective by the SEC on December 23, 2025 (the S-3 Registration Statement). On December 11, 2025, the Company also entered into an Open Market Sales Agreement (the Sales Agreement) with Jefferies LLC as sales agent to sell shares of the Company’s common stock, from time to time, with aggregate gross sales proceeds of up to $75.0 million pursuant to the S-3 Registration Statement as an “at-the-market” offering under the Securities Act (the 2025 ATM Offering Program). During the six months ended June 30, 2026, the Company utilized the 2025 ATM Offering Program and sold 2,111,123 shares of common stock for gross proceeds of $75.0 million, before deducting commissions and offering-related costs of $3.0 million, thereby fully exhausting the aggregate amount of common stock that may be sold pursuant to the Sales Agreement. Net proceeds of $72.0 million from these sales were recorded in additional paid-in capital within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13. STOCK-BASED COMPENSATION PLANS AND STOCK-BASED COMPENSATION</w:t>
      </w:r>
    </w:p>
    <w:p>
      <w:pPr>
        <w:pStyle w:val="TextBody"/>
        <w:bidi w:val="0"/>
        <w:spacing w:lineRule="auto" w:line="288" w:before="240" w:after="283"/>
        <w:jc w:val="both"/>
        <w:rPr/>
      </w:pPr>
      <w:r>
        <w:rPr>
          <w:rFonts w:ascii="Arial;sans-serif" w:hAnsi="Arial;sans-serif"/>
          <w:b/>
          <w:i/>
          <w:color w:val="000000"/>
          <w:sz w:val="20"/>
        </w:rPr>
        <w:t>2021</w:t>
      </w:r>
      <w:r>
        <w:rPr>
          <w:color w:val="000000"/>
          <w:shd w:fill="FFFFFF" w:val="clear"/>
        </w:rPr>
        <w:t xml:space="preserve"> </w:t>
      </w:r>
      <w:r>
        <w:rPr>
          <w:rFonts w:ascii="Arial;sans-serif" w:hAnsi="Arial;sans-serif"/>
          <w:b/>
          <w:i/>
          <w:color w:val="000000"/>
          <w:sz w:val="20"/>
          <w:shd w:fill="FFFFFF" w:val="clear"/>
        </w:rPr>
        <w:t xml:space="preserve">Stock </w:t>
      </w:r>
      <w:r>
        <w:rPr>
          <w:rFonts w:ascii="Arial;sans-serif" w:hAnsi="Arial;sans-serif"/>
          <w:b/>
          <w:i/>
          <w:color w:val="000000"/>
          <w:sz w:val="20"/>
        </w:rPr>
        <w:t>Plan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adopted the 2021 Incentive Award Plan (the 2021 Plan) effective October 26, 2021. The 2021 Plan provides for a variety of stock-based compensation awards, including stock options, stock appreciation rights (SARs), restricted stock awards, RSUs, performance bonus awards, performance stock unit awards, dividend equivalents, or other stock or cash-based awards.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Following the effectiveness of the 2021 Plan, the Company will not make any further grants under the Arteris, Inc. 2016 Incentive Plan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On November 13, 2025, the Company approved a PSU agreement for use in connection with the granting of PSUs under the 2021 Incentive Award Plan.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2022 Employment Inducement Incentive Plan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adopted the 2022 Employment Inducement Incentive Plan (the 2022 Inducement Plan) effective November 3, 2022, pursuant to which it reserved 2,000,000 shares of its common stock. In February 2026, the 2022 Inducement Plan was amended and restated to increase the common stock available for issuance under the plan to 3,603,403 shares. The 2022 Inducement Plan provides for a variety of stock-based compensation awards, including stock options, SARs, restricted stock awards, restricted stock unit awards, performance bonus awards, performance stock unit awards, dividend equivalents, or other stock and cash-based awards. Awards under the 2022 Inducement Plan can only be made to newly hired employees.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Restricted and Performance Stock Units and Awards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restricted and performance stock unit activities under the 2016 Plan, the 2021 Plan and the 2022 Inducement Plan:</w:t>
      </w:r>
    </w:p>
    <w:tbl>
      <w:tblPr>
        <w:tblW w:w="7689" w:type="dxa"/>
        <w:jc w:val="left"/>
        <w:tblInd w:w="0" w:type="dxa"/>
        <w:tblLayout w:type="fixed"/>
        <w:tblCellMar>
          <w:top w:w="28" w:type="dxa"/>
          <w:left w:w="28" w:type="dxa"/>
          <w:bottom w:w="28" w:type="dxa"/>
          <w:right w:w="28" w:type="dxa"/>
        </w:tblCellMar>
      </w:tblPr>
      <w:tblGrid>
        <w:gridCol w:w="881"/>
        <w:gridCol w:w="773"/>
        <w:gridCol w:w="775"/>
        <w:gridCol w:w="509"/>
        <w:gridCol w:w="509"/>
        <w:gridCol w:w="511"/>
        <w:gridCol w:w="134"/>
        <w:gridCol w:w="134"/>
        <w:gridCol w:w="134"/>
        <w:gridCol w:w="719"/>
        <w:gridCol w:w="2042"/>
        <w:gridCol w:w="568"/>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Weighted-Average Grant Date Fair Value</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Unvested—December 31, 2025</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4,355,001 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2,129,849 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24.91 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(1,129,041)</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Canceled </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(123,906)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Unvested—June 30, 2026</w:t>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5,231,903 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granted 2,061,001 and 1,618,635 restricted stock units during the six months ended June 30, 2026 and 2025, respectively. The total grant-date fair value of restricted stock units vested was $9.3 million and $8.5 million during the six months ended June 30, 2026 and 2025,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there was $68.9 million of unamortized stock-based compensation cost related to unvested restricted stock units, which is expected to be recognized over a weighted-average period of 3.3 years.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Company granted 68,848 PSUs to its executive officers during the six months ended June 30, 2026. As of June 30, 2026, there was $1.2 million of unamortized stock-based compensation cost related to unvested performance stock units, which is expected to be recognized over a weighted-average period of 2.6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PSUs are eligible to vest based on the relative performance of the Company’s common stock (Total Stockholder Return or TSR), compared to the performance of the Russell 2000 Index (the Index), during the specified three-year performance period. The PSUs have a payout percentage in the range of 0% to 200% of the recipient’s target award, which is calculated based on the difference between the Company’s TSR and the Index TSR over the three-year performance period, subject to the recipient’s continuous employment with the Company through the third anniversary of the award’s grant date. The payout will be capped at 100% if the Company's TSR is negative.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PSUs granted is estimated using the Monte Carlo simulation model, which uses (i) a risk-free interest rate based on the U.S. Treasury zero coupon issues for an equivalent expected term of PSUs; (ii) simulation term based on the performance period; (iii) historical volatilities of the Company’s common stock and that of the Index; (iv) correlation coefficients between the Company and the Index; and (v) an expected dividend yield of zero as the Company has never declared or paid any cash dividend and does not currently plan to pay a cash dividend in the foreseeable future.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aggregate intrinsic value of the options exercised for the six months ended June 30, 2026 and 2025 was $10.8 million and $3.1 million, respectively. The total grant-date fair value of options vested was $0.4 million and $0.2 million for the six months ended June 30, 2026 and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there was $1.4 million of unamortized stock-based compensation cost related to unvested stock options, which is expected to be recognized over a weighted-average period of 2.2 years.</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2021 Employee Stock Purchase Plan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adopted the 2021 Employee Stock Purchase Plan (the 2021 ESPP) effective on October 26, 2021. The 2021 ESPP enables eligible employees of the Company to purchase shares of common stock at a discount to fair market value. The 2021 ESPP provides for six-month offering periods beginning May 22 and November 22 of each year, and each offering period consists of a six-month purchase period. The first offering period began on May 22, 2024 and ended on November 21, 2024. During the six months ended June 30, 2026, 56,311 shares of common stock were purchased under the 2021 ESPP. As of June 30, 2026, 2,196,092 shares of common stock were available for future issuance under the 2021 ESPP.</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On each purchase date, eligible employees are entitled to purchase the shares at a price per share equal to 85% of the lesser of (1) the fair market value of our common stock on the offering date or (2) the fair market value of our common stock on the purchase date.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June 30, 2026, there was $0.3 million of unamortized stock-based compensation cost related to ESPP, which is expected to be recognized over a weighted average period of 0.4 years.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common stock to be issued under the 2021 ESPP is estimated on the first day of the offering period using the Black-Scholes option-pricing model, which uses (i) a risk-free interest rate based on the U.S. Treasury zero-coupon issues for an expected term equivalent to the offering period; (ii) expected term based on the simplified method; (iii) volatility based on historical volatility of the Company’s common stock; and (iv) an expected dividend yield of zero as the Company has never declared or paid any cash dividend and does not currently plan to pay a cash dividend in the foreseeable future.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the ESPP valuation assumptions:</w:t>
      </w:r>
    </w:p>
    <w:tbl>
      <w:tblPr>
        <w:tblW w:w="3965" w:type="dxa"/>
        <w:jc w:val="left"/>
        <w:tblInd w:w="0" w:type="dxa"/>
        <w:tblLayout w:type="fixed"/>
        <w:tblCellMar>
          <w:top w:w="28" w:type="dxa"/>
          <w:left w:w="28" w:type="dxa"/>
          <w:bottom w:w="28" w:type="dxa"/>
          <w:right w:w="28" w:type="dxa"/>
        </w:tblCellMar>
      </w:tblPr>
      <w:tblGrid>
        <w:gridCol w:w="701"/>
        <w:gridCol w:w="615"/>
        <w:gridCol w:w="618"/>
        <w:gridCol w:w="109"/>
        <w:gridCol w:w="109"/>
        <w:gridCol w:w="109"/>
        <w:gridCol w:w="190"/>
        <w:gridCol w:w="190"/>
        <w:gridCol w:w="190"/>
        <w:gridCol w:w="173"/>
        <w:gridCol w:w="173"/>
        <w:gridCol w:w="173"/>
        <w:gridCol w:w="180"/>
        <w:gridCol w:w="180"/>
        <w:gridCol w:w="255"/>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Six Months Ended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June 30,</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68.9%</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72.0%</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operations (in thousands):</w:t>
      </w:r>
    </w:p>
    <w:tbl>
      <w:tblPr>
        <w:tblW w:w="7501"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14.    EQUITY METHOD INVESTMENT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On February 21, 2022, Arteris IP (Hong Kong) Ltd. (AHK), a wholly-owned subsidiary of the Company, entered into a Share Purchase and Shareholders Agreement (the SPA) with certain investors and Ningbo Transchip Information Consulting Partnership (Limited Partnership) (Management Co), pursuant to which, the Company, certain investors and Management Co subscribed to the registered capital of Transchip Technology (Nanjing) Co., Ltd. (Transchip).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In September 2025, Transchip entered into a convertible bond investment agreement along with certain investors, under which Transchip received approximately $5.6 million as a loan in October 2025. During the three months ended June 30, 2026, $4.4 million of the loan was converted into Transchip’s equity. The Company did not provide funding under this agreement. In addition, Transchip granted stock awards to certain of its employees in February 2026. As a result of these transactions, the Company’s ownership of Transchip’s registered capital based on issued and outstanding shares decreased from 42.7% as of December 31, 2025 to 33.8% as of June 30, 2026, and the Company’s ownership interest of Transchip’s registered capital reduced from 35.0% as of December 31, 2025 to 32.2% on a fully diluted basis as of June 30, 2026.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No additional losses were recognized for the three months ended June 30, 2026 as the carrying value associated with the equity method investment in Transchip was zero as of June 30, 2026. The Company’s loss from its proportionate share of its equity method investment in Transchip was $0.8 million for the three months ended June 30, 2025, and $3.0 million and $1.6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15. INCOME 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Beginning in the three months ended March 31, 2026, the Company’s tax provision for interim periods was determined using a discrete effective tax rate method, as allowed by ASC Topic 740-270, Income Taxes, Interim Reporting. The Company’s tax provision for interim periods was previously determined using an estimated annual effective tax rate which was adjusted for discrete items occurring during the periods presented. The Company determined that due to the sensitivity of the estimated annual effective tax rate to changes in withholding taxes, the use of the historical method would not provide a reliable estimate for the six months ended June 30, 2026.</w:t>
      </w:r>
    </w:p>
    <w:p>
      <w:pPr>
        <w:pStyle w:val="TextBody"/>
        <w:bidi w:val="0"/>
        <w:spacing w:lineRule="auto" w:line="288" w:before="180" w:after="283"/>
        <w:jc w:val="both"/>
        <w:rPr/>
      </w:pPr>
      <w:r>
        <w:rPr>
          <w:rFonts w:ascii="Arial;sans-serif" w:hAnsi="Arial;sans-serif"/>
          <w:b w:val="false"/>
          <w:color w:val="000000"/>
          <w:sz w:val="20"/>
        </w:rPr>
        <w:t>The Company’s effective tax rate was a benefit of 12.0% and an expense of 6.9% for the six months ended June 30, 2026 and 2025, respectively. The Company’s $3.0 million income tax benefit for the six months ended June 30, 2026 varied from the amount computed using the U.S. statutory tax rate of 21.0%</w:t>
      </w:r>
      <w:r>
        <w:rPr>
          <w:color w:val="000000"/>
        </w:rPr>
        <w:t xml:space="preserve"> </w:t>
      </w:r>
      <w:r>
        <w:rPr>
          <w:rFonts w:ascii="Arial;sans-serif" w:hAnsi="Arial;sans-serif"/>
          <w:b w:val="false"/>
          <w:color w:val="000000"/>
          <w:sz w:val="20"/>
        </w:rPr>
        <w:t>primarily due to the partial valuation allowance release in connection with the Cycuity acquisition and foreign tax rate differentials. The $1.1 million income tax expense for the six months ended June 30, 2025 varied from the amount computed using the U.S. statutory tax rate of 21.0% due to the geographic mix of worldwide earnings which are taxed at different rates and the impact of losses in jurisdictions with full valuation allowances.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Company’s management continuously evaluates the need for a valuation allowance and, as of June 30, 2026, concluded that a full valuation allowance on its federal, state, and certain foreign jurisdictions deferred tax assets was still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16. RELATED PARTY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defines related parties as directors, executive officers, nominees for director and stockholders that have significant influence over the Company, or are a greater than 10% beneficial owner of the Company’s capital and their affiliates or immediate family members. Transchip, an equity method investee of the Company, is also deemed as a related party.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On November 15, 2024, the Company entered into a design services licensing collaboration agreement with Transchip. This arrangement gives Transchip a non-exclusive license right to make design house offerings using certain of the Company's products. The Company retains the manufacturing and royalty-related rights in relation to the Company’s products used in the design house offerings.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2025, the Company delivered a three-year term license to Transchip under this arrangement. The Company received payment of $0.7 million and recognized revenue of $0.2 million during the six months ended June 30, 2026.</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K. Charles Janac, the Company’s Chief Executive Officer, invested $0.3 million of his own funds in a private equity financing of an AI chatbot startup, Biflow AI Inc. (Biflow). Following his investment, Mr. Janac controls less than 5% of the outstanding equity of Biflow, on an as converted basis. In addition, Mr. Janac is also an advisor to Biflow. Biflow was co-founded by a son of one of the Company’s employees, an executive vice president. In September 2025, the Company entered into a separately negotiated agreement with Biflow to provide chatbot services and paid less than $0.1 million to Biflow under the agreement during the six months ended June 30, 2026. In April 2026, the Company entered into an amendment to the September 2025 agreement with Biflow to provide additional services to the Company for an amount of $0.1 million through March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17. SEGMENT AND GEOGRAPHIC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Company operates in one reportable segment, as more fully described in Note 2. The Company’s CODM reviews and allocates resources using the Company’s financial performance, primarily the net loss presented in the consolidated statements of operations. Other financial performance measures include Annual Contract Value (ACV), ACV plus royalties and remaining performance obligations. The CODM is regularly provided with only the consolidated expenses as noted on the face of the consolidated statements of operations, that are considered as significant expenses. Interest expense and other income (expense), net as presented in the consolidated statements of operations are not considered as significant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2025 included in the Annual Report on Form 10-K for the year ended December 31, 2025 (2025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You should carefully read the “Risk Factors” section of this Quarterly Report on Form 10-Q to gain an understanding of the important factors that could cause actual results to differ materially from forward-looking statements. Please also see the section under the heading “Cautionary Note Regarding Forward-Looking Statements” in the 2025 Form 10-K.</w:t>
      </w:r>
    </w:p>
    <w:p>
      <w:pPr>
        <w:pStyle w:val="TextBody"/>
        <w:bidi w:val="0"/>
        <w:spacing w:lineRule="auto" w:line="268" w:before="180" w:after="283"/>
        <w:jc w:val="both"/>
        <w:rPr>
          <w:rFonts w:ascii="Arial;sans-serif" w:hAnsi="Arial;sans-serif"/>
          <w:b w:val="false"/>
          <w:i/>
          <w:color w:val="000000"/>
          <w:sz w:val="20"/>
          <w:shd w:fill="FFFFFF" w:val="clear"/>
        </w:rPr>
      </w:pPr>
      <w:r>
        <w:rPr>
          <w:rFonts w:ascii="Arial;sans-serif" w:hAnsi="Arial;sans-serif"/>
          <w:b w:val="false"/>
          <w:i/>
          <w:color w:val="000000"/>
          <w:sz w:val="20"/>
          <w:shd w:fill="FFFFFF" w:val="clear"/>
        </w:rPr>
        <w:t>Unless the context otherwise requires, all references in this report to “we,” “us,” “our,” the “Company,” and “Arteris” refer to Arteris,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a leading provider of semiconductor system IP, including interconnect and other intellectual property (collectively, System IP) technology. Our System IP technology manages on-chip communications and IP block deployments by helping to enable the underlying data movement across chiplets, single-die and multi-die System-on-Chip (SoC) semiconductors. Our leading proprietary System IP solutions achieve this by connecting various semiconductor IP blocks such as processors, memory and logic via multiple Network-on-Chips (NoCs) in order for our customers to meet functional design goals as well as performance and power requirements, while addressing design complexity with efficient and lower cost solutions.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SoC Integration Automation software solutions, which were significantly enhanced by our acquisitions of Magillem Design Services S.A. (Magillem) in 2020, Semifore, Inc. (Semifore) in 2022 and Cycuity, Inc. (Cycuity) in 2026,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aerospace and defense, automotive, communications, consumer electronics, enterprise computing, and industrial markets.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As of June 30, 2026, we had 364 employees and offices in eleven locations in the United States, France, China, South Korea, Japan, Taiwan and Poland. For the three months ended June 30, 2026, we generated revenue of $24.1 million, net loss of $14.1 million, and net loss per share, basic and diluted of $0.30. As of June 30, 2026, we had Annual Contract Value (as defined below) and Annual Contract Value plus royalties of $90.9 million and $99.5 million, respectively. During the three months ended June 30, 2026, we had 26 Confirmed Design Starts (as defined below).</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Acquisitions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On January 14, 2026, we completed the acquisition of Cycuity for a total consideration of approximately $43.1 million. The addition of Cycuity’s technology and expertise strengthens our product portfolio, enabling chip designers to understand and improve data movement security in chiplets and SoCs, and addresses a growing industry concern about the increasing volume of sophisticated cyberattacks targeting the vast amounts of unsecured data moving through semiconductors.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20"/>
          <w:shd w:fill="FFFFFF" w:val="clear"/>
        </w:rPr>
      </w:pPr>
      <w:r>
        <w:rPr>
          <w:rFonts w:ascii="Arial;sans-serif" w:hAnsi="Arial;sans-serif"/>
          <w:b/>
          <w:color w:val="000000"/>
          <w:sz w:val="20"/>
          <w:shd w:fill="FFFFFF" w:val="clear"/>
        </w:rPr>
        <w:t>Factors Affecting Our Business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License Agreements with New and Existing Customers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typically lasts for up to seven years depending on the particular market. Any significant delay in the ramp-up of volume production of the customers’ products into which our product is designed could adversely affect our business due to delayed or significantly reduced revenues. Further, because the average selling prices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End Customer Product Demand and Market Conditions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Demand for our interconnect IP solutions and associated royalty revenue is highly dependent on market conditions in the end markets in which our customers operate. These end markets, which include the automotive, enterprise computing, communications, artificial intelligence and machine learning,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and global trade restrictions resulting in fewer semiconductors utilizing our IP solutions being available for sale, our revenue would be adversely affected. Further, royalty revenue can be significantly impacted period to period due to changing trends in consumer spending, especially as it relates to the automotive, computing and consumer electronics markets.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Terms of our Agreements with Customers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revenue from period to period can be impacted by the terms of the agreements we enter into with our customers. As a result of how these contracts are structured and the revenue is recognized, our revenue in the three and six months ended June 30, 2026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Technological Development and Market Growth</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our growth has been and will continue to be driven by technology trends in our end markets. For example, the requirements of smaller die size, chiplet and multi-chip package design, lower power consumption, and a higher frequency of operation and management of critical net latency in a timely and cost-effective manner for on-chip processing in the automotive, enterprise computing, communications, consumer electronics, and industrial markets have resulted in increased SoC design complexity for chips used in these markets. This trend in turn has created increased demand for in-licensing commercial semiconductor design IP, which in turn has positively impacted our revenue and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order to address rapid technological developments and expand our offerings, we have invested significantly in our research and development efforts. These investments, which continue to include growth in engineering headcount, have resulted in substantially increased research and development expenses. As we continue to invest in our technology and new product design efforts, we anticipate research and development expense will continue to increase on an absolute basis and as a percentage of revenue in the near term. In the medium to longer term, however, while we expect to increase our research and development expense on an absolute basis, we expect this expense to reduce as a percentage of revenue.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continue to evaluate growth opportunities through acquisitions.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Impact of Operating Globally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our products’ global footprint provides us with the opportunity to enter new markets and accelerate our growth. For the six months ended June 30, 2026, 58.4% of our revenue was derived from sales to customers outside of the United States and 23.2% of our revenue was derived from customers located in China. For 2025, 60.3% of our revenue was derived from sales to customers outside of the United States and 24.5%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on October 7, 2022 (as further amended),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 Additionally, changes in legislation and regulation as well as the implementation of executive orders and other actions in the United States and other countries, including new trade policies and the imposition of tariffs, may increase costs or make it more difficult to export our products to certain countries.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Further, our global footprint and operations expose us to currency exchange rate movements given we have significant operating expenses denominated in foreign currencies. If the volume of our international operations remains the same or increases and foreign currency exchange rates change, especially the Euro, the impact to our consolidated statements of operations could be significant and may affect the comparability of operating results from period to period.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Cyclical Nature of the Semiconductor Industry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semiconductor industry in which our customers operate is highly cyclical and is characterized by increasingly rapid technological change, regulatory uncertainty, product obsolescence, competitive pricing pressures, evolving industry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During periods of slower growth or industry contractions, our sales generally suffer due to a decrease in customers’ Confirmed Design Starts or in sales of our customers’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Key Performance Indicators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Annual Contract Value</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$90.9 million and $63.9 million as of June 30, 2026 and 2025, respectively. In addition, total ACV plus royalties was $99.5 million and $69.1 million as of June 30, 2026 and 2025, respectively. ACV plus royalties is calculated based on ACV and the trailing-twelve-months variable royalties and other revenue. We monitor ACV to measure our success and believe the increase in the number shows our progress in expanding our customers’ adoption of our platform. We believe ACV provides investors with useful information to assess the strength and trajectory of our business as growth demonstrates the expansion of customer adoption of our platform. ACV fluctuates due to a number of factors, including the timing, duration and dollar amount of customer contracts.</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Confirmed Design Starts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contributed to a total of 26 and 25 design starts during the three months ended June 30, 2026 and 2025, respectively. We believe that the number of Confirmed Design Starts is an important indicator of the growth of our business and future royalty revenue trends.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Remaining Performance Obligations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define Remaining Performance Obligations (RPO) as the amount of contracted future revenue that has not yet been recognized, including deferred revenue, billed and unbilled cancelable and non-cancelable contracted amounts.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RPO amount is intended to provide visibility into future revenue streams. We expect RPO to fluctuate up or down from period to period for several reasons, including variations in amounts, timing, and duration of customer contracts, as well as the timing of billing cycles for each contract. Our RPO was $134.9 million and $99.3 million as of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Components of Our Results of Operations</w:t>
      </w:r>
    </w:p>
    <w:p>
      <w:pPr>
        <w:pStyle w:val="TextBody"/>
        <w:bidi w:val="0"/>
        <w:spacing w:lineRule="auto" w:line="288" w:before="180" w:after="283"/>
        <w:jc w:val="both"/>
        <w:rPr/>
      </w:pPr>
      <w:r>
        <w:rPr>
          <w:rFonts w:ascii="Arial;sans-serif" w:hAnsi="Arial;sans-serif"/>
          <w:b/>
          <w:i/>
          <w:color w:val="000000"/>
          <w:sz w:val="20"/>
          <w:shd w:fill="FFFFFF" w:val="clear"/>
        </w:rPr>
        <w:t xml:space="preserve">Revenue: </w:t>
      </w:r>
      <w:r>
        <w:rPr>
          <w:rFonts w:ascii="Arial;sans-serif" w:hAnsi="Arial;sans-serif"/>
          <w:b w:val="false"/>
          <w:color w:val="000000"/>
          <w:sz w:val="20"/>
          <w:shd w:fill="FFFFFF" w:val="clear"/>
        </w:rPr>
        <w:t>Our revenue is primarily derived from licensing intellectual property, licensing software, support and maintenance services, professional services, training services, and royalties. Our agreements often include other service elements including training and professional services.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Engineering Support Services) to perform certain verifications including benchmark performance, simulations and ultimately, through the RTL, instantiate designs into silicon over the design term.</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Application Engineering Support Services are integral and fundamental to the customer’s ability to derive its intended benefit from the IP. Besides Application Engineering Support Services, support and maintenance services also consist of a stand-ready obligation to provide technical support and software updates over the support term. Generally, the first year of technical support and software updates are bundled with and into the license fee with a customer option to renew additional years of support throughout the license term. However, we typically continue to provide technical support and software updates throughout the license term even if the customer does not renew these services in subsequent years, making the license term and support and maintenance term co-terminus.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the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SoC Integration Automation software products and CSRCompiler product arrangements provide customers with the right to software licenses, software updates and technical support. The software licenses are time-based with terms generally ranging from one to three years. These arrangements generally have two distinct performance obligations for us that consist of transferring the licensed software and the support and maintenance service. Support and maintenance services consist of a stand-ready obligation to provide technical support and software updates over the support term. The majority of our SoC Integration Automation software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 We record obligations for refunds in accrued expenses and other current liabilities on the consolidated balance sheets.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hardware security verification software product arrangements provide customers the right to software licenses, software updates and technical support. The software licenses are time-based licenses with terms generally ranging from one to three years and generally provide the customer with limited rights to receive certain quantities of licensed software. In addition to the licenses, the arrangements also include: support and maintenance services, provided by Application Engineering Support Services, which includes providing frequent updates and upgrades to maintain the utility of the software due to rapid changes in technology. Updates are generally made available throughout the entire term of the arrangement. The updates provide continued access to evolving technology as customers’ designs migrate to more advanced nodes and as customers’ technological requirements evolve. We concluded that our hardware security verification software product licenses are not distinct from our obligation to provide unspecified software updates to the licensed software throughout the license term. Such updates represent inputs to a single, combined performance obligation, commencing upon the later of the arrangement effective date or transfer of control to the software license, leading to ratable recognition of the related license revenue over the contract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20"/>
          <w:shd w:fill="FFFFFF" w:val="clear"/>
        </w:rPr>
        <w:t>Cost of revenue</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Cost of revenue relates to costs associated with our licensing agreements and support and maintenance, including applicable application engineers’ personnel-related costs such as stock-based compensation, travel, amortization of developed technology acquired intangibles and allocated overhead.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addition, certain third-party subcontractor expenses are included in cost of revenue when we have determined we act as the principal, maintaining primary responsibility for fulfillment and control over the services provided prior to transfer to the customer. We expect cost of revenue as a percentage of revenue to modestly decline over time due to productivity improvements of our application engineering processes.</w:t>
      </w:r>
    </w:p>
    <w:p>
      <w:pPr>
        <w:pStyle w:val="TextBody"/>
        <w:bidi w:val="0"/>
        <w:spacing w:lineRule="auto" w:line="288" w:before="180" w:after="283"/>
        <w:jc w:val="both"/>
        <w:rPr/>
      </w:pPr>
      <w:r>
        <w:rPr>
          <w:rFonts w:ascii="Arial;sans-serif" w:hAnsi="Arial;sans-serif"/>
          <w:b/>
          <w:i/>
          <w:color w:val="000000"/>
          <w:sz w:val="20"/>
          <w:shd w:fill="FFFFFF" w:val="clear"/>
        </w:rPr>
        <w:t>Allocation of Overhead Costs:</w:t>
      </w:r>
      <w:r>
        <w:rPr>
          <w:color w:val="000000"/>
          <w:shd w:fill="FFFFFF" w:val="clear"/>
        </w:rPr>
        <w:t xml:space="preserve"> </w:t>
      </w:r>
      <w:r>
        <w:rPr>
          <w:rFonts w:ascii="Arial;sans-serif" w:hAnsi="Arial;sans-serif"/>
          <w:b w:val="false"/>
          <w:color w:val="000000"/>
          <w:sz w:val="20"/>
          <w:shd w:fill="FFFFFF" w:val="clear"/>
        </w:rPr>
        <w:t>Overhead costs that are not substantially dedicated for use by a specific functional group are allocated based on headcount. Such costs include costs associated with office facilities, depreciation of property and equipment, certain support function personnel costs and other expenses.</w:t>
      </w:r>
    </w:p>
    <w:p>
      <w:pPr>
        <w:pStyle w:val="TextBody"/>
        <w:bidi w:val="0"/>
        <w:spacing w:lineRule="auto" w:line="288" w:before="180" w:after="283"/>
        <w:jc w:val="both"/>
        <w:rPr/>
      </w:pPr>
      <w:r>
        <w:rPr>
          <w:rFonts w:ascii="Arial;sans-serif" w:hAnsi="Arial;sans-serif"/>
          <w:b/>
          <w:i/>
          <w:color w:val="000000"/>
          <w:sz w:val="20"/>
          <w:shd w:fill="FFFFFF" w:val="clear"/>
        </w:rPr>
        <w:t xml:space="preserve">Research and development (R&amp;D) expenses: </w:t>
      </w:r>
      <w:r>
        <w:rPr>
          <w:rFonts w:ascii="Arial;sans-serif" w:hAnsi="Arial;sans-serif"/>
          <w:b w:val="false"/>
          <w:color w:val="000000"/>
          <w:sz w:val="20"/>
          <w:shd w:fill="FFFFFF" w:val="clear"/>
        </w:rPr>
        <w:t>R&amp;D expenses consist primarily of salaries and associated personnel-related costs, including employer payroll taxes, facilities expenses associated with research and development activities, third-party project-related expenses connected with the development of our intellectual property which are expensed as incurred, stock-based compensation expense and other allocated costs. We expect R&amp;D expenses to increase in absolute terms over the long term, and as a percentage of revenue in the short term. We expect R&amp;D expenses to decrease as a percentage of revenue as certain new products are launched in the medium to long term.</w:t>
      </w:r>
    </w:p>
    <w:p>
      <w:pPr>
        <w:pStyle w:val="TextBody"/>
        <w:bidi w:val="0"/>
        <w:spacing w:lineRule="auto" w:line="288" w:before="180" w:after="283"/>
        <w:jc w:val="both"/>
        <w:rPr/>
      </w:pPr>
      <w:r>
        <w:rPr>
          <w:rFonts w:ascii="Arial;sans-serif" w:hAnsi="Arial;sans-serif"/>
          <w:b/>
          <w:i/>
          <w:color w:val="000000"/>
          <w:sz w:val="20"/>
          <w:shd w:fill="FFFFFF" w:val="clear"/>
        </w:rPr>
        <w:t>Sales and marketing (S&amp;M) expenses:</w:t>
      </w:r>
      <w:r>
        <w:rPr>
          <w:color w:val="000000"/>
        </w:rPr>
        <w:t xml:space="preserve"> </w:t>
      </w:r>
      <w:r>
        <w:rPr>
          <w:rFonts w:ascii="Arial;sans-serif" w:hAnsi="Arial;sans-serif"/>
          <w:b w:val="false"/>
          <w:color w:val="000000"/>
          <w:sz w:val="20"/>
          <w:shd w:fill="FFFFFF" w:val="clear"/>
        </w:rPr>
        <w:t>S&amp;M expenses consist primarily of salaries, commissions, travel and other costs associated with S&amp;M activities, including employer payroll taxes, as well as advertising, trade show participation, public relations and other marketing activities, stock-based compensation expense and other allocated costs. We expect S&amp;M expenses to increase in absolute terms but decrease as a percentage of revenue due to productivity improvements of our sales processes.</w:t>
      </w:r>
    </w:p>
    <w:p>
      <w:pPr>
        <w:pStyle w:val="TextBody"/>
        <w:bidi w:val="0"/>
        <w:spacing w:lineRule="auto" w:line="288" w:before="180" w:after="283"/>
        <w:jc w:val="both"/>
        <w:rPr/>
      </w:pPr>
      <w:r>
        <w:rPr>
          <w:rFonts w:ascii="Arial;sans-serif" w:hAnsi="Arial;sans-serif"/>
          <w:b/>
          <w:i/>
          <w:color w:val="000000"/>
          <w:sz w:val="20"/>
          <w:shd w:fill="FFFFFF" w:val="clear"/>
        </w:rPr>
        <w:t>General and administrative (G&amp;A) expenses:</w:t>
      </w:r>
      <w:r>
        <w:rPr>
          <w:color w:val="000000"/>
        </w:rPr>
        <w:t xml:space="preserve"> </w:t>
      </w:r>
      <w:r>
        <w:rPr>
          <w:rFonts w:ascii="Arial;sans-serif" w:hAnsi="Arial;sans-serif"/>
          <w:b w:val="false"/>
          <w:color w:val="000000"/>
          <w:sz w:val="20"/>
          <w:shd w:fill="FFFFFF" w:val="clear"/>
        </w:rPr>
        <w:t>G&amp;A expenses consist primarily of salaries for management and administrative employees, including employer payroll taxes, depreciation, insurance costs, accounting, legal and consulting fees, other professional service fees, expenses related to the development of corporate initiatives and facilities expenses associated with G&amp;A activities, stock-based compensation expense, fees for directors and other allocated costs.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expect G&amp;A expenses to increase as our business grows. In addition, we expect G&amp;A expenses as a percentage of revenue to vary from period to period but generally decrease over the long term.</w:t>
      </w:r>
    </w:p>
    <w:p>
      <w:pPr>
        <w:pStyle w:val="TextBody"/>
        <w:bidi w:val="0"/>
        <w:spacing w:lineRule="auto" w:line="288" w:before="180" w:after="283"/>
        <w:jc w:val="both"/>
        <w:rPr/>
      </w:pPr>
      <w:r>
        <w:rPr>
          <w:rFonts w:ascii="Arial;sans-serif" w:hAnsi="Arial;sans-serif"/>
          <w:b/>
          <w:i/>
          <w:color w:val="000000"/>
          <w:sz w:val="20"/>
          <w:shd w:fill="FFFFFF" w:val="clear"/>
        </w:rPr>
        <w:t xml:space="preserve">Acquisition-related costs: </w:t>
      </w:r>
      <w:r>
        <w:rPr>
          <w:rFonts w:ascii="Arial;sans-serif" w:hAnsi="Arial;sans-serif"/>
          <w:b w:val="false"/>
          <w:color w:val="000000"/>
          <w:sz w:val="20"/>
          <w:shd w:fill="FFFFFF" w:val="clear"/>
        </w:rPr>
        <w:t xml:space="preserve">Acquisition-related costs </w:t>
      </w:r>
      <w:r>
        <w:rPr>
          <w:rFonts w:ascii="Arial;sans-serif" w:hAnsi="Arial;sans-serif"/>
          <w:b w:val="false"/>
          <w:color w:val="000000"/>
          <w:sz w:val="20"/>
        </w:rPr>
        <w:t>include advisory, legal, accounting, v</w:t>
      </w:r>
      <w:r>
        <w:rPr>
          <w:rFonts w:ascii="Arial;sans-serif" w:hAnsi="Arial;sans-serif"/>
          <w:b w:val="false"/>
          <w:color w:val="000000"/>
          <w:sz w:val="20"/>
          <w:shd w:fill="FFFFFF" w:val="clear"/>
        </w:rPr>
        <w:t>aluation, other professional or consulting fees as well as integration costs incurred towards our acquisitions. Acquisition-related costs also include changes in the fair value of the contingent consideration related to our acquisition of Cycuity.</w:t>
      </w:r>
    </w:p>
    <w:p>
      <w:pPr>
        <w:pStyle w:val="TextBody"/>
        <w:bidi w:val="0"/>
        <w:spacing w:lineRule="auto" w:line="288" w:before="180" w:after="283"/>
        <w:jc w:val="both"/>
        <w:rPr/>
      </w:pPr>
      <w:r>
        <w:rPr>
          <w:rFonts w:ascii="Arial;sans-serif" w:hAnsi="Arial;sans-serif"/>
          <w:b/>
          <w:i/>
          <w:color w:val="000000"/>
          <w:sz w:val="20"/>
          <w:shd w:fill="FFFFFF" w:val="clear"/>
        </w:rPr>
        <w:t xml:space="preserve">Interest expense: </w:t>
      </w:r>
      <w:r>
        <w:rPr>
          <w:rFonts w:ascii="Arial;sans-serif" w:hAnsi="Arial;sans-serif"/>
          <w:b w:val="false"/>
          <w:color w:val="000000"/>
          <w:sz w:val="20"/>
          <w:shd w:fill="FFFFFF" w:val="clear"/>
        </w:rPr>
        <w:t>Interest expense consists primarily of interest expense on our vendor financing arrangements.</w:t>
      </w:r>
    </w:p>
    <w:p>
      <w:pPr>
        <w:pStyle w:val="TextBody"/>
        <w:bidi w:val="0"/>
        <w:spacing w:lineRule="auto" w:line="288" w:before="180" w:after="283"/>
        <w:jc w:val="both"/>
        <w:rPr/>
      </w:pPr>
      <w:r>
        <w:rPr>
          <w:rFonts w:ascii="Arial;sans-serif" w:hAnsi="Arial;sans-serif"/>
          <w:b/>
          <w:i/>
          <w:color w:val="000000"/>
          <w:sz w:val="20"/>
          <w:shd w:fill="FFFFFF" w:val="clear"/>
        </w:rPr>
        <w:t>Other income (expense), net:</w:t>
      </w:r>
      <w:r>
        <w:rPr>
          <w:color w:val="000000"/>
          <w:shd w:fill="FFFFFF" w:val="clear"/>
        </w:rPr>
        <w:t xml:space="preserve"> </w:t>
      </w:r>
      <w:r>
        <w:rPr>
          <w:rFonts w:ascii="Arial;sans-serif" w:hAnsi="Arial;sans-serif"/>
          <w:b w:val="false"/>
          <w:color w:val="000000"/>
          <w:sz w:val="20"/>
          <w:shd w:fill="FFFFFF" w:val="clear"/>
        </w:rPr>
        <w:t>Other income (expense), net consists primarily of interest income earned on our cash and cash equivalents and available-for-sale investments, gains and losses from foreign currency exchange, realized gains and losses from available-for-sale investments as well as deferred income.</w:t>
      </w:r>
    </w:p>
    <w:p>
      <w:pPr>
        <w:pStyle w:val="TextBody"/>
        <w:bidi w:val="0"/>
        <w:spacing w:lineRule="auto" w:line="288" w:before="180" w:after="283"/>
        <w:jc w:val="both"/>
        <w:rPr/>
      </w:pPr>
      <w:r>
        <w:rPr>
          <w:rFonts w:ascii="Arial;sans-serif" w:hAnsi="Arial;sans-serif"/>
          <w:b/>
          <w:i/>
          <w:color w:val="000000"/>
          <w:sz w:val="20"/>
          <w:shd w:fill="FFFFFF" w:val="clear"/>
        </w:rPr>
        <w:t xml:space="preserve">Loss from equity method investment: </w:t>
      </w:r>
      <w:r>
        <w:rPr>
          <w:rFonts w:ascii="Arial;sans-serif" w:hAnsi="Arial;sans-serif"/>
          <w:b w:val="false"/>
          <w:color w:val="000000"/>
          <w:sz w:val="20"/>
          <w:shd w:fill="FFFFFF" w:val="clear"/>
        </w:rPr>
        <w:t xml:space="preserve">Loss from equity method investment consists of our proportionate share of net losses from our equity method investee. </w:t>
      </w:r>
    </w:p>
    <w:p>
      <w:pPr>
        <w:pStyle w:val="TextBody"/>
        <w:bidi w:val="0"/>
        <w:spacing w:lineRule="auto" w:line="288" w:before="180" w:after="283"/>
        <w:jc w:val="both"/>
        <w:rPr/>
      </w:pPr>
      <w:r>
        <w:rPr>
          <w:rFonts w:ascii="Arial;sans-serif" w:hAnsi="Arial;sans-serif"/>
          <w:b/>
          <w:i/>
          <w:color w:val="000000"/>
          <w:sz w:val="20"/>
          <w:shd w:fill="FFFFFF" w:val="clear"/>
        </w:rPr>
        <w:t>Provision for (benefit from) income taxes:</w:t>
      </w:r>
      <w:r>
        <w:rPr>
          <w:color w:val="000000"/>
          <w:shd w:fill="FFFFFF" w:val="clear"/>
        </w:rPr>
        <w:t xml:space="preserve"> </w:t>
      </w:r>
      <w:r>
        <w:rPr>
          <w:rFonts w:ascii="Arial;sans-serif" w:hAnsi="Arial;sans-serif"/>
          <w:b w:val="false"/>
          <w:color w:val="000000"/>
          <w:sz w:val="20"/>
          <w:shd w:fill="FFFFFF" w:val="clear"/>
        </w:rPr>
        <w:t>Our income tax provision consists primarily of income taxes in certain foreign jurisdictions in 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following table summarizes our GAAP results of operations for the periods presented. The results below are not necessarily indicative of results to be expected for future periods. </w:t>
      </w:r>
    </w:p>
    <w:tbl>
      <w:tblPr>
        <w:tblW w:w="10205" w:type="dxa"/>
        <w:jc w:val="left"/>
        <w:tblInd w:w="0" w:type="dxa"/>
        <w:tblLayout w:type="fixed"/>
        <w:tblCellMar>
          <w:top w:w="28" w:type="dxa"/>
          <w:left w:w="28" w:type="dxa"/>
          <w:bottom w:w="28" w:type="dxa"/>
          <w:right w:w="28" w:type="dxa"/>
        </w:tblCellMar>
      </w:tblPr>
      <w:tblGrid>
        <w:gridCol w:w="1732"/>
        <w:gridCol w:w="1496"/>
        <w:gridCol w:w="1497"/>
        <w:gridCol w:w="196"/>
        <w:gridCol w:w="717"/>
        <w:gridCol w:w="109"/>
        <w:gridCol w:w="109"/>
        <w:gridCol w:w="109"/>
        <w:gridCol w:w="109"/>
        <w:gridCol w:w="196"/>
        <w:gridCol w:w="646"/>
        <w:gridCol w:w="109"/>
        <w:gridCol w:w="109"/>
        <w:gridCol w:w="109"/>
        <w:gridCol w:w="109"/>
        <w:gridCol w:w="196"/>
        <w:gridCol w:w="717"/>
        <w:gridCol w:w="109"/>
        <w:gridCol w:w="109"/>
        <w:gridCol w:w="109"/>
        <w:gridCol w:w="109"/>
        <w:gridCol w:w="196"/>
        <w:gridCol w:w="717"/>
        <w:gridCol w:w="109"/>
        <w:gridCol w:w="109"/>
        <w:gridCol w:w="109"/>
        <w:gridCol w:w="109"/>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2" w:type="dxa"/>
            <w:gridSpan w:val="4"/>
            <w:tcBorders/>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 (1)</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(1)</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(1)</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(1)</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costs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(1)Includes stock-based compensation expense as follows: </w:t>
      </w:r>
    </w:p>
    <w:tbl>
      <w:tblPr>
        <w:tblW w:w="7501" w:type="dxa"/>
        <w:jc w:val="left"/>
        <w:tblInd w:w="0" w:type="dxa"/>
        <w:tblLayout w:type="fixed"/>
        <w:tblCellMar>
          <w:top w:w="28" w:type="dxa"/>
          <w:left w:w="28" w:type="dxa"/>
          <w:bottom w:w="28" w:type="dxa"/>
          <w:right w:w="28" w:type="dxa"/>
        </w:tblCellMar>
      </w:tblPr>
      <w:tblGrid>
        <w:gridCol w:w="907"/>
        <w:gridCol w:w="796"/>
        <w:gridCol w:w="80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our results of operations as a percentage of total revenue for each of the periods indicated:</w:t>
      </w:r>
    </w:p>
    <w:tbl>
      <w:tblPr>
        <w:tblW w:w="9611" w:type="dxa"/>
        <w:jc w:val="left"/>
        <w:tblInd w:w="0" w:type="dxa"/>
        <w:tblLayout w:type="fixed"/>
        <w:tblCellMar>
          <w:top w:w="28" w:type="dxa"/>
          <w:left w:w="28" w:type="dxa"/>
          <w:bottom w:w="28" w:type="dxa"/>
          <w:right w:w="28" w:type="dxa"/>
        </w:tblCellMar>
      </w:tblPr>
      <w:tblGrid>
        <w:gridCol w:w="1791"/>
        <w:gridCol w:w="1572"/>
        <w:gridCol w:w="1586"/>
        <w:gridCol w:w="210"/>
        <w:gridCol w:w="211"/>
        <w:gridCol w:w="352"/>
        <w:gridCol w:w="150"/>
        <w:gridCol w:w="150"/>
        <w:gridCol w:w="150"/>
        <w:gridCol w:w="210"/>
        <w:gridCol w:w="211"/>
        <w:gridCol w:w="352"/>
        <w:gridCol w:w="109"/>
        <w:gridCol w:w="109"/>
        <w:gridCol w:w="109"/>
        <w:gridCol w:w="210"/>
        <w:gridCol w:w="211"/>
        <w:gridCol w:w="310"/>
        <w:gridCol w:w="132"/>
        <w:gridCol w:w="132"/>
        <w:gridCol w:w="132"/>
        <w:gridCol w:w="210"/>
        <w:gridCol w:w="211"/>
        <w:gridCol w:w="310"/>
        <w:gridCol w:w="109"/>
        <w:gridCol w:w="109"/>
        <w:gridCol w:w="109"/>
        <w:gridCol w:w="154"/>
      </w:tblGrid>
      <w:tr>
        <w:trPr/>
        <w:tc>
          <w:tcPr>
            <w:tcW w:w="179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(as a percentage of total revenue)</w:t>
            </w:r>
          </w:p>
        </w:tc>
        <w:tc>
          <w:tcPr>
            <w:tcW w:w="481" w:type="dxa"/>
            <w:gridSpan w:val="4"/>
            <w:tcBorders/>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costs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before income taxes and loss from equity method investment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 net of tax</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Comparison of the Three Months Ended June 30, 2026 and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120"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65"/>
        <w:gridCol w:w="166"/>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Not meaningful</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 from licensing, support and maintenance increased by $5.7 million for the three months ended June 30, 2026, compared to the three months ended June 30, 2025. The increase was primarily due to the addition of new customers, new license arrangements with existing customers, and revenue for hardware security verification products that were introduced as part of the Cycuity acquisition. Growth in our variable royalty revenue was primarily due to an increase in product sales by certain existing customers, and the addition of new customers. The increase in professional services and other revenue during the three months ended June 30, 2026 was primarily due to revenue generated from hardware security verification services performed under contract with the U.S. government, a significant portion of which was delivered by third-party subcontractors. These subcontractor arrangements were introduced as part of the Cycuity acquisition and, as a result, there was no comparable revenue from such services during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576"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0"/>
        <w:gridCol w:w="211"/>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Cost of revenue increased by $1.9 million, or 107%, for the three months ended June 30, 2026 from $1.7 million for the three months ended June 30, 2025. The increase in cost of revenue was primarily due to the use of third-party subcontractors fulfilling our U.S. government contracts, which were acquired as part of the Cycuity acquisition. We also incurred higher employee-related expenses, mainly driven by increased headcount of our application engineers.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596"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Not meaningful</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R&amp;D expenses increased by $4.6 million, or 38%, to $16.8 million for the three months ended June 30, 2026 from $12.2 million for the three months ended June 30, 2025. The increase in R&amp;D expenses was primarily due to higher investments in enhancing our existing products and developing next generation products. We incurred higher employee-related costs of $2.4 million due to increased headcount to support the growth of our business and from our acquisition of Cycuity, including stock-based compensation expense. We also incurred increased employer payroll taxes associated with the vesting of equity awards in certain jurisdictions of $1.0 million, higher professional fees of $0.3 million and higher amortization expense of $0.3 million recorded from our acquisition of Cycuity.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S&amp;M expenses increased by $3.1 million, or 48%, to $9.4 million for the three months ended June 30, 2026 from $6.3 million for the three months ended June 30, 2025. The increase in S&amp;M expenses was primarily due to higher employee-related costs of $2.4 million due to increased headcount to support the growth of our business and from our acquisition of Cycuity, including stock-based compensation expense, as well as higher employer payroll taxes associated with the vesting of equity awards in certain jurisdictions. We also incurred higher amortization expense of $0.3 million related to intangible assets recorded from our acquisition of Cycuity.</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G&amp;A expenses increased by $1.6 million, or 35%, to $6.1 million for the three months ended June 30, 2026 from $4.5 million for the three months ended June 30, 2025. The increase in G&amp;A expenses was primarily due to higher employee-related costs of $1.1 million, including stock-based compensation expense, mainly driven by increased headcount to support the growth of our business and from our acquisition of Cycuity. We also incurred higher professional fees of $0.2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Acquisition-related costs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Acquisition-related costs for the three months ended June 30, 2026 include a change in the fair value of the contingent consideration related to our acquisition of Cycuity of $2.1 million and professional fees including advisory, legal, accounting, valuation, other professional or consulting fees and integration costs associated with the acquisition of Cycuity of $0.1 million.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144" w:type="dxa"/>
        <w:jc w:val="left"/>
        <w:tblInd w:w="0" w:type="dxa"/>
        <w:tblLayout w:type="fixed"/>
        <w:tblCellMar>
          <w:top w:w="28" w:type="dxa"/>
          <w:left w:w="28" w:type="dxa"/>
          <w:bottom w:w="28" w:type="dxa"/>
          <w:right w:w="28" w:type="dxa"/>
        </w:tblCellMar>
      </w:tblPr>
      <w:tblGrid>
        <w:gridCol w:w="489"/>
        <w:gridCol w:w="429"/>
        <w:gridCol w:w="431"/>
        <w:gridCol w:w="201"/>
        <w:gridCol w:w="418"/>
        <w:gridCol w:w="112"/>
        <w:gridCol w:w="112"/>
        <w:gridCol w:w="112"/>
        <w:gridCol w:w="112"/>
        <w:gridCol w:w="201"/>
        <w:gridCol w:w="418"/>
        <w:gridCol w:w="112"/>
        <w:gridCol w:w="109"/>
        <w:gridCol w:w="109"/>
        <w:gridCol w:w="109"/>
        <w:gridCol w:w="196"/>
        <w:gridCol w:w="331"/>
        <w:gridCol w:w="109"/>
        <w:gridCol w:w="109"/>
        <w:gridCol w:w="109"/>
        <w:gridCol w:w="109"/>
        <w:gridCol w:w="203"/>
        <w:gridCol w:w="20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Interest expense remained relatively flat for the three months ended June 30, 2026 compared to the three months ended June 30,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 net</w:t>
      </w:r>
    </w:p>
    <w:tbl>
      <w:tblPr>
        <w:tblW w:w="6180" w:type="dxa"/>
        <w:jc w:val="left"/>
        <w:tblInd w:w="0" w:type="dxa"/>
        <w:tblLayout w:type="fixed"/>
        <w:tblCellMar>
          <w:top w:w="28" w:type="dxa"/>
          <w:left w:w="28" w:type="dxa"/>
          <w:bottom w:w="28" w:type="dxa"/>
          <w:right w:w="28" w:type="dxa"/>
        </w:tblCellMar>
      </w:tblPr>
      <w:tblGrid>
        <w:gridCol w:w="803"/>
        <w:gridCol w:w="706"/>
        <w:gridCol w:w="711"/>
        <w:gridCol w:w="198"/>
        <w:gridCol w:w="426"/>
        <w:gridCol w:w="110"/>
        <w:gridCol w:w="110"/>
        <w:gridCol w:w="110"/>
        <w:gridCol w:w="110"/>
        <w:gridCol w:w="198"/>
        <w:gridCol w:w="426"/>
        <w:gridCol w:w="110"/>
        <w:gridCol w:w="109"/>
        <w:gridCol w:w="109"/>
        <w:gridCol w:w="109"/>
        <w:gridCol w:w="196"/>
        <w:gridCol w:w="496"/>
        <w:gridCol w:w="109"/>
        <w:gridCol w:w="109"/>
        <w:gridCol w:w="109"/>
        <w:gridCol w:w="109"/>
        <w:gridCol w:w="203"/>
        <w:gridCol w:w="203"/>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Other income (expense), net decreased by $0.2 million, or 27%, to $0.6 million for the three months ended June 30, 2026, from $0.8 million for the three months ended June 30, 2025. The decrease in other income (expense), net was primarily due to foreign currency exchange.</w:t>
      </w:r>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810" w:type="dxa"/>
        <w:jc w:val="left"/>
        <w:tblInd w:w="0" w:type="dxa"/>
        <w:tblLayout w:type="fixed"/>
        <w:tblCellMar>
          <w:top w:w="28" w:type="dxa"/>
          <w:left w:w="28" w:type="dxa"/>
          <w:bottom w:w="28" w:type="dxa"/>
          <w:right w:w="28" w:type="dxa"/>
        </w:tblCellMar>
      </w:tblPr>
      <w:tblGrid>
        <w:gridCol w:w="1000"/>
        <w:gridCol w:w="877"/>
        <w:gridCol w:w="883"/>
        <w:gridCol w:w="200"/>
        <w:gridCol w:w="414"/>
        <w:gridCol w:w="111"/>
        <w:gridCol w:w="111"/>
        <w:gridCol w:w="111"/>
        <w:gridCol w:w="111"/>
        <w:gridCol w:w="200"/>
        <w:gridCol w:w="429"/>
        <w:gridCol w:w="111"/>
        <w:gridCol w:w="109"/>
        <w:gridCol w:w="109"/>
        <w:gridCol w:w="109"/>
        <w:gridCol w:w="196"/>
        <w:gridCol w:w="496"/>
        <w:gridCol w:w="109"/>
        <w:gridCol w:w="109"/>
        <w:gridCol w:w="109"/>
        <w:gridCol w:w="109"/>
        <w:gridCol w:w="248"/>
        <w:gridCol w:w="248"/>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Loss from equity method investment was zero for the three months ended June 30, 2026 as the carrying value associated with the equity method investment in Transchip was zero as of June 30, 2026. Loss from equity method investment was $0.8 million for the three months ended June 30, 2025.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Provision for (benefit from) income taxes</w:t>
      </w:r>
    </w:p>
    <w:tbl>
      <w:tblPr>
        <w:tblW w:w="7034" w:type="dxa"/>
        <w:jc w:val="left"/>
        <w:tblInd w:w="0" w:type="dxa"/>
        <w:tblLayout w:type="fixed"/>
        <w:tblCellMar>
          <w:top w:w="28" w:type="dxa"/>
          <w:left w:w="28" w:type="dxa"/>
          <w:bottom w:w="28" w:type="dxa"/>
          <w:right w:w="28" w:type="dxa"/>
        </w:tblCellMar>
      </w:tblPr>
      <w:tblGrid>
        <w:gridCol w:w="1112"/>
        <w:gridCol w:w="977"/>
        <w:gridCol w:w="985"/>
        <w:gridCol w:w="198"/>
        <w:gridCol w:w="426"/>
        <w:gridCol w:w="110"/>
        <w:gridCol w:w="110"/>
        <w:gridCol w:w="110"/>
        <w:gridCol w:w="110"/>
        <w:gridCol w:w="198"/>
        <w:gridCol w:w="426"/>
        <w:gridCol w:w="110"/>
        <w:gridCol w:w="109"/>
        <w:gridCol w:w="109"/>
        <w:gridCol w:w="109"/>
        <w:gridCol w:w="196"/>
        <w:gridCol w:w="496"/>
        <w:gridCol w:w="109"/>
        <w:gridCol w:w="109"/>
        <w:gridCol w:w="109"/>
        <w:gridCol w:w="109"/>
        <w:gridCol w:w="203"/>
        <w:gridCol w:w="203"/>
        <w:gridCol w:w="301"/>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provision for income taxes remained relatively flat for the three months ended June 30, 2026 compared to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Comparison of the Six Months Ended June 30, 2026 and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w:t>
      </w:r>
    </w:p>
    <w:tbl>
      <w:tblPr>
        <w:tblW w:w="7210" w:type="dxa"/>
        <w:jc w:val="left"/>
        <w:tblInd w:w="0" w:type="dxa"/>
        <w:tblLayout w:type="fixed"/>
        <w:tblCellMar>
          <w:top w:w="28" w:type="dxa"/>
          <w:left w:w="28" w:type="dxa"/>
          <w:bottom w:w="28" w:type="dxa"/>
          <w:right w:w="28" w:type="dxa"/>
        </w:tblCellMar>
      </w:tblPr>
      <w:tblGrid>
        <w:gridCol w:w="995"/>
        <w:gridCol w:w="872"/>
        <w:gridCol w:w="877"/>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301"/>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Licensing, support and maintenance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royalties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 Not meaningful</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Revenue from licensing, support and maintenance increased by $9.7 million for the six months ended June 30, 2026, compared to the six months ended June 30, 2025. The increase was primarily due to the addition of new customers, new license arrangements with existing customers, and revenue for hardware security verification products that were introduced as part of the Cycuity acquisition. Growth in our variable royalty revenue was primarily due to an increase in product sales by certain existing customers, and the addition of new customers. The increase in professional services and other revenue during the six months ended June 30, 2026 was primarily due to revenue generated from hardware security verification services performed under contract with the U.S. government, a significant portion of which was delivered by third-party subcontractors. These subcontractor arrangements were introduced as part of the Cycuity acquisition and, as a result, there was no comparable revenue from such services during the six months ended June 30, 2025.</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w:t>
      </w:r>
    </w:p>
    <w:tbl>
      <w:tblPr>
        <w:tblW w:w="5576" w:type="dxa"/>
        <w:jc w:val="left"/>
        <w:tblInd w:w="0" w:type="dxa"/>
        <w:tblLayout w:type="fixed"/>
        <w:tblCellMar>
          <w:top w:w="28" w:type="dxa"/>
          <w:left w:w="28" w:type="dxa"/>
          <w:bottom w:w="28" w:type="dxa"/>
          <w:right w:w="28" w:type="dxa"/>
        </w:tblCellMar>
      </w:tblPr>
      <w:tblGrid>
        <w:gridCol w:w="467"/>
        <w:gridCol w:w="410"/>
        <w:gridCol w:w="41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0"/>
        <w:gridCol w:w="211"/>
        <w:gridCol w:w="301"/>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Cost of revenue increased by $3.6 million, or 110%, to $6.9 million for the six months ended June 30, 2026 from $3.3 million for the six months ended June 30, 2025. The increase in cost of revenue was primarily due to the use of third-party subcontractors fulfilling our U.S. government contracts, which were acquired as part of the Cycuity acquisition. We also incurred higher employee-related expenses, mainly driven by increased headcount of our application engineers.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Operating expenses</w:t>
      </w:r>
    </w:p>
    <w:tbl>
      <w:tblPr>
        <w:tblW w:w="6596" w:type="dxa"/>
        <w:jc w:val="left"/>
        <w:tblInd w:w="0" w:type="dxa"/>
        <w:tblLayout w:type="fixed"/>
        <w:tblCellMar>
          <w:top w:w="28" w:type="dxa"/>
          <w:left w:w="28" w:type="dxa"/>
          <w:bottom w:w="28" w:type="dxa"/>
          <w:right w:w="28" w:type="dxa"/>
        </w:tblCellMar>
      </w:tblPr>
      <w:tblGrid>
        <w:gridCol w:w="772"/>
        <w:gridCol w:w="677"/>
        <w:gridCol w:w="681"/>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65"/>
        <w:gridCol w:w="166"/>
        <w:gridCol w:w="30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 Not meaningful</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R&amp;D expenses increased by $7.2 million, or 30%, to $31.2 million for the six months ended June 30, 2026 from $24.0 million for the six months ended June 30, 2025. The increase in R&amp;D expenses was primarily due to higher investments in enhancing our existing products and developing next generation products. We incurred higher employee-related costs of $4.5 million due to increased headcount to support the growth of our business and from our acquisition of Cycuity, including stock-based compensation expense. We also incurred increased employer payroll taxes associated with the vesting of equity awards in certain jurisdictions of $1.2 million, higher professional fees of $0.6 million and higher amortization expense of $0.5 million recorded from our acquisition of Cycuity.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Sales and marketing expenses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S&amp;M expenses increased by $5.1 million, or 39%, to $17.9 million for the six months ended June 30, 2026 from $12.9 million for the six months ended June 30, 2025. The increase in S&amp;M expenses was primarily due to higher employee-related costs of $3.8 million due to increased headcount to support the growth of our business and from our acquisition of Cycuity, including stock-based compensation expense, as well as increased employer payroll taxes associated with the vesting of equity awards in certain jurisdictions. We also incurred higher amortization expense of $0.6 million related to intangible assets recorded from our acquisition of Cycuity, as well as higher travel and in-person sales event related costs of $0.3 million.</w:t>
      </w:r>
    </w:p>
    <w:p>
      <w:pPr>
        <w:pStyle w:val="TextBody"/>
        <w:bidi w:val="0"/>
        <w:spacing w:lineRule="auto" w:line="288" w:before="180" w:after="283"/>
        <w:jc w:val="both"/>
        <w:rPr>
          <w:rFonts w:ascii="Arial;sans-serif" w:hAnsi="Arial;sans-serif"/>
          <w:b w:val="false"/>
          <w:i/>
          <w:color w:val="000000"/>
          <w:sz w:val="20"/>
        </w:rPr>
      </w:pPr>
      <w:r>
        <w:rPr>
          <w:rFonts w:ascii="Arial;sans-serif" w:hAnsi="Arial;sans-serif"/>
          <w:b w:val="false"/>
          <w:i/>
          <w:color w:val="000000"/>
          <w:sz w:val="20"/>
        </w:rPr>
        <w:t>General and administrative expenses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G&amp;A expenses increased by $2.7 million, or 30%, to $11.5 million for the six months ended June 30, 2026 from $8.8 million for the six months ended June 30, 2025. The increase in G&amp;A expenses was primarily due to higher employee-related costs of $2.0 million, including stock-based compensation expense, mainly driven by increased headcount to support the growth of our business and increased headcount from our acquisition of Cycuity. We also incurred higher professional fees of $0.3 million, primarily related to post-acquisition activities in connection with the Cycuity acquisition.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Acquisition-related costs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Acquisition-related costs for the six months ended June 30, 2026 include a change in the fair value of the contingent consideration related to our acquisition of Cycuity of $2.1 million and professional fees including advisory, legal, accounting, valuation, other professional or consulting fees and integration costs associated with the acquisition of Cycuity of $0.7 million.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5095" w:type="dxa"/>
        <w:jc w:val="left"/>
        <w:tblInd w:w="0" w:type="dxa"/>
        <w:tblLayout w:type="fixed"/>
        <w:tblCellMar>
          <w:top w:w="28" w:type="dxa"/>
          <w:left w:w="28" w:type="dxa"/>
          <w:bottom w:w="28" w:type="dxa"/>
          <w:right w:w="28" w:type="dxa"/>
        </w:tblCellMar>
      </w:tblPr>
      <w:tblGrid>
        <w:gridCol w:w="489"/>
        <w:gridCol w:w="429"/>
        <w:gridCol w:w="431"/>
        <w:gridCol w:w="196"/>
        <w:gridCol w:w="406"/>
        <w:gridCol w:w="109"/>
        <w:gridCol w:w="109"/>
        <w:gridCol w:w="109"/>
        <w:gridCol w:w="109"/>
        <w:gridCol w:w="196"/>
        <w:gridCol w:w="406"/>
        <w:gridCol w:w="109"/>
        <w:gridCol w:w="109"/>
        <w:gridCol w:w="109"/>
        <w:gridCol w:w="109"/>
        <w:gridCol w:w="196"/>
        <w:gridCol w:w="331"/>
        <w:gridCol w:w="109"/>
        <w:gridCol w:w="109"/>
        <w:gridCol w:w="109"/>
        <w:gridCol w:w="109"/>
        <w:gridCol w:w="203"/>
        <w:gridCol w:w="203"/>
        <w:gridCol w:w="301"/>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Interest expense remained relatively flat for the six months ended June 30, 2026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Other income (expense), net</w:t>
      </w:r>
    </w:p>
    <w:tbl>
      <w:tblPr>
        <w:tblW w:w="6431" w:type="dxa"/>
        <w:jc w:val="left"/>
        <w:tblInd w:w="0" w:type="dxa"/>
        <w:tblLayout w:type="fixed"/>
        <w:tblCellMar>
          <w:top w:w="28" w:type="dxa"/>
          <w:left w:w="28" w:type="dxa"/>
          <w:bottom w:w="28" w:type="dxa"/>
          <w:right w:w="28" w:type="dxa"/>
        </w:tblCellMar>
      </w:tblPr>
      <w:tblGrid>
        <w:gridCol w:w="803"/>
        <w:gridCol w:w="706"/>
        <w:gridCol w:w="711"/>
        <w:gridCol w:w="196"/>
        <w:gridCol w:w="556"/>
        <w:gridCol w:w="109"/>
        <w:gridCol w:w="109"/>
        <w:gridCol w:w="109"/>
        <w:gridCol w:w="109"/>
        <w:gridCol w:w="196"/>
        <w:gridCol w:w="556"/>
        <w:gridCol w:w="109"/>
        <w:gridCol w:w="109"/>
        <w:gridCol w:w="109"/>
        <w:gridCol w:w="109"/>
        <w:gridCol w:w="196"/>
        <w:gridCol w:w="496"/>
        <w:gridCol w:w="109"/>
        <w:gridCol w:w="109"/>
        <w:gridCol w:w="109"/>
        <w:gridCol w:w="109"/>
        <w:gridCol w:w="203"/>
        <w:gridCol w:w="203"/>
        <w:gridCol w:w="301"/>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Other income (expense), net decreased by $0.3 million or 18%, to $1.2 million for the six months ended June 30, 2026, from $1.5 million for the six months ended June 30, 2025. The decrease in other income (expense), net was primarily related to foreign currency exchange, as well as lower interest income earned on our available-for-sale investments.</w:t>
      </w:r>
    </w:p>
    <w:p>
      <w:pPr>
        <w:pStyle w:val="TextBody"/>
        <w:bidi w:val="0"/>
        <w:spacing w:lineRule="auto" w:line="288" w:before="240" w:after="283"/>
        <w:jc w:val="both"/>
        <w:rPr>
          <w:rFonts w:ascii="Arial;sans-serif" w:hAnsi="Arial;sans-serif"/>
          <w:b/>
          <w:i/>
          <w:color w:val="000000"/>
          <w:sz w:val="19"/>
          <w:shd w:fill="FFFFFF" w:val="clear"/>
        </w:rPr>
      </w:pPr>
      <w:r>
        <w:rPr>
          <w:rFonts w:ascii="Arial;sans-serif" w:hAnsi="Arial;sans-serif"/>
          <w:b/>
          <w:i/>
          <w:color w:val="000000"/>
          <w:sz w:val="19"/>
          <w:shd w:fill="FFFFFF" w:val="clear"/>
        </w:rPr>
        <w:t>Loss from equity method investment</w:t>
      </w:r>
    </w:p>
    <w:tbl>
      <w:tblPr>
        <w:tblW w:w="6956" w:type="dxa"/>
        <w:jc w:val="left"/>
        <w:tblInd w:w="0" w:type="dxa"/>
        <w:tblLayout w:type="fixed"/>
        <w:tblCellMar>
          <w:top w:w="28" w:type="dxa"/>
          <w:left w:w="28" w:type="dxa"/>
          <w:bottom w:w="28" w:type="dxa"/>
          <w:right w:w="28" w:type="dxa"/>
        </w:tblCellMar>
      </w:tblPr>
      <w:tblGrid>
        <w:gridCol w:w="1000"/>
        <w:gridCol w:w="877"/>
        <w:gridCol w:w="88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65"/>
        <w:gridCol w:w="166"/>
        <w:gridCol w:w="301"/>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from equity method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Loss from equity method investment increased by $1.4 million or 87%, to $3.0 million for the six months ended June 30, 2026 from $1.6 million for the six months ended June 30, 2025. The increase in loss from equity method investment was primarily due to our share of Transchip’s stock-based compensation expense recognized during the three months ended March 31, 2026. As of June 30, 2026, there was no carrying value associated with the equity method investment in Transchip.</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Provision for (benefit from) income taxes</w:t>
      </w:r>
    </w:p>
    <w:tbl>
      <w:tblPr>
        <w:tblW w:w="7585" w:type="dxa"/>
        <w:jc w:val="left"/>
        <w:tblInd w:w="0" w:type="dxa"/>
        <w:tblLayout w:type="fixed"/>
        <w:tblCellMar>
          <w:top w:w="28" w:type="dxa"/>
          <w:left w:w="28" w:type="dxa"/>
          <w:bottom w:w="28" w:type="dxa"/>
          <w:right w:w="28" w:type="dxa"/>
        </w:tblCellMar>
      </w:tblPr>
      <w:tblGrid>
        <w:gridCol w:w="1112"/>
        <w:gridCol w:w="977"/>
        <w:gridCol w:w="985"/>
        <w:gridCol w:w="196"/>
        <w:gridCol w:w="631"/>
        <w:gridCol w:w="109"/>
        <w:gridCol w:w="109"/>
        <w:gridCol w:w="109"/>
        <w:gridCol w:w="109"/>
        <w:gridCol w:w="196"/>
        <w:gridCol w:w="556"/>
        <w:gridCol w:w="109"/>
        <w:gridCol w:w="109"/>
        <w:gridCol w:w="109"/>
        <w:gridCol w:w="109"/>
        <w:gridCol w:w="196"/>
        <w:gridCol w:w="631"/>
        <w:gridCol w:w="109"/>
        <w:gridCol w:w="109"/>
        <w:gridCol w:w="109"/>
        <w:gridCol w:w="109"/>
        <w:gridCol w:w="248"/>
        <w:gridCol w:w="248"/>
        <w:gridCol w:w="301"/>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(benefit from)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provision for (benefit from) income taxes for the six months ended June 30, 2026 was a benefit of $3.0 million, compared to an expense of $1.1 million for the six months ended June 30, 2025. The decrease in income tax expense for the period ended June 30, 2026, compared to the period ended June 30, 2025, was primarily driven by the income tax benefit from the partial valuation allowance release associated with the intangible assets acquired from Cycuity during the three months ended March 31, 2026, which were partially offset by a change in the forecasted geographic mix of worldwide earnings which are taxed at different statutory tax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Since inception, we have financed operations primarily from payments received from our customers, the net proceeds from the sale of our common stock in the IPO as well as the net proceeds from the private issuance of our convertible preferred stock and common stock. As of June 30, 2026, we had $122.1 million in cash and cash equivalents and short-term investments of which $4.9 million was held by our foreign subsidiaries. In addition, as of June 30, 2026, we also had $1.2 million in long-term investments.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In December 2025, we filed a Registration Statement on Form S-3 covering the offering of up to $200.0 million of common stock, preferred stock, debt securities, warrants and units, which was declared effective by the SEC in December 2025 (the S-3 Registration Statement). In December 2025, we also entered into an Open Market Sales Agreement (the Sales Agreement) with Jefferies LLC as sales agent to sell shares of our common stock, from time to time, with aggregate gross sales proceeds of up to $75.0 million pursuant to the S-3 Registration Statement as an “at-the-market” offering under the Securities Act (the 2025 ATM Offering Program). During the three months ended June 30, 2026, we utilized the 2025 ATM Offering Program and sold 2,041,487 shares of common stock for gross proceeds of $73.8 million, before deducting commissions and offering-related costs of $2.3 million. Net proceeds of $71.5 million from these sales were recorded in additional paid-in capital within stockholders’ equity. During the six months ended June 30, 2026, we utilized the 2025 ATM Offering Program and sold 2,111,123 shares of common stock at an average price of $35.53 per share for gross proceeds of $75.0 million, before deducting commissions and offering-related costs of $3.0 million, thereby fully exhausting the aggregate amount of common stock that may be sold pursuant to the Sales Agreement. Net proceeds of $72.0 million from these sales were recorded in additional paid-in capital within stockholders’ equity.</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believe our cash and cash equivalents,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Cash Flows </w:t>
      </w:r>
    </w:p>
    <w:p>
      <w:pPr>
        <w:pStyle w:val="TextBody"/>
        <w:bidi w:val="0"/>
        <w:spacing w:lineRule="auto" w:line="288" w:before="24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changes in our cash flows for the periods indicated:</w:t>
      </w:r>
    </w:p>
    <w:tbl>
      <w:tblPr>
        <w:tblW w:w="5994" w:type="dxa"/>
        <w:jc w:val="left"/>
        <w:tblInd w:w="0" w:type="dxa"/>
        <w:tblLayout w:type="fixed"/>
        <w:tblCellMar>
          <w:top w:w="28" w:type="dxa"/>
          <w:left w:w="28" w:type="dxa"/>
          <w:bottom w:w="28" w:type="dxa"/>
          <w:right w:w="28" w:type="dxa"/>
        </w:tblCellMar>
      </w:tblPr>
      <w:tblGrid>
        <w:gridCol w:w="1351"/>
        <w:gridCol w:w="1187"/>
        <w:gridCol w:w="1197"/>
        <w:gridCol w:w="196"/>
        <w:gridCol w:w="721"/>
        <w:gridCol w:w="109"/>
        <w:gridCol w:w="109"/>
        <w:gridCol w:w="109"/>
        <w:gridCol w:w="109"/>
        <w:gridCol w:w="196"/>
        <w:gridCol w:w="55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w:t>
              <w:br/>
              <w:t>June 30,</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and obligations under our property leases. Our primary source of cash inflows is receipts from our customers. The timing of receipts of accounts receivable from customers is based upon the completion of agreed milestones or agreed dates as set forth in the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For the six months ended June 30, 2026, net cash provided by operating activities was $2.1 million, primarily due to our net loss of $22.0 million, adjusted for non-cash charges of $15.0 million and $9.2 million changes in operating assets and liabilities. Non-cash charges primarily consisted of stock-based compensation of $11.9 million, loss from our equity method investment of $3.0 million, depreciation and amortization of $2.9 million, and change in fair value of contingent consideration liability of $2.1 million, partially offset by deferred income taxes due to release of a portion of valuation allowance as a result of our business combination of $4.1 million, amortization of deferred income of $0.6 million and net accretion of discounts on available-for-sale securities of $0.1 million. The drivers of the changes in operating assets and liabilities were a $10.1 million increase in deferred revenue, and a $5.4 million decrease in accounts receivable, partially offset by a $2.9 million decrease in accrued expenses and other liabilities, a $2.5 million increase in prepaid expense and other assets, and a $0.8 million decrease in accounts payable.</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For the six months ended June 30, 2025, net cash provided by operating activities was $0.4 million, primarily due to our net loss of $17.3 million, adjusted for non-cash charges of $11.7 million and $6.0 million changes in operating assets and liabilities. Non-cash charges primarily consisted of stock-based compensation of $8.8 million, depreciation and amortization of $1.7 million, and loss from our equity method investment of $1.6 million, partially offset by amortization of deferred income of $0.6 million and net accretion of discounts on available-for-sale securities of $0.2 million. The drivers of the changes in operating assets and liabilities were a $6.3 million increase in deferred revenue, a $1.9 million decrease in accounts receivable, and a $0.3 million increase in accounts payable, partially offset by a $2.3 million increase in prepaid expense and other assets and a $0.3 million decrease in accrued expenses and other liabilities.</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cash used in investing activities for the six months ended June 30, 2026 was $16.4 million, primarily attributable to $11.2 million of payments for business combination, net of $3.9 million of cash acquired, purchases of available-for-sale securities of $16.3 million and purchases of property and equipment of $0.9 million, partially offset by proceeds from maturities of available-for-sale securities of $12.0 million.</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cash provided by investing activities for the six months ended June 30, 2025 was $0.6 million, primarily attributable to proceeds from maturities of available-for-sale securities, partially offset by purchases of available-for-sale securities and property and equipment.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cash provided by financing activities for the six months ended June 30, 2026 was $73.6 million, primarily attributable to sales of common stock through the 2025 ATM Offering Program, net of commissions and offering-related costs of $72.5 million, proceeds from exercise of stock options of $1.0 million and proceeds from employee stock purchase plan of $0.6 million, partially offset by principal payments of vendor financing arrangements of $0.7 million.</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Net cash provided by financing activities for the six months ended June 30, 2025 was $1.5 million, primarily attributable to proceeds from exercise of stock options and employee stock purchase plan, primarily offset by principal payments under vendor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both"/>
        <w:rPr>
          <w:rFonts w:ascii="Arial;sans-serif" w:hAnsi="Arial;sans-serif"/>
          <w:b/>
          <w:color w:val="000000"/>
          <w:sz w:val="20"/>
          <w:shd w:fill="FFFFFF" w:val="clear"/>
        </w:rPr>
      </w:pPr>
      <w:r>
        <w:rPr>
          <w:rFonts w:ascii="Arial;sans-serif" w:hAnsi="Arial;sans-serif"/>
          <w:b/>
          <w:color w:val="000000"/>
          <w:sz w:val="20"/>
          <w:shd w:fill="FFFFFF" w:val="clear"/>
        </w:rPr>
        <w:t xml:space="preserve">Critical Accounting Estimates </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There have been no material changes to our critical accounting estimates as compared to those described in “Management’s Discussion and Analysis of Financial Condition and Results of Operations” set forth in our 2025 Form 10-K, other than those discussed in Note 2 to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Recently Issued and Adopted Accounting Pronouncements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JOBS Act </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2025 Form 10-K. As a result, our financial statements may not be comparable to companies that comply with new or revised accounting pronouncements as of public company effective dates.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will cease to be an emerging growth company on December 31, 2026, which represents the end of the fiscal year in which the fifth anniversary of the date of our IPO prospectus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Not required for the Company as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Evaluation of Disclosure Controls and Procedures</w:t>
      </w:r>
    </w:p>
    <w:p>
      <w:pPr>
        <w:pStyle w:val="TextBody"/>
        <w:bidi w:val="0"/>
        <w:spacing w:lineRule="auto" w:line="288" w:before="24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management, with the participation of our Chief Executive Officer (CEO) and Chief Financial Officer (CFO),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CEO and CFO concluded that, as of the end of the period covered by this Quarterly Report on Form 10-Q, our disclosure controls and procedures were effective at the reasonable assurance level.</w:t>
      </w:r>
    </w:p>
    <w:p>
      <w:pPr>
        <w:pStyle w:val="TextBody"/>
        <w:bidi w:val="0"/>
        <w:spacing w:lineRule="auto" w:line="288" w:before="240" w:after="283"/>
        <w:jc w:val="both"/>
        <w:rPr>
          <w:rFonts w:ascii="Arial;sans-serif" w:hAnsi="Arial;sans-serif"/>
          <w:b/>
          <w:i/>
          <w:color w:val="000000"/>
          <w:sz w:val="20"/>
          <w:shd w:fill="FFFFFF" w:val="clear"/>
        </w:rPr>
      </w:pPr>
      <w:r>
        <w:rPr>
          <w:rFonts w:ascii="Arial;sans-serif" w:hAnsi="Arial;sans-serif"/>
          <w:b/>
          <w:i/>
          <w:color w:val="000000"/>
          <w:sz w:val="20"/>
          <w:shd w:fill="FFFFFF" w:val="clear"/>
        </w:rPr>
        <w:t>Changes in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Inherent Limitations on Effectiveness of Controls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including our CEO and CFO,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See Note 11 Commitments and Contingencies, to our unaudited condensed consolidated financial statements included elsewhere in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Item 1A. Risk Factors</w:t>
      </w:r>
    </w:p>
    <w:p>
      <w:pPr>
        <w:pStyle w:val="TextBody"/>
        <w:bidi w:val="0"/>
        <w:spacing w:lineRule="auto" w:line="288" w:before="18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an event, the trading price of our common stock could decline, and you could lose all or part of your investment. Additional risks and uncertainties not presently known to us or not believed by us to be material may also negatively impact us.</w:t>
      </w:r>
    </w:p>
    <w:p>
      <w:pPr>
        <w:pStyle w:val="TextBody"/>
        <w:bidi w:val="0"/>
        <w:spacing w:lineRule="auto" w:line="288" w:before="240" w:after="283"/>
        <w:jc w:val="left"/>
        <w:rPr>
          <w:rFonts w:ascii="Arial;sans-serif" w:hAnsi="Arial;sans-serif"/>
          <w:b/>
          <w:color w:val="000000"/>
          <w:sz w:val="19"/>
          <w:shd w:fill="FFFFFF" w:val="clear"/>
        </w:rPr>
      </w:pPr>
      <w:r>
        <w:rPr>
          <w:rFonts w:ascii="Arial;sans-serif" w:hAnsi="Arial;sans-serif"/>
          <w:b/>
          <w:color w:val="000000"/>
          <w:sz w:val="19"/>
          <w:shd w:fill="FFFFFF" w:val="clear"/>
        </w:rPr>
        <w:t>Risk Factors Summary</w:t>
      </w:r>
    </w:p>
    <w:p>
      <w:pPr>
        <w:pStyle w:val="TextBody"/>
        <w:bidi w:val="0"/>
        <w:spacing w:lineRule="auto" w:line="288" w:before="120" w:after="283"/>
        <w:jc w:val="both"/>
        <w:rPr>
          <w:rFonts w:ascii="Arial;sans-serif" w:hAnsi="Arial;sans-serif"/>
          <w:b w:val="false"/>
          <w:i/>
          <w:color w:val="000000"/>
          <w:sz w:val="19"/>
          <w:shd w:fill="FFFFFF" w:val="clear"/>
        </w:rPr>
      </w:pPr>
      <w:r>
        <w:rPr>
          <w:rFonts w:ascii="Arial;sans-serif" w:hAnsi="Arial;sans-serif"/>
          <w:b w:val="false"/>
          <w:i/>
          <w:color w:val="000000"/>
          <w:sz w:val="19"/>
          <w:shd w:fill="FFFFFF" w:val="clear"/>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 but is not limited to,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We face significant competition from larger companies and third-party providers that may deploy their resources so they can develop their IP solutions internally;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have a history of net losses, and we may not achieve or maintain profitability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Because our IP solutions are components of end products, if semiconductor, system producers and/or end product producer companies in the aerospace and defense market, automotive market, communications market, consumer electronics market, enterprise computing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depend on market acceptance of third-party semiconductor 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Even if we succeed in securing design wins for our IP interconnect and other solutions and our System-on-Chip (</w:t>
      </w:r>
      <w:r>
        <w:rPr>
          <w:rFonts w:ascii="Arial;sans-serif" w:hAnsi="Arial;sans-serif"/>
          <w:b w:val="false"/>
          <w:color w:val="000000"/>
          <w:sz w:val="19"/>
        </w:rPr>
        <w:t>SoC) Integration Automation software solutions</w:t>
      </w:r>
      <w:r>
        <w:rPr>
          <w:rFonts w:ascii="Arial;sans-serif" w:hAnsi="Arial;sans-serif"/>
          <w:b w:val="false"/>
          <w:color w:val="000000"/>
          <w:sz w:val="19"/>
          <w:shd w:fill="FFFFFF" w:val="clear"/>
        </w:rPr>
        <w:t>, we may not generate timely or sufficient margins or margins from those wins and our financial results could suffer;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Product errors or defects could expose us to liability and harm our reputation and we could lose market share;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If we fail to offer high-quality products and support, our reputation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dependence on international customers and operations also subjects us to a range of other additional regulatory, trade policy, operational, financial, and political risks that could adversely affect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shd w:fill="FFFFFF" w:val="clear"/>
        </w:rPr>
        <w:t>Changes in legislation and regulation in the United States and other countries, including new trade policies and the imposition of tariffs, may adversely impact our business and our customers’ businesses, and may impact our results of operations and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If we are unable to protect our proprietary technology and inventions through patents and other intellectual property rights, or experience a high level of artificial intelligence (AI) related product disruption, our ability to compete successfully and our financial results could be adversely impacted;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shd w:fill="FFFFFF" w:val="clear"/>
        </w:rPr>
        <w:t>We are subject to government regulations, including import, export and economic sanctions laws and artificial intelligence regulations that may restrict our ability to sell to or get paid by customers in certain regions, or expose us to liability and increase our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face risks associated with doing business in China; and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Litigation, including securities class action litigation, may impair our reputation and lead us to incur significant costs. </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Our Business and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significant competition from larger companies and third-party providers that may deploy their resources so they can develop their IP solutions internally.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industries characterized by rapidly changing technologies as well as rapid innovation and technological obsolescence. The appearance of new competitors, including start-up enterprises,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Arm and Cadence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compete in our market is subject to a variety of factors, many of which are beyond our control. The occurrence of any of the below could adversely affect our ability to compete and harm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anticipate and lead critical product development cycles and technological shifts as driven by our target markets, to innovate rapidly and efficiently and to improve our existing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competitor substantially increases its engineering and marketing resources to compete with us in the semiconductor IP interconnect and SoC Integration Automation software technology arena.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 new entrant with substantially greater resources and/or supported by governmental resources decides to enter the markets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Whether any existing or new competitor bundles its technologies into one package at a discounted price that would make it uneconomical for our customers to license our products separately.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challenges of developing, or acquiring externally developed, technology solutions that are adequate and competitive in meeting the rapidly evolving requirements of next-generation design challenges.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ability to compete on the basis of payment, pricing, features and/or terms.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Decisions by semiconductor companies, fabless chip design or system companies, device or other end product producers, and/or OEMs to develop IP development internally, rather than license IP from outside vendors due to budget constraints or excess engineering capacity.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 or to impose tariffs.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Actions by regulators or governmental entities to modify or augment tax treatment of our product and service offerings.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impact of global and regional inflation on our and our customers’ profitability and expansion plans due to among other effects of inflation, increases in wages, availability of capital, salaries, operating expenses, and costs of insurance, benefits and medical coverage.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of geopolitical conflicts, such as the military conflict involving Iran, and between Russia and Ukraine, including retaliatory, military and regulatory actions, or other actions that escalate tensions, including with respect to the conflict in Israel, actions involving Iran and other groups in the Middle East and the partial or full closure of the Strait of Hormuz, on our customers’ engineering resources, the economy as a whole, design schedules, purchasing, development, sales and innovation responses and trends in response to such conflicts. Many of the Company’s customers located or having operations or sales in the affected regions, particularly small to medium enterprises, are experiencing extended challenges raising money leading to cutbacks and project delays impacting the Company’s target market opportunities in the region.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Competition, embargoes, sanctions, boycotts and/or social unrest.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Local or international economic headwind trends that may lead to recessions, economic slowdowns or sudden changes in the economic needs of regions and consumers.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Silicon chip supply chain and shipment volume restrictions on our customers and their end customers that will impact the amount of royalties payable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be unable to reduce the cost of our products sufficiently to compete effectively against our competitors. Our cost reduction efforts may not allow us to keep pace with competitive pricing pressures and/or other economic factors including inflation, impact from and response to U.S. trade policy,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a history of net losses, and we may not achieve or maintain profitability in the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net losses in certain periods historically. We incurred a net loss of $22.0 million and $17.3 million for the six months ended June 30, 2026 and 2025, respectively. As of June 30, 2026, we had an accumulated deficit of $193.7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factors, and market disruptions and/or fluctuations, inflation, economic slowdown and/or recessionary pressures and other global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long-term success is dependent upon our ability to successfully market our interconnect IP and SoC Integration Automation software solutions, develop new interconnect IP and SoC Integration Automation software solutions, earn revenue, obtain additional capital when needed and, ultimately, to maintain profitable operations globally.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pStyle w:val="TextBody"/>
        <w:bidi w:val="0"/>
        <w:spacing w:lineRule="auto" w:line="288" w:before="180" w:after="283"/>
        <w:jc w:val="both"/>
        <w:rPr/>
      </w:pPr>
      <w:r>
        <w:rPr>
          <w:rFonts w:ascii="Arial;sans-serif" w:hAnsi="Arial;sans-serif"/>
          <w:b/>
          <w:i/>
          <w:color w:val="000000"/>
          <w:sz w:val="19"/>
          <w:shd w:fill="FFFFFF" w:val="clear"/>
        </w:rPr>
        <w:t>Because our IP solutions are components of end products, if semiconductor, system producers and/or end product producer companies in the aerospace and defense market</w:t>
      </w:r>
      <w:r>
        <w:rPr>
          <w:rFonts w:ascii="Arial;sans-serif" w:hAnsi="Arial;sans-serif"/>
          <w:b w:val="false"/>
          <w:color w:val="000000"/>
          <w:sz w:val="19"/>
          <w:shd w:fill="FFFFFF" w:val="clear"/>
        </w:rPr>
        <w:t xml:space="preserve">, </w:t>
      </w:r>
      <w:r>
        <w:rPr>
          <w:rFonts w:ascii="Arial;sans-serif" w:hAnsi="Arial;sans-serif"/>
          <w:b/>
          <w:i/>
          <w:color w:val="000000"/>
          <w:sz w:val="19"/>
        </w:rPr>
        <w:t>automotive market, communications market, consumer electronics market, enterprise computing market, and industrial market do not incorporate our solutions into their end products or if the end products of our customers do not achieve market acceptance, we may not be able to generate adequate license sales and royalty income from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IP solutions include technology that manages on-chip communications in SoC semiconductor devices. We do not license our IP solutions and deployment tools directly to end-users; we license our technology primarily to companies in the aerospace and defense market, automotive market, communications market, consumer electronics market, enterprise computing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conflicts, volatile energy market conditions, sanctions, and competition) that may prolong the customers’ decision-making process and design cycle.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growth and economic stability in the end markets that use our products. Any slowdown in the growth and economic stability of these end markets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continued success depends in large part on general economic growth and stability, and growth and stability within our target markets in the aerospace and defense market, automotive market, communications market, consumer electronics market, enterprise computing market, and industrial market. Factors affecting these markets could seriously harm our customers and/or end customers and, as a result, harm us, examples of which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Reduced sales of our customers’ and/or end customers’ products.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effects of catastrophic and other disruptive events at our customers’ and/or end customers’ offices or facilities including, but not limited to, natural disasters, telecommunications failures, cyber-attacks, terrorist attacks, regional wars or conflicts, pandemics, epidemics or other outbreaks of infectious disease, breaches of security or loss of critical data.</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Increased costs associated with potential disruptions to our customers’ and/or end markets’ supply chain and other manufacturing and production operations.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deterioration of our customers’ and/or end customers’ financial condition.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Delays and project cancellations as a result of design flaws in the products developed by our customers and/or end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expand or dedicate the resources necessary to promote and commercialize their 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inability of our customers and/or end customers to adapt to changing technological demands resulting in their products becoming obsolete.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failure of our customers’ and/or end customers’ products to achieve market success and gain broad market acceptance.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Disruption and uncertainty caused by new developments in U.S. trade and tariff policy, reciprocal tariffs imposed by other countries, export, foreign direct investment, and related regulations.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Regional and global effects of inflation or other adverse economic conditions, such as rising interest rates, recessions or economic slowdowns, resulting in delays or cancellations of new product design starts.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Adverse impact of multiple interest rate increases implemented and forecasted by the U.S. Federal Reserve.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or changes to incentives, delays in the deployment of electric vehicles and automated driving, or the emergence of economic instability in end markets arising from factors such as inflationary trends, interest rate fluctuations and general economic uncertainty, deteriorating purchasing power, trade or supply chain disruptions and regional and/or worldwide chip shortages or excess supply, demand fluctuations, unemployment spikes, labor shortages or end market reactions to regional or global geopolitical uncertainties, wars, excursions or conflicts, or other factors beyond our control, it would adversely affect demand for our products from customers and royalty revenue and impact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market acceptance of third-party semiconductor IP.</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SoC Integration Automation software. Furthermore, the third-party licensable IP model is highly dependent on the market adoption of new services and products, including in the aerospace and defense market, automotive market, communications market, consumer electronics market, enterprise computing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trends that would enable our growth are largely beyond our control. Semiconductor customers also may choose to adopt a multi-chip, off-the-shelf chip solution versus licensing or using highly integrated chipsets that embed our technologies or use our deployment software. If these market shifts do not materialize or third-party semiconductor IP does not achieve market acceptance, our business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success of our business depends on sustaining or growing our licensing revenue, and the failure to achieve such revenue would lead to a material decline in our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our customer acquisition cycle for new licenses and license renewals for existing licensees can be lengthy, typically between six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nature of the design win process requires us to incur significant expenses without any guarantee that research and development and sales efforts will generate revenue, which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a significant portion of our revenue in any period may depend on a single product design win with a large customer. As a result, the loss of any key design win or any significant delay in the ramp of volume production of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pStyle w:val="TextBody"/>
        <w:bidi w:val="0"/>
        <w:spacing w:lineRule="auto" w:line="288" w:before="180" w:after="283"/>
        <w:jc w:val="both"/>
        <w:rPr/>
      </w:pPr>
      <w:r>
        <w:rPr>
          <w:rFonts w:ascii="Arial;sans-serif" w:hAnsi="Arial;sans-serif"/>
          <w:b/>
          <w:i/>
          <w:color w:val="000000"/>
          <w:sz w:val="19"/>
          <w:shd w:fill="FFFFFF" w:val="clear"/>
        </w:rPr>
        <w:t xml:space="preserve">Even if we succeed in securing design wins for our IP interconnect and other solutions and our </w:t>
      </w:r>
      <w:r>
        <w:rPr>
          <w:rFonts w:ascii="Arial;sans-serif" w:hAnsi="Arial;sans-serif"/>
          <w:b/>
          <w:i/>
          <w:color w:val="000000"/>
          <w:sz w:val="19"/>
        </w:rPr>
        <w:t xml:space="preserve">SoC Integration Automation software </w:t>
      </w:r>
      <w:r>
        <w:rPr>
          <w:rFonts w:ascii="Arial;sans-serif" w:hAnsi="Arial;sans-serif"/>
          <w:b/>
          <w:i/>
          <w:color w:val="000000"/>
          <w:sz w:val="19"/>
          <w:shd w:fill="FFFFFF" w:val="clear"/>
        </w:rPr>
        <w:t>solutions, we may not generate timely or sufficient margins or margins from those wins and our financial results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Changing customer requirements, resulting in an extended development cycle for the product.</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Delay in the ramp-up of volume production of the customers’ products into which our solutions are designed.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Delay or cancellation of the customers’ product development plans.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or competitive pressures to reduce the selling price of the customers’ end-products.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Lower than expected acceptance of the customers’ end-products.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continually pursue new IP interconnect, SoC integration automation, and other technology initiatives, and if we fail to successfully carry out these initiatives,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As part of the evolution of our business, we have made substantial investments to develop IP interconnect, SoC integration automation solutions, other technology initiatives, such as chip level hardware security solutions in connection with the Cycuity acquisition,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aerospace and defense market, automotive market, communications market, consumer electronics market, enterprise computing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SoC Integration Automation software solutions in a timely and cost-effective manner, or if we fail to introduce new technologies that meet market demand, we may lose our competitive position, our products may become obsolete, and our business could be harmed.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new technologies and products may not be profitable, and even if they are profitable, operating margins for new products and businesses may not be as high as the margins we have experienced historically or originally anticipated.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from time to time, we invest in expansion into adjacent markets, including the acquisitions of Magillem, Semifore and Cycuity, and our growth into the IP interconnect and SoC Integration Automation software solutions market. Although we believe these solutions are complementary to our IP interconnect solutions, we have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depends on a variety of factors, including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continue to attract new customers in industries in which we have less experience.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successful development of sales and marketing strategies that meet customer requirements.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accurately predict, prepare for, and promptly respond to technological developments in existing and new fields.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SoC Integration Automation software solutions.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continually balance our investment in adjacent markets with investment in our existing products and services.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Our ability to attract and retain employees with expertise in new or emerging fields affecting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stagflationary or recessionary pressures, export and trade controls, and pandemics,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fundamental shift in technologies, regulatory, trade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have to invest more resources in research and development than anticipated, which could increase our operating expenses and negatively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currently devote substantial resources to the research and development of new and enhanced interconnect IP and SoC Integration Automation software solutions, and hardware security verification software products.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may also decide to increase our research and development investment to seize customer or market opportunities, which could negatively impact our financial results.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expect that we will continue to experience hiring challenges, including for engineering resources.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Product errors or defects could expose us to liability and harm our reputation and we could lose market share.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SoC Integration Automation software solutions, could delay the development or release of new solutions or new versions and could adversely affect market acceptance or perception of our technology. In addition, any allegations of quality issues resulting from use of our IP interconnect and other solutions or semiconductor design efficiency issues resulting from our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offer high-quality products and support, our reputation could suffer.</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Interconnect IP and SoC Integration Automation software technology is complex and rapidly changing, and the quality of the products and our ability to provide timely and effective support is critical for the successful deployment of our IP in our customers’ designs. We maintain a team of corporate and field application engineers in our global support organization and continue to pursue initiatives to enhance our customer support. High-quality, well-trained support is important for customer retention. The importance of our support function has increased as we expand our business in chiplets and multi-die applications to meet the needs of the market and appeal to new customers. If we do not or cannot help our customers quickly resolve issues and provide effective ongoing support, our ability to maintain and expand our offerings to existing and new customers could suffer, and our reputation with existing or potential customers could suffer.</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dependence on international customers and operations also subjects us to a range of other additional regulatory, trade policy, operational, financial, and political risks that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derived 60.3% of our revenue for the year ended December 31, 2025 from sales to customers outside of the United States. In particular, we derived 24.5% of our revenue for the year ended December 31, 2025 from customers located in China. For the six months ended June 30, 2026, 58.4% of our revenue was derived from sales to customers outside of the United States and 23.2%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Poland, China, South Korea, and Japan. Moreover, conducting business outside the United States subjects us to a number of additional risks and challenges,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Changes in a specific country’s or region’s political, regulatory or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Imposition of or changes to export control regulations, tariff policy and other barriers, restrictions and regional stability measures, such as the tariffs announced by the United States, in particular with respect to China but also announced tariffs such as the tariffs on countries in the European Union, and any retaliatory tariffs or measures, including countermeasures by China, countries in the European Union, or other countries, that could negatively impact trade between, or increase the cost of operating in, or increase the cost of or negatively impact the demand for our products or our customers' products in, the countries in which we do business. </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pandemic, epidemic or other outbreak of an infectious disease, which may cause us or our distributors, vendors and/or customers to temporarily suspend our or their respective operations in the affected city or country or completely.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Difficulties and costs of staffing and managing international operations across different geographic areas, time zones and cultures.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diplomatic and trade relationships and uncertainties around the current U.S. administration’s policies, including tariffs and reciprocal tariffs, create a highly unpredictable and volatile business environment, a potential increased likelihood of recession, potential slowdown in capital markets, and potential impacts to the valuation of the U.S. dollar and other currencies.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Potential political, legal and economic instability, armed conflict, and civil unrest in the countries in which we and our customers are located.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Difficulty and costs of maintaining effective data security particularly as state-sponsored threats and cyber espionage incidents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Inadequate protection of our intellectual property.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Nationalization and the uncertain impact on the perception or reputation of our products or services in foreign markets.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the transfer of funds to and from foreign countries, including withholding taxes and other potentially negative tax consequences.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Unfavorable and/or changing foreign tax treaties and policies.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exposure to general market and economic conditions inside and outside of the United States.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regulatory uncertainties with respect to our wholly foreign-owned enterprise operating in China and any joint ventures we may form or contribute IP or other resources to in the future.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Trends such as global and regional inflation, supply shortages and supply chain disruptions, geopolitical tensions, wars, excursions or conflicts and retaliatory actions and regulations affecting or relating to regions such as but not limited to Ukraine, Russia, Eastern Europe, the Strait of Hormuz, Israel and Iran and the Middle East, or in the Greater China region, may lead to the deterioration of our immediate customers’ and/or end market customers’ ability and/or willingness to purchase, use, develop, market or sell products or solutions that incorporate or are made while using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These factors, individually or in combination, could impair our ability to effectively operate one or more of our foreign facilities or deliver our semiconductor IP or SoC Integration Automation software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Downturns or volatility in general economic conditions, including because of geopolitical and macroeconomic conditions in the countries in which we conduct business,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revenue, gross margin, and ability to achieve and maintain profitability depend significantly on general economic conditions and the demand for products in the markets in which our customers compete. Weaknesses in the global economy and financial markets and any adverse changes in general domestic and global economic conditions that may occur in the future, including any recession, economic slowdown or disruption of credit markets, may lead to lower demand for products that incorporate our solutions, including in the aerospace and defense market, automotive market, communications market, consumer electronics market, enterprise computing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disruption in the credit markets could also impede our access to capital. If we have limited access to additional financing sources, we may be required to defer capital expenditure or seek other sources of liquidity, which may not be available to us on acceptable terms or at all. All of these factors related to global economic conditions, which are beyond our control,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Changes in legislation and regulation in the United States and other countries, including new and revised trade policies and the imposition of tariffs, may adversely impact our business and our customers’ businesses, and may impact our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operate in a highly regulated industry and our business is dependent on a number of external factors, including U.S. and global financial economic conditions, inflation, changes in the U.S. political landscape, each of which has and could significantly impact our business. The U.S. government administration has made, and continues to make, substantial modifications to laws and regulations, including, but not limited to, those related to trade policies, imposition of tariffs, export controls and technology transfers as well as certain rules and regulations related to diversity, equity and inclusion practices. Executive orders and legislative actions have and could continue to alter the business environment in which we operate and result in adverse impacts to our business, results of operations and financial condition.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For example, U.S. and Chinese governments may continue to enact changes in government trade policies, including the imposition of additional tariffs on countries where we do significant business that have and could adversely impact our ability to sell products globally, particularly in China. We cannot predict what actions may ultimately be taken with respect to tariffs or trade relations between the United States and U.S. trading partners including China and the European Union, or what actions may be taken by the trading partners in response. It is difficult to anticipate the timing or duration and macro-economic impacts of such tariffs, export restrictions, or other regulatory actions. These government trade policies are likely to materially adversely affect our customers and our business, impeding our ability to develop relationships with new customers in trade partner countries including with China and countries in the European Union.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changing regulatory policies, in particular in the United States, can affect regulatory and compliance costs and future revenues, all of which could materially and adversely affect our business operations and financial results. Changes in federal policy by the executive branch and regulatory agencies and personnel may occur over time, which could lead to changes in the level of oversight and focus on our industry including new laws, regulations and policies. At this time, it is unclear what laws, regulations and policies may change and whether future changes or uncertainty surrounding future changes will adversely affect our operating environment and therefore our business operations and financial results. Changes in federal and state laws and regulations, as well as the interpretation and implementation of any laws, executive orders, and regulations, could affect us in substantial and unpredictable ways.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legislation and regulation have and could continue to create a highly unpredictable and volatile business environment, which could result in a recession, potential slowdown in capital markets, and potential impacts to the valuation of the U.S. dollar and other currencies.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cyclical nature of the semiconductor industry, including significant supply chain disruption, may limit our ability to maintain or improve our revenue.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wars, conflicts and geopolitical tensions and wide fluctuations in product supply and demand, all of which can result in significant declines in semiconductor demand. We have experienced downturns in the past and may experience such downturns in the future, including the potential likelihood of a recession. For example, the industry experienced a significant downturn in connection with the global recession in 2008, and further downturns in 2020 and 2022, which were prolonged as a result of the economic impact of the COVID-19 pandemic. These downturns have been characterized by diminished product demand, production overcapacity, high inventory levels and accelerated erosion of average selling prices. In the past several years, downturns in the semiconductor industry have been attributed to a variety of factors, including the COVID-19 pandemic, ongoing trade disputes among the United States and other countries including China, resulting in weakness in demand and pricing for semiconductors across applications and excess inventory.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Economic downturns have directly impacted our business, as has been the case with many other companies, suppliers, distributors and customers in the semiconductor industry and other industries around the world, and any prolonged or significant future or continuing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has also faced significant global supply chain issues as a result of the impact both on demand for devices as well as the increasing demand for semiconductors in consumer devices, automobiles and artificial intelligence, which together have resulted in the inability of fabrication plants to produce sufficient quantities of chips to meet demand, supply chain shortages and other disruptions. Numerous factors, including any further trade tensions and escalating countermeasures between the United States and China, as well as any revisions to U.S. regulations governing the export of certain semiconductor related hardware and software to China and any geopolitical changes in China-Taiwan relations may prolong or deepen these challenges faced by the industry.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revenue has been concentrated among a small number of licensees and customers, and if we lose any of these customers and fail to replace them, our revenue may decrease substantially.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 significant amount of our revenue is derived from a limited number of customers. We expect that a relatively small number of customers will continue to account for a substantial portion of our revenue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Failure to effectively expand our sales and marketing capabilities could harm our ability to increase our customer base and achieve broader market acceptance of our products.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development and use of artificial intelligence, and the failure to adopt and manage the use of artificial intelligence, present risks and challenges that may negatively impact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engaged in a competitive segment of the global semiconductor industry, and our success may require the adoption of new and emerging technologies, such as AI whose development, adoption and use is rapidly transforming the industry, enabling faster data analysis and automation through machine learning and predictive modeling. While these technologies present significant benefits, there can be no assurance that the use or implementation of these AI technologies will enhance our products or services; they may accelerate or exacerbate potential risks to us. These risks include proprietary code or confidential information leakage to third-party AI platforms, or the possibility of producing biased or inaccurate results, ethical concerns, privacy violations and infringing third-party IP rights. In addition, the development of AI technologies is complex, and there are technical challenges associated with achieving the desired level of accuracy, efficiency, and reliability. There is a risk of system failures, disruptions, or vulnerabilities that could compromise the integrity, security, or privacy of data inputs or the generated content. Furthermore, the regulatory framework relating to AI technologies is rapidly evolving, which may significantly increase our compliance costs, require changes to products and services, limit customer uptake of products incorporating AI technologies, and present additional compliance risks. Any of these factors could result in reputational harm, legal liabilities, or loss of consumer, customer, employee or business partner confidence.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typically experience a strong seasonality in sales in the fourth calendar quarter of the year. As a result, our results of operations are subject to substantial quarterly fluctuations, which may seriously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experienced, and expect to continue to experience, seasonal fluctuations in sales due to the spending patterns of semiconductor customers who license our products. Historically, the number of total new license agreements we enter into has generally been lower in the first and second calendar quarters.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Substantial portions of our sales are made, and we anticipate will be made, to aerospace and defense, automotive, communications, consumer electronics, enterprise computing, and industrial suppliers. Any downturn in any of these markets could significantly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Each of these sectors is subject to specific market risks. The consumer sector, for example, is subject to changes in end consumer spending patterns, technology developments and general economic conditions.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Several industries in which companies incorporate our technology may undergo consolidation and reorganization and, in some cases, their suppliers may or have implemented cost cutting measures or entered bankruptcy. Although we have not experienced any lost business or material bad debt write-offs as a result of such consolidation, such trends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our target industries, including automotive are affected by general economic, trade policy, energy and oil market pricing fluctuations as well as geopolitical conditions and associated responses by governments of various countries. Our target industry, including the automotive industry, and the manufacturers, dealers, distributors, and third-party suppliers that support them, may be adversely impacted by these conditions, many of which are outside of our control. In addition, government-imposed restrictions on businesses, operations and travel and the related economic uncertainty may adversely affect demand in many global markets. While demand in our target industries, including the automotive industry is dependent on a number of factors, the timing, magnitude, and duration of which are difficult to predict, any adverse effects on the industry could harm our business, results of operations, and financial condition, as well as our ability to execute our growth strategy.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 significant portion of our revenue comes from licensing fees, which may vary from period to period.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License agreements for our interconnect IP are generally treated as ratable revenue, with revenue being recognized evenly over the license term. In recent periods we have made and will continue to make changes to SoC Integration Automation software agreements that result in ratable recognition of the related license revenue over the contract term. In addition, license agreements for our recently acquired hardware security verification software products are generally treated as ratable revenue, with revenue being recognized over the license term. Still, significant portions of our anticipated future revenue depend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with certainty. In addition, as we expand our business into new markets, our licensing deals may be smaller in volume but greater in value, which may further fluctuate our licensing revenue quarter to quarter. A portion of revenue from our hardware security verification software products may be generated from U.S. federal government contracts that are at risk of fluctuation due to delays in government funding and government agency shutdowns. Furthermore, delays in obtaining a final novation of the existing agreements from the federal government can lead to challenges in our ability to attract new government or government-adjacent customers to our hardware security verification software line of products. Our failure to obtain future licensing customers would impede our future revenue growth and could materially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Royalty rates could decrease for existing and future license agreements, which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Royalty payments under existing and future license agreements could be lower than currently anticipated. Average selling prices for semiconductor products generally decrease over time during the lifespan of a product. Our gross margins and financial results may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the use of our technology could decrease with new or renewed customers, thereby decreasing future anticipated revenue and cash flow. Variable royalty revenue was approximately 10% of our revenue for the six months ended June 30, 2026. Therefore, a significant decrease in our royalty revenue could materially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royalty rates may be negatively affected by macroeconomic and geopolitical trends, including global semiconductor supply chain issues (such as shortages in the availability of the supply of chips in several semiconductor sectors and applications), and its world effects and changes in product mix. Furthermore, consolidation among our customers may increase the leverage of our existing customers to extract concessions from us in royalty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Changing currency exchange rates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operations and assets in the United States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 changes, the impact to our consolidated statements of operations could be significant and may affect the comparability of operating results. We believe that a 10% increase or decrease in foreign exchange rates could have had resulted in or, if it occurs in a future period, may result in a material impact to our operating results. To the extent we fail to manage our foreign currency exposure adequately, we may suffer losses in the value of our net foreign currency investment, and our business may be harmed.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particular, in light of the ongoing changes in government trade policies, including the imposition of additional tariffs, military conflict between Russia and Ukraine, the conflict in Israel and Iran, the conflict surrounding and full or partial closure of the Strait of Hormuz, and the tensions between the United States, the European Union, other European countries, with Russia, any resulting material change to the valuation of the U.S. dollar, the Euro or other currency relative to the U.S. dollar could adversely impact our operating results.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have made acquisitions and, in the future, expect to pursue acquisitions of and investments in new businesses, products or technologies, joint ventures and other strategic transactions that involve numerous risks and could disrupt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part of our business strategy, we make acquisitions of and investments in new businesses, such as our acquisitions of Magillem, Semifore and Cycuity,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in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In addition, we may face additional risks as a result of difficulty or inability to obtain government, regulatory approvals and consents, or face additional legal proceedings initiated as a result of an acquisition or due to potential failure of our due diligence processes to identify significant issues with the assets of the acquired company. Regulators could also impose conditions that reduce the ultimate value of our acquisition or investment. Changes in accounting or regulatory requirements or instability in the credit markets could also adversely impact our ability to consummate acquisitions and investments on acceptable terms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Semifore and Cycuity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We may incur or assume significant debt in connection with our acquisitions, joint ventures and other strategic relationships, which could also cause a deterioration of our credit ratings, result in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borrowing costs and interest expense and diminish our future access to the capital markets. Alternatively, we may issue additional equity securities, which could dilute your ownership and voting power.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expect to incur integration and startup costs.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Pre-closing and post-closing earnings charges could adversely impact operating results in any given period, and the impact may be substantially different from period to period.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Acquisitions, joint ventures and other strategic relationships could create demands on our management, operational resources and financial and internal control systems that we are unable to effectively address.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could experience difficulty in integrating personnel, operations and financial and other controls and systems and retaining key employees and customers.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be unable to achieve cost savings or other synergies anticipated in connection with an acquisition, joint venture or other strategic relationship.</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 connection with acquisitions and joint ventures, we often enter into post-closing financial arrangements such as purchase price adjustments, earn-out obligations and indemnification obligations, which may have unpredictable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may have interests that diverge from or are adverse to those of our joint venture partners or other strategic partners, expose our IP and intellectual property rights to misappropriation or other licensing risks, and we may not be able to direct the management and operations of the joint venture or other strategic relationship in the manner we believe is most appropriate, exposing us to additional legal, financial, or technical risk.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potential acquisitions, investments, divestitures, joint ventures, expansions, and other strategic transactions, whether or not consummated, may divert our management’s attention and require considerable cash outlays at the expense of our existing operations. This, and any of the risks set forth above,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raise capital in the future may be limited and could prevent us from executing our growth strategy.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ability to operate and expand our business depends on the availability of adequate capital, which in turn depends on the cash flow generated by our business and equity or other applicable financing arrangements. We believe that our existing cash and cash equivalents, short-term investments and cash provided by sales of our products will satisfy our anticipated cash requirements for at least the next 12 months. However, we have based this estimate on our current operating plans and expectations, which are subject to change, and cannot assure you that our existing resources will be sufficient to meet our future liquidity needs. We have and may continue to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market acceptance of our semiconductor IP and other solutions, and our SoC Integration Automation software solutions;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need to adapt to changing technologies and technical requirements;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existence of opportunities for expansion;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access to and availability of sufficient management, technical, marketing and financial personnel.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effectively manage our growth, and we may need to incur significant expenditures to address the additional operational and control requirements of our growth, either of which could harm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order to succeed in executing our business plan, we will need to manage our growth effectively as we make significant investments in research and development and sales and marketing to expand our operations and infrastructure both domestically and internationally. In addition, in connection with operating as a public company, we will continue to incur additional significant legal, accounting and other expenses that we did not incur as a private company. If our revenue does not increase to offset these increases in our expenses, we may delay or not achieve or maintain profitability in future periods.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continue to grow and to meet our ongoing obligations as a public company, we must continue to expand our operational, engineering, accounting and financial systems, procedures, controls and other internal management systems. In connection with our hardware security verification software products, we may experience additional costs in relation to U.S. government contracting, and the integration of business practices, cultures and operations may distract management from its core IP interconnect business. These may require substantial managerial and financial resources, and our efforts in this regard may not be immediate or successful. Our current systems, procedures and controls may not be adequate to support our future operations, particularly if our business or operations evolve in ways we do not currently anticipate, and we may be unable to meet reporting obligation deadlines under the Exchange Act. Unless our growth results in an increase in our revenue that is proportionate to the increase in our costs associated with this growth, our operating margins will be adversely affected and our U.S. government federal contracts compliance risks may increase. If we fail to adequately manage our growth, improve our operational, financial and management information systems, or effectively motivate and manage our new and future employees, it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May 2026, we announced the expected retirement of our Chief Financial Officer, Nicholas B. Hawkins. We anticipate Mr. Hawkins will retire on September 7, 2026. The departure is voluntary and not the result of any disagreement with the Company on any matter relating to the Company's operations, policies, or practices. Executive leadership transitions and searches can create uncertainty among employees, customers, dealers, suppliers, investors, and other stakeholders, and may disrupt management focus or delay decision-making. If we are unable to complete an effective transition, retain and motivate key leaders and employees, or maintain continuity in the execution of our strategic priorities, our business, results of operations, and financial condition could be adversely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recruit from a limited pool of engineers with expertise in SoC design and the competition for such personnel can be intense. The loss of one or more of our executive officers or other key personnel, restrictions on our ability to access certain geographic talent pools due to geopolitical developments, hostilities, or changes in regulation could be significantly detrimental to our product development efforts and could harm our business. We may experience disruptions in our research and development efforts resulting from the inability to hire qualified engineers globally including from the Middle East due to the Iran conflict, Israel conflict and escalating conflicts and tensions in the Middle East.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United States are impacted by laws and regulations, as well as by procedures and enforcement practices of various government agencies. Changes in immigration laws, executive orders and regulations or procedures, may adversely affect our ability to hire or retain such workers, including regional or other, sales representatives, which may increase our operating expenses and may negatively impact our ability to deliver our products and services, any of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results of operations, and financial condition could be harmed.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management team has limited experience managing a public company.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Catastrophic events may disrupt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our counterparties are unable to fulfill their financial and other obligations to us, our business and results of operations may be affected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downturn in economic conditions, geopolitical events, shortages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Intellectual Property, Information Technology and Data Security and Privacy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patents and other intellectual property rights, or experience a high level of AI product disruption, our ability to compete successfully and our financial results could be adversely impacted.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seek to protect our proprietary technology and innovations, particularly those relating to the design of our products, through patents, trade secrets and other intellectual property rights. As of June 30, 2026, we had 286 total allowed or issued patents, pending patent applications and non-expired provisional patent applications worldwide. Of these 148 allowed or issued patents, 108 are U.S.-allowed or issued patents, 12 are China-issued patents, 11 are Europe-issued patents, eight are U.K.-issued patents, six are South Korea-issued patents, and three are Japan-issued patents. The 148 allowed or issued patents generally expire between July 2035 and July 2045. As of June 30, 2026, we had 138 pending non-provisional and provisional patent application filings, including 59 in the United States, 24 in Europe, 23 in China, 13 in South Korea, 13 in Japan and six in the World Intellectual Property Organization.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Additionally, it is difficult and costly to monitor the use of our intellectual property. For example, we continue to invest in methods, tools and infrastructure for infusing AI capabilities into our operations and into our offerings, however AI generated code and outputs may not be subject to copyright protection, potentially weakening our ability to enforce intellectual property rights against infringers or new competitors. Advances in AI may make it easier for unauthorized parties to copy or reverse engineer our technologies, including attempts to extract proprietary model capabilities or replicate our systems’ reasoning processes to develop competing products. Inability to effectively protect key components of our proprietary technology could affect the Company’s competitive position and performance. While these technologies present significant benefits, use of AI tools could expose us and our products to risks of unauthorized use and wide dissemination of our intellectual property by unknown or unauthorized recipients.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are unable to protect our proprietary technology and inventions through trade secrets, our competitive position and financial results could be adversely affected.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noted above, we seek to protect our proprietary technology and innovations, particularly those relating to our products, as patents, trade secrets and other forms of intellectual property. While software and other forms of our proprietary works may be protected under copyright law, copyright registrations may not be available for all such works, and in some cases we have chosen not to register any copyrights in these works. In addition, intellectual property ownership for AI-generated works may not be available, and the scope of protection remains uncertain under current law in some countries. Where we consider protecting our software to be important but other intellectual property rights may not be available, we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that have not. In addition to these federal and state laws inside the United States, under the World Trade Organization’s Trade-Related 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to be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against unauthorized disclosure and misappropriation of our trade secrets, we cannot assure or predict that these measures will be sufficient. For example, these agreements may be breached, with or without our knowledge, and we may not have adequate remedies for any breach. Despite the precautions we may take, our trade secrets may be stolen, otherwise become known, or independently developed by competitors. The semiconductor industry is generally subject to a high turnover of employees, so the risk of trade secret misappropriation may be amplified. In addition, revealing confidential or trade secret information to AI tools, whether through an AI prompt or generated output, can result in the permanent loss of the trade secret protection and undermine our ability to obtain future patents covering related inventions or to otherwise protect related intellectual property. Some foreign countries do not currently provide effective legal protection for trade secrets and other proprietary information, and our ability to prevent unauthorized use of our proprietary information in those countries is therefore limited. If any of our trade secrets are subject to unauthorized disclosure or are otherwise misappropriated by third parties, our competitive position may be materially and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compete successfully depends in part on our ability to commercialize our IP solutions without infringing the patent, trade secret or other intellectual property rights of others.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 In addition, we may have little or no insight into and no control over the content and materials used by vendors to train AI tools. Our use of such tools may inadvertently violate a third party’s rights, be non-compliant with the applicable terms of use or our other legal obligations, or result in a security or privacy risk or data leakage.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Claims by other companies that we infringe their intellectual property rights or that patents on which we rely are invalid could adversely affect our business.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semiconductor industry is rife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event that any third-party succeeds in asserting a valid claim against us or any of our customers, we could be forced to do one or more of the following:</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discontinue selling access to certain technologies that contain the allegedly infringing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which would result in a decline in our revenue and could result in breach of contract claim by our affected customers and damage to our reputation;</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stop receiving payment from a customer that can no longer sell the end-product if it contains allegedly infringing </w:t>
      </w:r>
      <w:r>
        <w:rPr>
          <w:rFonts w:ascii="Arial;sans-serif" w:hAnsi="Arial;sans-serif"/>
          <w:b w:val="false"/>
          <w:color w:val="000000"/>
          <w:sz w:val="19"/>
          <w:shd w:fill="FFFFFF" w:val="clear"/>
        </w:rPr>
        <w:t>intellectual property</w:t>
      </w:r>
      <w:r>
        <w:rPr>
          <w:rFonts w:ascii="Arial;sans-serif" w:hAnsi="Arial;sans-serif"/>
          <w:b w:val="false"/>
          <w:color w:val="000000"/>
          <w:sz w:val="19"/>
        </w:rPr>
        <w: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seek to develop non-infringing technologies, which may not be feasible;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incur significant legal expenses;</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pay substantial monetary damages to the party whose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we may be found to be infringing; and/or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we or our customers could be required to seek licenses to the infringed technology that may not be available on commercially reasonable terms, if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a third-party, AI or open-source content causes us to discontinue the use of any of our technologies, we could be required to design around those technologies. This could be costly and time-consuming and could have an adverse impact on our financial results. Any significant impairments of our intellectual property rights from any litigation we face could harm our business and our ability to compete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not be able to continue to obtain licenses to third-party software and intellectual property on reasonable terms or at all, which may disrupt our business and harm our financial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Annual Report on Form 10-K for the year ended December 31, 2025,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any of which could harm our business and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Any dispute regarding our intellectual property may require us to indemnify certain customers, the cost of which could severely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any potential dispute involving our patents, copyrights, trademarks, open-source or AI content, or other intellectual property, our customers could also become the target of litigation. Some of our agreements, including those with key customers like Texas Instruments Incorporated and Samsung Electronics Co., Ltd., have historically provided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 xml:space="preserve">Working with the U.S. government in connection with licenses and other contracts involves risks related to data rights, intellectual property protection and eligibility status.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have, including through entities we have acquired, and may enter into additional licenses and additional contracts with the U.S. government which contain customary provisions that give the government substantial and sometimes unilateral rights and remedies not typically found in commercial contracts, including the right to unilaterally modify the contract and terminate the contract for convenience. The future levels of expenditures and authorizations for defense-related programs by the U.S. government may decrease, remain constant or shift to programs in areas where we do not currently provide products, thereby reducing the chances that we will be awarded new contracts. In addition, these contracts subject a portion of our business to the statutes and regulations applicable to doing business with the government, including the Federal Acquisition Regulation (FAR) and also subject us to greater scrutiny by the government, which can initiate reviews, audits and investigations regarding our compliance with government contract requirements. New regulations or procurement requirements (including, for example regulations regarding supply chain diligence and cybersecurity) or changes to current requirements could increase our costs and risk of non-compliance.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or suspension, could adversely affect our ability to operate our business and our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Cybersecurity threats continue to increase in frequency and sophistication; a successful cybersecurity attack or prolonged outage regardless of cause could interrupt or disrupt our information technology systems, or those of our third-party service providers, or cause the loss of availability of confidential or protected data which could disrupt our business, force us to incur significant costs, expose us to regulatory or contractual liability, or cause reputational harm.</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Security breaches, computer malware, prolonged outages,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external service providers, vendors, or from attacks by malicious third parties and state-sponsored actors. Such attacks are increasing in their frequency, levels of persistence, levels of sophistication and intensity, and are being conducted by sophisticated and organized groups and individuals with a wide range of motives and expertise. As a result of our reliance on internet technology and the number of our employees who are working remotely, this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measures for the protection of data and information technology, there can be no assurance that our efforts will prevent or quickly identify service interruptions or security breaches. The techniques used by cybercriminals to obtain unauthorized access to systems or sabotage systems, or to disable or degrade services, change frequently, and may not be recognized when launched against a target and can originate from a wide variety of sources, including outside groups such as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includes a private right of action for security breaches that could lead to some form of remedy, as well as, regulatory scrutiny, fines, private right of action settlements, and other consequences. Where a security incident involves a breach of security leading to the accidental or unlawful destruction, loss, alteration, unauthorized disclosure of, or access to, personal data in respect of which we are a controller or processor under the GDPR or U.K. GDPR, this could result in fines of up to €20.0 million or 4% of annual global turnover under the GDPR or £17.5 million and 4% of total annual revenue in the case of the U.K. GDPR. Under these laws,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could expose us to liability to customer claims. Any of the foregoing could irreparably damage our reputation and business, could have a material adverse effect on our results of operations, and cause us to incur significant costs, including legal expenses and remediation costs.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 government contractor, we are subject to extensive and evolving cybersecurity, data protection, and other requirements. Compliance with these programs is costly and resource</w:t>
        <w:noBreakHyphen/>
        <w:t xml:space="preserve">intensive, and failure to comply could limit our ability to compete for new government contracts or maintain existing ones. If we are unable to keep pace with evolving government mandates, our competitive position in the defense and aerospace sectors could be affected.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maintain cyber liability and business interruption insurance renewed annually; however, this insurance may not be sufficient to cover the financial, legal, business or reputational losses that may result from an interruption or breach of our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data protection, AI, and privacy and security laws, regulations, standards and other requirements across different markets where we conduct our business. Our actual or perceived failure to comply with such obligations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global data protection landscape continues to evolve,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violated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The evolution of new standards and enforcement practices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also subject to European Union rules with respect to cross-border transfers of personal data out of the EEA and the U.K. In addition to Standard Contractual Clauses (SCCs), which went into effect in June of 2021, various alternative or supplemental transfer mechanisms have been adopted or proposed. In July of 2023, the US and EU announced the EU-U.S. Data Protection Framework (DPF) which replaced Privacy Shield, and the UK Extension to the DPF became effective in October 2023; subject to ongoing legal, regulatory, and practical considerations, these serve as a lawful basis for transatlantic data transfer for companies to receive personal data from the EU, UK and Switzerland without additional safeguards. We currently rely on the SCCs to transfer personal data outside the EEA and the U.K., including to the United States and other jurisdictions. As supervisory authorities issue further guidance on personal data export mechanisms, or if existing mechanisms are invalidated, modified, or become subject to additional requirements, we could suffer additional costs, face operational disruption, complaints and/or regulatory investigations or fines.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We are subject to evolving data privacy and security laws, rules and regulations in the PRC, particularly the Personal Information Protection Law (PIPL), Cybersecurity Law (CSL) (recently updated effective January 1, 2026), and Data Security Law (DSL), along with their implementing regulations and standards. Consent from the data subject is required for any collection or processing of personal data, unless one of a limited number of exemptions applies. Notably, the PIPL, similar to the EU GDPR, applies extraterritorially in certain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PIPL, CSL and DSL also specify rules for transferring personal information and the sui-generis category of ‘important data’ out of the PRC. Compliance with applicable requirements may involve security assessments, obtaining certifications of group privacy standards by designated agencies, or entering into standard contracts (in approved form) with overseas recipients (to be filed with a PRC government agency) are among the requirements for transfer of personal data. All businesses in China additionally may require government approval to transfer any amount of ‘important data’ generated within the PRC overseas.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These laws and regulations continue to evolve and may have an uncertain impact on our operations in the PRC and related compliance costs. In addition, these laws and regulations are drafted broadly and thus leave significant discretion to the relevant PRC authorities, increasing the uncertainty about how they will be interpreted and enforced in practice.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Although we make reasonable efforts to comply with all applicable data protection laws and regulations, our interpretations and such measures have been or may prove to be insufficient or incorrect. The effects of any applicable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and cause reputational harm. In addition to government regulation, privacy advocates and industry groups may propose new and different self-regulatory standards. Because the interpretation and application of privacy and data protection laws continue to evolve,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investigations, enforcement actions, increased exposure to litigation, consent decrees, remediation obligations, civil or criminal penalties, or fines, any of which could harm our business. In addition, we or our third-party service providers may be required to materially alter our business operations or practices or modify our products and services, which could adversely affect our business. Any of the foregoing could result in additional cost and liability to us, damage our reputation, inhibit sales, and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Legal, Regulatory, Accounting and Tax Matters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large body of laws and regulations to which we are subject could materially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connection with our hardware security verification software solutions, we may be subject to regulations, including the U.S. Federal Acquisition Regulations, Defense Federal Acquisition Regulations (DFARS), or Department of Energy Acquisition Regulations (DEAR) either directly or as flow-down contract obligations from customers. In certain circumstances, failure to comply with these requirements, the terms of government contracts, or with other applicable regulations may result in fines and penalties, or loss of current or future business including with U.S. governmental agencies and its contractors for a period of time. In certain jurisdictions, regulatory requirements in one or more of these areas may be more stringent than in the United States.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failure to comply with the Foreign Corrupt Practices Act, other applicable anti-corruption and anti-bribery laws, and applicable anti-money laundering laws could subject us to penalties and other adverse consequences.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subject to government regulations, including import, export and economic sanctions laws and emerging artificial intelligence regulations that may restrict our ability to sell to or get paid by customers in certain regions, delay or prevent transactions, or expose us to liability and increase our costs.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restrict our ability to sell to or get paid by customers, prevent the export or import of our products and technology to certain countries, regions, governments, persons, or entities altogether, which could harm our business.</w:t>
      </w:r>
    </w:p>
    <w:p>
      <w:pPr>
        <w:pStyle w:val="TextBody"/>
        <w:bidi w:val="0"/>
        <w:spacing w:lineRule="auto" w:line="288" w:before="180" w:after="283"/>
        <w:jc w:val="left"/>
        <w:rPr>
          <w:rFonts w:ascii="Arial;sans-serif" w:hAnsi="Arial;sans-serif"/>
          <w:b/>
          <w:i/>
          <w:color w:val="000000"/>
          <w:sz w:val="19"/>
          <w:shd w:fill="FFFFFF" w:val="clear"/>
        </w:rPr>
      </w:pPr>
      <w:r>
        <w:rPr>
          <w:rFonts w:ascii="Arial;sans-serif" w:hAnsi="Arial;sans-serif"/>
          <w:b/>
          <w:i/>
          <w:color w:val="000000"/>
          <w:sz w:val="19"/>
          <w:shd w:fill="FFFFFF" w:val="clear"/>
        </w:rPr>
        <w:t>Assertions by third parties of infringement or other violation by us of their intellectual property rights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Third parties may assert that we have infringed, misappropriated, or otherwise violated their copyrights, patents, and other intellectual property rights, particularly as new technologies such as AI impact the industries in which we operate. We may experience brand or reputational harm, competitive harm or legal liability if we do not have sufficient rights to use the output of AI or open-source content, or the data or other material or content on which these rely. In addition, we may incur liability through the breach of third-party intellectual property licenses or contracts to which we are a party, and violations of applicable laws and regulations. For example, there is uncertainty in the U.S. courts as to how AI technologies affect IP ownership, including copyright protections, which may expose us or our customers to claims of copyright infringement or misappropriation.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will lose sales if we are unable to obtain government authorization to export certain of our products and services, and we will be subject to legal and regulatory consequences if we do not comply with applicable export control laws and regulations or if such laws and regulations were to change.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Bureau of Industry and Security (BIS),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in October 2022, October 2023 and April 2024, BIS modified certain of its regulations affecting the export of semiconductor products and equipment, with particular focus on export to China. In December 2024, BIS further expanded export controls on certain advanced semiconductors that can be used in advanced weapon systems and in AI and advanced computing products. We must continue to comply with such regulations and take additional review and precautions as required when such export regulations are updated or changed by the U.S. federal government.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derive revenue from products that are not subject to the EAR from parties that are subject to the Entity List of the EAR (a list of entities to which the transfer of EAR-controlled technology or software requires a U.S. export license). Current and future business with these entities may be limited in scope or suspended entirely if regulations pertaining to such non-EAR products change, and our revenue could be adversely impacted. Regulatory changes concerning the export classification of our products, changes to the applicability of the EAR to certain product offerings, or the addition of new entities to the Entity List or other restricted party lists can further increase the scope of export restrictions applicable to our business. Failure to obtain export licenses for our products or having one or more of our customers be restricted from receiving exports from us could restrict our ability to sell to and get paid by customers in certain countries, which could significantly reduce our revenue and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U.S. federal government has increased its Entity List materially and expanded its regulatory scope with respect to semiconductors in recent years, which affects the range and number of customers, including Chinese customers, available to license our products and technology. There is additional risk that China and/or other jurisdictions may enact retaliatory legislation or regulations that may raise similar adverse risks. As more entities are added to restricted export control lists, we may need to seek U.S. government authorization, or forego sales with such entities, potentially impacting our ability to attract and do business with new and existing customers. Export control and sanctions designations may be influenced by a variety of geopolitical, foreign policy, or national security considerations, which are outside of our control and may evolve rapidly, increasing uncertainty for our international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face risks associated with doing business in China.</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For the six months ended June 30, 2026, we derived 23.2% of our revenue from customers located in China. As a result, the economic, political, legal and social conditions in China could harm our business.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or license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We have observed sustained reports of intellectual property theft and misappropriation in China.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Some of the other risks related to doing business in China include:</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The Chinese government exerts substantial influence over the manner in which we must conduct our business activities.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Restrictions on currency exchange may limit our ability to receive, transfer and use our cash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 xml:space="preserve">Increased uncertainties related to the protection and enforcement of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 xml:space="preserve">rights, including risk of theft or misappropriation of our products and intellectual property in China, as well as any </w:t>
      </w:r>
      <w:r>
        <w:rPr>
          <w:rFonts w:ascii="Arial;sans-serif" w:hAnsi="Arial;sans-serif"/>
          <w:b w:val="false"/>
          <w:color w:val="000000"/>
          <w:sz w:val="19"/>
          <w:shd w:fill="FFFFFF" w:val="clear"/>
        </w:rPr>
        <w:t>intellectual property</w:t>
      </w:r>
      <w:r>
        <w:rPr>
          <w:color w:val="000000"/>
        </w:rPr>
        <w:t xml:space="preserve"> </w:t>
      </w:r>
      <w:r>
        <w:rPr>
          <w:rFonts w:ascii="Arial;sans-serif" w:hAnsi="Arial;sans-serif"/>
          <w:b w:val="false"/>
          <w:color w:val="000000"/>
          <w:sz w:val="19"/>
        </w:rPr>
        <w:t>rights that we may license to a Chinese (or other emerging jurisdiction) entity, including any joint ventures we may form.</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relating to Chinese regulation of exports of products and technology to and from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and rapidly changing export and related trade regulations including tariffs and restrictions imposed by U.S. and Chinese legislation, executive actions and regulations.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Chinese government may favor its local businesses and make it more difficult for foreign businesses to operate in China on an equal footing or create generally difficult conditions for foreign headquartered businesses to operate.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Increased uncertainties related to the enforcement of contracts with certain parties.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More restrictive rules on foreign investment could adversely affect our ability to expand our operations in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Geopolitical tensions may lead to increased export sanctions against China and/or Chinese entities or U.S. companies operating in China or selling products or services into China.</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Geopolitical changes in China-Taiwan relations could disrupt our operations in China and Taiwan and the operations of companies in China and Taiwan that are our customers, each of </w:t>
      </w:r>
      <w:r>
        <w:rPr>
          <w:rFonts w:ascii="Arial;sans-serif" w:hAnsi="Arial;sans-serif"/>
          <w:b w:val="false"/>
          <w:color w:val="000000"/>
          <w:sz w:val="19"/>
          <w:shd w:fill="FFFFFF" w:val="clear"/>
        </w:rPr>
        <w:t>which could materially and adversely affect our business and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Political instability, changes in government, elections, or destabilizing political developments in or around the major countries and jurisdictions in which we do business have created challenges and an adverse business environment which in turn has impacted our business and financial condition. Worldwide and regional geopolitical tensions and conflicts, including but not limited to China, Hong Kong, Iran, Israel, Korea and Taiwan or where our customers are located, have resulted in changing regulatory requirements or other disruptions that have and could continue to impact our international operations and operating strategies, global product demand and sales, access to global markets, hiring, and profitability. If a disaster, war or catastrophic event affects our ability to work with customers in any of these countries, including China, our business could be harmed by a decline in sales, increased contract expense, and substantial time spent on alternative demand generation. As a result of our growing operations in China, these risks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Further, on September 3, 2021, Executive Order 14032 (Addressing the Threat from Securities Investments that Finance Certain Companies of the People’s Republic of China) targeted entities that are deemed part of the Chinese military-industrial complex.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On October 7, 2022, BIS issued export controls related to the Chinese semiconductor manufacturing, advanced computing, and supercomputer industries imposing broad end-use and other restrictions on facilities in China that develop or produce semiconductor chips or manufacturing equipment, impacting our ability to license or support our products to entities in or doing business with certain advanced AI or “supercomputer” design companies, foundries and manufacturers of assemblies and components in China. On October 17, 2023, BIS issued regulations amending the October 7, 2022 rule. Then on December 2, 2024, BIS further expanded export controls on certain advanced semiconductors that can be used in advanced weapon systems and in AI and advanced computing products. These restrictions,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It is difficult to predict what further trade-related actions governments may take, whether the current U.S. presidential administration may impact such tensions, the extent to which we may be able to mitigate the effects of any trade-related actions, and the longer-term implications of trade-related actions on the market opportunities for us. The prospect of future export controls that are implemented in a similar manner may continue to have an ongoing impact on our business, results of operation, or financial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have been additional regulatory mandates from the U.S. government that affect our current and future sales and operations in China. Beginning on January 2, 2025, the U.S. Department of the Treasury’s Outbound Investment Security Program went into effect. Codified at 31 C.F.R. § 850.101 et seq., the Outbound Investment Security Program prohibits or requires notification of certain types of outbound investments by U.S. persons into certain entities located in or subject to the jurisdiction of China, Hong Kong, and Macau (as well as certain entities subject to Chinese ownership or control) that are engaged in the development of certain national security technologies and products (presently, certain semiconductors and microelectronics, quantum information technologies, and artificial intelligence technologies), as well as any other countries that are or may be designated under the program’s regulations. This 2026 U.S. National Defense Authorization Act (NDAA), which included the Comprehensive Outbound Investment National Security (COINS) Act of 2025, was signed on December 18, 2025 and expanded the U.S. outbound investment controls and introduced stricter notification and prohibitions for investments in sensitive technologies. Implementing regulations are expected by the U.S. Department of Treasury within 450 days of enactment, and until such time, the 2025 rules remain in effect. As a result of the foregoing, we and our applicable subsidiaries may need to take appropriate steps to comply with these regulations and the cost of doing so, as well as any failure to comply, could have an adverse impact on our business, results of operation or financial condition.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anticipate conducting certain of our operations through joint venture or collaboration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Joint ventures or similar investments are subject to a number of risks, the occurrence of which could adversely impact any of our current or future joint ventures or similar investments, which in turn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Joint ventures or similar investments such as the investment in Transchip as discussed elsewhere in this report, and other joint ventures or similar investments we may form in the future are subject to a number of risks, including but not limited 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not commit sufficient resources to market and distribute our products or to otherwise support the joint venture and its intended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have economic or business interests or goals that are different from ours.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may infringe the IP we assign or license to such joint venture, or the IP of other parties, which may be adverse to us, expose us to litigation and other potential liabilities.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Disputes may arise among us and our joint venture or investment partners that result in adverse business conditions, delays or termination of activities contemplated by such joint venture or investment or that could result in costly litigation or arbitration that diverts management attention and resources.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Our joint venture or investment partners have and may in the future not provide us with timely and accurate information regarding the status, compliance or activities of the joint venture or investment which could, among other things, impact our ability to accurately forecast financial results, provide timely information to our shareholders and could create a potential risk of us having to restate our financial results.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Risks associated with the ability to generate sufficient revenue and our investment to continue operations.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Any of the risks related to doing business in China or having a Chinese joint venture or investment that are discussed elsewhere in these risk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The occurrence of one or more of the above risks, or any other negative events, could adversely impact our joint ventures or similar investments including our investment in Transchip and we may be required to incur significant impairment charges. </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Social and environmental responsibility regulations, policies and provisions, as well as customer and investor demands, may make our supply chain more complex and may adversely affect our relationships with customers, investors and government regulators.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There is an increased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For example, the current U.S. presidential administration has a different view and approach to many social and environmental policies as compared to prior administrations and may result in us having to adopt positions that may be at odds with those of our customers and investors.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could be subject to changes in tax rates or the adoption of new tax legislation, whether in or out of the United States, or could otherwise have exposure to additional tax liabilities, which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ability to use net operating losses to offset future taxable income may be subject to certain limitations.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The requirements of being a public company require significant resources and management attention and affect our ability to attract and retain executive management and qualified board members.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we may experience difficulty meeting applicable financial statements timing, auditing and reporting requirements under the Exchange Act. Any failure by us to file our periodic reports with the SEC in a timely manner could harm our reputation and reduce the trading price of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the courts,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are an “emerging growth company,” and we cannot be certain if the reduced disclosure requirements applicable to emerging growth companies will make our common stock less attractive to investors.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are an “emerging growth company,” as defined in the JOBS Act, and we could remain an emerging growth company until the last day of our fiscal year following the fifth anniversary of the closing of our initial public offering. We expect to cease to be an emerging growth company after December 31, 2026.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not being required to engage an auditor to report on our internal controls over financial reporting pursuant to Section 404(b) of the Sarbanes-Oxley Act;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submit certain executive compensation matters to stockholder advisory votes, such as “say-on-pay,” “say-on-frequency,” and “say-on-golden-parachutes”;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not being required to disclose certain executive compensation related items such as the correlation between executive compensation and performance and comparisons of the chief executive officer’s compensation to median employee compensation.</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Risks Related to Ownership of Our Common Stock</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An active and liquid trading market for our common stock may not be sustained.</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stock price may be volatile, and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price of our common stock could be volatile and subject to wide fluctuations in response to various factors, many of which are beyond our control, including, but not limited to:</w:t>
      </w:r>
    </w:p>
    <w:p>
      <w:pPr>
        <w:pStyle w:val="TextBody"/>
        <w:bidi w:val="0"/>
        <w:spacing w:lineRule="auto" w:line="288" w:before="180" w:after="283"/>
        <w:ind w:left="0" w:right="0" w:hanging="360"/>
        <w:jc w:val="both"/>
        <w:rPr/>
      </w:pPr>
      <w:r>
        <w:rPr>
          <w:color w:val="000000"/>
          <w:shd w:fill="FFFFFF" w:val="clear"/>
        </w:rPr>
        <w:t>■</w:t>
      </w:r>
      <w:r>
        <w:rPr>
          <w:rFonts w:ascii="Arial;sans-serif" w:hAnsi="Arial;sans-serif"/>
          <w:b w:val="false"/>
          <w:color w:val="000000"/>
          <w:sz w:val="19"/>
        </w:rPr>
        <w:t>variations in our actual or anticipated annual or quarterly operating results or those of others in our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potential effects arising if U.S. inflationary, tariffs and other trade and/or currency devaluation trends continue or increase;</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results of operations that otherwise fail to meet the expectations of securities analysts and investors;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changes in earnings estimates or recommendations by securities analysts, or other changes in investor perceptions of the investment opportunity associated with our common stock relative to other investment alternatives;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conditions in the semiconductor industry;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market volatility caused by the rapidly evolving AI-related developments;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failure to meet our publicly announced guidance or other expectations about our business;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publications, reports or other media exposure of our products or those of others in our industry, or of our industry generally;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additions or departures of key management personnel;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regulatory actions involving us or others in our industry, or actual or anticipated changes in applicable government regulations or enforcement thereof;</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development and sustainability of an active trading market for our common stock;</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 xml:space="preserve">sales, or anticipated sales, of large blocks of our common stock, such as any sales that may occur following the expiration of the lockups entered into in connection with our initial public offering or any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to cover tax obligations or exercise costs in connection with the vesting of restricted stock units or the exercise of options, respectively;</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general economic and securities market conditions, including rising interest rates;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other factors discussed in this “Risk Factors” section and elsewhere in this report.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Furthermore, the stock market in general has experienced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Since our stock price may be volatile, investors in our common stock may not be able to resell shares of our common stock at or above the price paid, or at all.</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may fail to meet our publicly announced guidance or other expectations about our business, which could cause our stock price to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If equity research analysts or industry analysts do not publish research or reports about our business, or if they change their recommendations regarding our common stock adversely, our stock price and trading volume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Sales of a substantial number of shares of our common stock in the public market could cause our stock price to fall.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If we or our existing stockholders, including current or former employees, sell, or indicate an intention to sell, substantial amounts of our common stock in the public market, the market price of our common stock could decline. As of June 30, 2026, we had approximately 49.1 million shares of common stock outstanding.</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may also, from time to time and at any time, seek to offer and sell our common stock pursuant to the 2025 ATM Offering Program, based upon market conditions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executive officers, directors and stockholders affiliated with our directors may also buy or sell additional shares outside of a Rule 10b5-1 plan when they are not in possession of material, nonpublic information.</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K. Charles Janac, our President, Chief Executive Officer and Chairman, beneficially owns a significant percentage of our common stock and will be able to exert significant control over matters subject to stockholder approval.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As of June 30, 2026, K. Charles Janac, our President, Chief Executive Officer and Chairman, held voting power over approximately 18.4%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Our issuance of additional capital stock in connection with financings, acquisitions, investments, our stock incentive plans or otherwise could dilute the ownership and voting power of our other stockholders.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have 300,000,000 shares of common stock authorized as of June 30, 2026.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We may also, from time to time and at any time, seek to offer and sell our common stock pursuant to the 2025 ATM Offering Program, based upon market conditions and other factors.</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 xml:space="preserve">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issuance of such securities could result in substantial dilution to our existing stockholders and cause the market price of shares of our common stock to decline.</w:t>
      </w:r>
    </w:p>
    <w:p>
      <w:pPr>
        <w:pStyle w:val="TextBody"/>
        <w:bidi w:val="0"/>
        <w:spacing w:lineRule="auto" w:line="288" w:before="180" w:after="283"/>
        <w:jc w:val="both"/>
        <w:rPr>
          <w:rFonts w:ascii="Arial;sans-serif" w:hAnsi="Arial;sans-serif"/>
          <w:b/>
          <w:i/>
          <w:color w:val="000000"/>
          <w:sz w:val="19"/>
          <w:shd w:fill="FFFFFF" w:val="clear"/>
        </w:rPr>
      </w:pPr>
      <w:r>
        <w:rPr>
          <w:rFonts w:ascii="Arial;sans-serif" w:hAnsi="Arial;sans-serif"/>
          <w:b/>
          <w:i/>
          <w:color w:val="000000"/>
          <w:sz w:val="19"/>
          <w:shd w:fill="FFFFFF" w:val="clear"/>
        </w:rPr>
        <w:t>We do not expect to declare or pay any dividends on our common stock for the foreseeable future.</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i/>
          <w:color w:val="000000"/>
          <w:sz w:val="19"/>
          <w:shd w:fill="FFFFFF" w:val="clear"/>
        </w:rPr>
        <w:t>Provisions</w:t>
      </w:r>
      <w:r>
        <w:rPr>
          <w:color w:val="000000"/>
        </w:rPr>
        <w:t xml:space="preserve"> </w:t>
      </w:r>
      <w:r>
        <w:rPr>
          <w:rFonts w:ascii="Arial;sans-serif" w:hAnsi="Arial;sans-serif"/>
          <w:b/>
          <w:i/>
          <w:color w:val="000000"/>
          <w:sz w:val="19"/>
        </w:rPr>
        <w:t>in our Certificate of Incorporation and Bylaws and under the DGCL contain antitakeover provisions that could prevent or discourage a takeover</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classified board of directors with three-year staggered terms, which may have the effect of deferring, delaying or discouraging hostile takeovers, or changes in control of us or our management;</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no cumulative voting in the election of directors, which limits the ability of minority stockholders to elect director candidates;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ability of our board of directors to alter our bylaws without obtaining stockholder approval;</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 prohibition on stockholder action by written consent, which forces stockholder action to be taken at an annual or special meeting of our stockholders;</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288" w:before="180" w:after="283"/>
        <w:ind w:left="0" w:right="0" w:hanging="360"/>
        <w:jc w:val="both"/>
        <w:rPr/>
      </w:pPr>
      <w:r>
        <w:rPr>
          <w:color w:val="000000"/>
        </w:rPr>
        <w:t>■</w:t>
      </w:r>
      <w:r>
        <w:rPr>
          <w:rFonts w:ascii="Arial;sans-serif" w:hAnsi="Arial;sans-serif"/>
          <w:b w:val="false"/>
          <w:color w:val="000000"/>
          <w:sz w:val="19"/>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lineRule="auto" w:line="288" w:before="180" w:after="283"/>
        <w:jc w:val="both"/>
        <w:rPr>
          <w:rFonts w:ascii="Arial;sans-serif" w:hAnsi="Arial;sans-serif"/>
          <w:b w:val="false"/>
          <w:color w:val="000000"/>
          <w:sz w:val="19"/>
          <w:shd w:fill="FFFFFF" w:val="clear"/>
        </w:rPr>
      </w:pPr>
      <w:r>
        <w:rPr>
          <w:rFonts w:ascii="Arial;sans-serif" w:hAnsi="Arial;sans-serif"/>
          <w:b w:val="false"/>
          <w:color w:val="000000"/>
          <w:sz w:val="19"/>
          <w:shd w:fill="FFFFFF" w:val="clear"/>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pPr>
      <w:r>
        <w:rPr>
          <w:rFonts w:ascii="Arial;sans-serif" w:hAnsi="Arial;sans-serif"/>
          <w:b w:val="false"/>
          <w:color w:val="000000"/>
          <w:sz w:val="19"/>
          <w:shd w:fill="FFFFFF" w:val="clear"/>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w:t>
      </w:r>
      <w:r>
        <w:rPr>
          <w:color w:val="000000"/>
        </w:rPr>
        <w:t xml:space="preserve"> </w:t>
      </w:r>
      <w:r>
        <w:rPr>
          <w:rFonts w:ascii="Arial;sans-serif" w:hAnsi="Arial;sans-serif"/>
          <w:b w:val="false"/>
          <w:color w:val="000000"/>
          <w:sz w:val="19"/>
        </w:rPr>
        <w:t>purchasing or otherwise acquiring any interest in shares of our capital stock shall be deemed to have notice of and to have consented to the provisions of our Certificate of Incorporation described above.</w:t>
      </w:r>
    </w:p>
    <w:p>
      <w:pPr>
        <w:pStyle w:val="TextBody"/>
        <w:bidi w:val="0"/>
        <w:spacing w:lineRule="auto" w:line="288" w:before="180" w:after="283"/>
        <w:jc w:val="both"/>
        <w:rPr/>
      </w:pPr>
      <w:r>
        <w:rPr>
          <w:rFonts w:ascii="Arial;sans-serif" w:hAnsi="Arial;sans-serif"/>
          <w:b w:val="false"/>
          <w:color w:val="000000"/>
          <w:sz w:val="19"/>
          <w:shd w:fill="FFFFFF" w:val="clear"/>
        </w:rPr>
        <w:t>We</w:t>
      </w:r>
      <w:r>
        <w:rPr>
          <w:color w:val="000000"/>
        </w:rPr>
        <w:t xml:space="preserve"> </w:t>
      </w:r>
      <w:r>
        <w:rPr>
          <w:rFonts w:ascii="Arial;sans-serif" w:hAnsi="Arial;sans-serif"/>
          <w:b w:val="false"/>
          <w:color w:val="000000"/>
          <w:sz w:val="19"/>
        </w:rPr>
        <w:t>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pStyle w:val="TextBody"/>
        <w:bidi w:val="0"/>
        <w:spacing w:lineRule="auto" w:line="288" w:before="180" w:after="283"/>
        <w:jc w:val="both"/>
        <w:rPr>
          <w:rFonts w:ascii="Arial;sans-serif" w:hAnsi="Arial;sans-serif"/>
          <w:b/>
          <w:color w:val="000000"/>
          <w:sz w:val="19"/>
          <w:shd w:fill="FFFFFF" w:val="clear"/>
        </w:rPr>
      </w:pPr>
      <w:r>
        <w:rPr>
          <w:rFonts w:ascii="Arial;sans-serif" w:hAnsi="Arial;sans-serif"/>
          <w:b/>
          <w:color w:val="000000"/>
          <w:sz w:val="19"/>
          <w:shd w:fill="FFFFFF" w:val="clear"/>
        </w:rPr>
        <w:t>General Risk Factors</w:t>
      </w:r>
    </w:p>
    <w:p>
      <w:pPr>
        <w:pStyle w:val="TextBody"/>
        <w:bidi w:val="0"/>
        <w:spacing w:lineRule="auto" w:line="288" w:before="180" w:after="283"/>
        <w:jc w:val="both"/>
        <w:rPr/>
      </w:pPr>
      <w:r>
        <w:rPr>
          <w:rFonts w:ascii="Arial;sans-serif" w:hAnsi="Arial;sans-serif"/>
          <w:b/>
          <w:i/>
          <w:color w:val="000000"/>
          <w:sz w:val="19"/>
          <w:shd w:fill="FFFFFF" w:val="clear"/>
        </w:rPr>
        <w:t>Actions</w:t>
      </w:r>
      <w:r>
        <w:rPr>
          <w:color w:val="000000"/>
        </w:rPr>
        <w:t xml:space="preserve"> </w:t>
      </w:r>
      <w:r>
        <w:rPr>
          <w:rFonts w:ascii="Arial;sans-serif" w:hAnsi="Arial;sans-serif"/>
          <w:b/>
          <w:i/>
          <w:color w:val="000000"/>
          <w:sz w:val="19"/>
        </w:rPr>
        <w:t>of stockholders could cause us to incur substantial costs, divert management’s attention and resources and have an adverse effect on our business</w:t>
      </w:r>
      <w:r>
        <w:rPr>
          <w:rFonts w:ascii="Arial;sans-serif" w:hAnsi="Arial;sans-serif"/>
          <w:b w:val="false"/>
          <w:color w:val="000000"/>
          <w:sz w:val="19"/>
        </w:rPr>
        <w:t>.</w:t>
      </w:r>
    </w:p>
    <w:p>
      <w:pPr>
        <w:pStyle w:val="TextBody"/>
        <w:bidi w:val="0"/>
        <w:spacing w:lineRule="auto" w:line="288" w:before="180" w:after="283"/>
        <w:jc w:val="both"/>
        <w:rPr/>
      </w:pPr>
      <w:r>
        <w:rPr>
          <w:rFonts w:ascii="Arial;sans-serif" w:hAnsi="Arial;sans-serif"/>
          <w:b w:val="false"/>
          <w:color w:val="000000"/>
          <w:sz w:val="19"/>
          <w:shd w:fill="FFFFFF" w:val="clear"/>
        </w:rPr>
        <w:t>As</w:t>
      </w:r>
      <w:r>
        <w:rPr>
          <w:color w:val="000000"/>
        </w:rPr>
        <w:t xml:space="preserve"> </w:t>
      </w:r>
      <w:r>
        <w:rPr>
          <w:rFonts w:ascii="Arial;sans-serif" w:hAnsi="Arial;sans-serif"/>
          <w:b w:val="false"/>
          <w:color w:val="000000"/>
          <w:sz w:val="19"/>
        </w:rPr>
        <w:t>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pStyle w:val="TextBody"/>
        <w:bidi w:val="0"/>
        <w:spacing w:lineRule="auto" w:line="288" w:before="180" w:after="283"/>
        <w:jc w:val="both"/>
        <w:rPr/>
      </w:pPr>
      <w:r>
        <w:rPr>
          <w:rFonts w:ascii="Arial;sans-serif" w:hAnsi="Arial;sans-serif"/>
          <w:b/>
          <w:i/>
          <w:color w:val="000000"/>
          <w:sz w:val="19"/>
          <w:shd w:fill="FFFFFF" w:val="clear"/>
        </w:rPr>
        <w:t>Litigation</w:t>
      </w:r>
      <w:r>
        <w:rPr>
          <w:rFonts w:ascii="Arial;sans-serif" w:hAnsi="Arial;sans-serif"/>
          <w:b/>
          <w:i/>
          <w:color w:val="000000"/>
          <w:sz w:val="19"/>
        </w:rPr>
        <w:t>, including securities class action litigation, may impair our reputation and lead us to incur significant costs. For example, we are currently involved in ongoing litigation related to patent infringement claims.</w:t>
      </w:r>
    </w:p>
    <w:p>
      <w:pPr>
        <w:pStyle w:val="TextBody"/>
        <w:bidi w:val="0"/>
        <w:spacing w:lineRule="auto" w:line="288" w:before="180" w:after="283"/>
        <w:jc w:val="both"/>
        <w:rPr/>
      </w:pPr>
      <w:r>
        <w:rPr>
          <w:rFonts w:ascii="Arial;sans-serif" w:hAnsi="Arial;sans-serif"/>
          <w:b w:val="false"/>
          <w:color w:val="000000"/>
          <w:sz w:val="19"/>
          <w:shd w:fill="FFFFFF" w:val="clear"/>
        </w:rPr>
        <w:t>From</w:t>
      </w:r>
      <w:r>
        <w:rPr>
          <w:color w:val="000000"/>
        </w:rPr>
        <w:t xml:space="preserve"> </w:t>
      </w:r>
      <w:r>
        <w:rPr>
          <w:rFonts w:ascii="Arial;sans-serif" w:hAnsi="Arial;sans-serif"/>
          <w:b w:val="false"/>
          <w:color w:val="000000"/>
          <w:sz w:val="19"/>
        </w:rPr>
        <w:t>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pStyle w:val="TextBody"/>
        <w:bidi w:val="0"/>
        <w:spacing w:lineRule="auto" w:line="288" w:before="180" w:after="283"/>
        <w:jc w:val="both"/>
        <w:rPr/>
      </w:pPr>
      <w:r>
        <w:rPr>
          <w:rFonts w:ascii="Arial;sans-serif" w:hAnsi="Arial;sans-serif"/>
          <w:b w:val="false"/>
          <w:color w:val="000000"/>
          <w:sz w:val="19"/>
          <w:shd w:fill="FFFFFF" w:val="clear"/>
        </w:rPr>
        <w:t>Although</w:t>
      </w:r>
      <w:r>
        <w:rPr>
          <w:color w:val="000000"/>
        </w:rPr>
        <w:t xml:space="preserve"> </w:t>
      </w:r>
      <w:r>
        <w:rPr>
          <w:rFonts w:ascii="Arial;sans-serif" w:hAnsi="Arial;sans-serif"/>
          <w:b w:val="false"/>
          <w:color w:val="000000"/>
          <w:sz w:val="19"/>
        </w:rPr>
        <w:t>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(a) Sales of Unregistered Securities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None.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(b) Use of Proceeds from Public Offering of Common Stock</w:t>
      </w:r>
    </w:p>
    <w:p>
      <w:pPr>
        <w:pStyle w:val="TextBody"/>
        <w:bidi w:val="0"/>
        <w:spacing w:lineRule="auto" w:line="288" w:before="180" w:after="283"/>
        <w:jc w:val="both"/>
        <w:rPr/>
      </w:pPr>
      <w:r>
        <w:rPr>
          <w:rFonts w:ascii="Arial;sans-serif" w:hAnsi="Arial;sans-serif"/>
          <w:b w:val="false"/>
          <w:color w:val="000000"/>
          <w:sz w:val="19"/>
        </w:rPr>
        <w:t xml:space="preserve">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w:t>
      </w:r>
      <w:r>
        <w:rPr>
          <w:rFonts w:ascii="Arial;sans-serif" w:hAnsi="Arial;sans-serif"/>
          <w:b w:val="false"/>
          <w:color w:val="000000"/>
          <w:sz w:val="19"/>
          <w:shd w:fill="FFFFFF" w:val="clear"/>
        </w:rPr>
        <w:t>$3.8 million</w:t>
      </w:r>
      <w:r>
        <w:rPr>
          <w:rFonts w:ascii="Arial;sans-serif" w:hAnsi="Arial;sans-serif"/>
          <w:b w:val="false"/>
          <w:color w:val="000000"/>
          <w:sz w:val="19"/>
        </w:rPr>
        <w: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Jefferies LLC and Cowen served as lead book-running managers and BMO Capital Markets served as joint book-running manager for the offering. Northland Capital Markets and Rosenblatt Securities acted as co-managers.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No payments were made to our directors or officers or their associates, holders of 10% or more of any class of our equity securities or any affiliates in connection with the issuance and sale of the securities registered.</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There has been no material change in the planned use of proceeds from our IPO as described in our Final Prospectus for the IPO dated as of October 26, 2021 and filed with the SEC pursuant to Rule 424(b)(4) on October 28,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3. Defaults Upon Senior Securities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4. Mine Safety Disclosures</w:t>
      </w:r>
    </w:p>
    <w:p>
      <w:pPr>
        <w:pStyle w:val="TextBody"/>
        <w:bidi w:val="0"/>
        <w:spacing w:lineRule="auto" w:line="288" w:before="240" w:after="283"/>
        <w:jc w:val="left"/>
        <w:rPr>
          <w:rFonts w:ascii="Arial;sans-serif" w:hAnsi="Arial;sans-serif"/>
          <w:b w:val="false"/>
          <w:color w:val="000000"/>
          <w:sz w:val="19"/>
        </w:rPr>
      </w:pPr>
      <w:r>
        <w:rPr>
          <w:rFonts w:ascii="Arial;sans-serif" w:hAnsi="Arial;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left"/>
        <w:rPr>
          <w:rFonts w:ascii="Arial;sans-serif" w:hAnsi="Arial;sans-serif"/>
          <w:b/>
          <w:color w:val="000000"/>
          <w:sz w:val="19"/>
        </w:rPr>
      </w:pPr>
      <w:r>
        <w:rPr>
          <w:rFonts w:ascii="Arial;sans-serif" w:hAnsi="Arial;sans-serif"/>
          <w:b/>
          <w:color w:val="000000"/>
          <w:sz w:val="19"/>
        </w:rPr>
        <w:t>Item 5. Other Information</w:t>
      </w:r>
    </w:p>
    <w:p>
      <w:pPr>
        <w:pStyle w:val="TextBody"/>
        <w:bidi w:val="0"/>
        <w:spacing w:lineRule="auto" w:line="288" w:before="180" w:after="283"/>
        <w:jc w:val="both"/>
        <w:rPr>
          <w:rFonts w:ascii="Arial;sans-serif" w:hAnsi="Arial;sans-serif"/>
          <w:b/>
          <w:color w:val="000000"/>
          <w:sz w:val="19"/>
        </w:rPr>
      </w:pPr>
      <w:r>
        <w:rPr>
          <w:rFonts w:ascii="Arial;sans-serif" w:hAnsi="Arial;sans-serif"/>
          <w:b/>
          <w:color w:val="000000"/>
          <w:sz w:val="19"/>
        </w:rPr>
        <w:t>Chief Financial Officer Departure:</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As previously disclosed on a Current Report on Form 8-K filed with the Securities and Exchange Commission on May 12, 2026, Nick Hawkins, the Company’s Chief Financial Officer, notified the Company of his intention to retire from his current executive position due to an illness in his family. Mr. Hawkins’ retirement will become effective September 7, 2026 (the Employment Departure Date).</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Company entered into a Separation and Consulting Agreement (the Separation Agreement) with Mr. Hawkins on July 31, 2026. Pursuant to the terms of the Separation Agreement, subject to Mr. Hawkins’ timely executing and not revoking a release of all claims against the Company, Mr. Hawkins’ continued employment through the Employment Departure Date or termination by the Company without Cause (as defined in the Separation Agreement) prior to the Employment Departure Date, and Mr. Hawkins’ compliance with the Continuing Obligations (as defined in the Separation Agreement), the Company will directly pay or reimburse Mr. Hawkins for the Company’s portion of COBRA premium payments for Mr. Hawkins and his covered dependents for eighteen (18) months, or until Mr. Hawkins becomes eligible for coverage under another employer's health plan, whichever occurs earlier.</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Pursuant to the Separation Agreement, beginning the Employment Departure Date, and ending on August 31, 2027 (the Consulting Period), Mr. Hawkins will serve as a transitional advisor to the Company and, subject to his timely execution and non-revocation of a second general release of all claims against the Company on or following August 31, 2027, and Mr. Hawkins’ compliance during the Consulting Period with certain restrictive covenants, each of Mr. Hawkins' then-outstanding and unvested restricted stock units and stock options subject to a time-based vesting schedule (the Hawkins Awards) will be amended such that those awards will continue to vest during the Consulting Period at a rate equal to fifty percent (50%) of the rate at which each such award would have otherwise vested pursuant to the original vesting schedule, subject to Mr. Hawkins' continuous service through each applicable vesting date. In addition, the Company will pay reasonable legal fees of up to $10,000 incurred by Mr. Hawkins in negotiating the Separation Agreement.</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The foregoing description of the Separation Agreement does not purport to be complete and is qualified in its entirety by reference to the full text of the Separation Agreement, a copy of which is filed herewith as Exhibit 10.1 and is incorporated by reference herein.</w:t>
      </w:r>
    </w:p>
    <w:p>
      <w:pPr>
        <w:pStyle w:val="TextBody"/>
        <w:bidi w:val="0"/>
        <w:spacing w:lineRule="auto" w:line="288" w:before="240" w:after="283"/>
        <w:jc w:val="both"/>
        <w:rPr>
          <w:rFonts w:ascii="Arial;sans-serif" w:hAnsi="Arial;sans-serif"/>
          <w:b/>
          <w:color w:val="000000"/>
          <w:sz w:val="19"/>
        </w:rPr>
      </w:pPr>
      <w:r>
        <w:rPr>
          <w:rFonts w:ascii="Arial;sans-serif" w:hAnsi="Arial;sans-serif"/>
          <w:b/>
          <w:color w:val="000000"/>
          <w:sz w:val="19"/>
        </w:rPr>
        <w:t>10b5-1 plans:</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On May 20, 2026, Wayne Cantwell, Director, as the trustee of the Cantwell Living Trust, adopted a Rule 10b5-1 trading arrangement of the Cantwell Living Trust that was intended to satisfy the affirmative defense of Rule 10b5-1(c) for the sale of up to 78,198 shares of the Company’s common stock until May 31, 2027.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May 27, 2026, Raman Chitkara, Director, adopted a Rule 10b5-1 trading arrangement that was intended to satisfy the affirmative defense of Rule 10b5-1(c) for the sale of up to 20,000 shares of the Company’s common stock until June 30, 2027.</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 xml:space="preserve">On June 9, 2026, Antonio Viana, Director, as the trustee of the Viana Family Trust, terminated a Rule 10b5-1 trading arrangement of the Viana Family Trust that was intended to satisfy the affirmative defense of Rule 10b5-1(c) for the sale of up to 219,589 shares of the Company’s common stock until September 30, 2026. </w:t>
      </w:r>
    </w:p>
    <w:p>
      <w:pPr>
        <w:pStyle w:val="TextBody"/>
        <w:bidi w:val="0"/>
        <w:spacing w:lineRule="auto" w:line="288" w:before="180" w:after="283"/>
        <w:jc w:val="both"/>
        <w:rPr>
          <w:rFonts w:ascii="Arial;sans-serif" w:hAnsi="Arial;sans-serif"/>
          <w:b w:val="false"/>
          <w:color w:val="000000"/>
          <w:sz w:val="19"/>
        </w:rPr>
      </w:pPr>
      <w:r>
        <w:rPr>
          <w:rFonts w:ascii="Arial;sans-serif" w:hAnsi="Arial;sans-serif"/>
          <w:b w:val="false"/>
          <w:color w:val="000000"/>
          <w:sz w:val="19"/>
        </w:rPr>
        <w:t>On June 15, 2026, Laurent Moll, Chief Operating Officer, adopted a Rule 10b5-1 trading arrangement that was intended to satisfy the affirmative defense of Rule 10b5-1(c) for the sale of up to 122,043 shares of the Company’s common stock until June 30,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2390"/>
        <w:gridCol w:w="2059"/>
        <w:gridCol w:w="2066"/>
        <w:gridCol w:w="182"/>
        <w:gridCol w:w="182"/>
        <w:gridCol w:w="183"/>
        <w:gridCol w:w="220"/>
        <w:gridCol w:w="220"/>
        <w:gridCol w:w="221"/>
        <w:gridCol w:w="237"/>
        <w:gridCol w:w="237"/>
        <w:gridCol w:w="238"/>
        <w:gridCol w:w="289"/>
        <w:gridCol w:w="289"/>
        <w:gridCol w:w="419"/>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No.</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 of Exhibit</w:t>
            </w:r>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Date</w:t>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5"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vAlign w:val="center"/>
          </w:tcPr>
          <w:p>
            <w:pPr>
              <w:pStyle w:val="TableContents"/>
              <w:bidi w:val="0"/>
              <w:spacing w:before="0" w:after="283"/>
              <w:jc w:val="left"/>
              <w:rPr>
                <w:sz w:val="4"/>
                <w:szCs w:val="4"/>
              </w:rPr>
            </w:pPr>
            <w:r>
              <w:rPr>
                <w:sz w:val="4"/>
                <w:szCs w:val="4"/>
              </w:rPr>
            </w:r>
          </w:p>
        </w:tc>
        <w:tc>
          <w:tcPr>
            <w:tcW w:w="6515" w:type="dxa"/>
            <w:gridSpan w:val="3"/>
            <w:tcBorders/>
            <w:vAlign w:val="center"/>
          </w:tcPr>
          <w:p>
            <w:pPr>
              <w:pStyle w:val="TableContents"/>
              <w:bidi w:val="0"/>
              <w:spacing w:before="0" w:after="283"/>
              <w:jc w:val="left"/>
              <w:rPr>
                <w:sz w:val="4"/>
                <w:szCs w:val="4"/>
              </w:rPr>
            </w:pPr>
            <w:r>
              <w:rPr>
                <w:sz w:val="4"/>
                <w:szCs w:val="4"/>
              </w:rPr>
            </w:r>
          </w:p>
        </w:tc>
        <w:tc>
          <w:tcPr>
            <w:tcW w:w="54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20"/>
                  <w:u w:val="single"/>
                </w:rPr>
                <w:t>3.1</w:t>
              </w:r>
            </w:hyperlink>
          </w:p>
        </w:tc>
        <w:tc>
          <w:tcPr>
            <w:tcW w:w="6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Incorporation of Arteris, Inc.</w:t>
              </w:r>
            </w:hyperlink>
          </w:p>
        </w:tc>
        <w:tc>
          <w:tcPr>
            <w:tcW w:w="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3.2</w:t>
              </w:r>
            </w:hyperlink>
          </w:p>
        </w:tc>
        <w:tc>
          <w:tcPr>
            <w:tcW w:w="65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Amended and Restated Bylaws of Arteris, Inc.</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10-29-2021</w:t>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20"/>
                  <w:u w:val="single"/>
                </w:rPr>
                <w:t>4.1</w:t>
              </w:r>
            </w:hyperlink>
          </w:p>
        </w:tc>
        <w:tc>
          <w:tcPr>
            <w:tcW w:w="65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Specimen Stock Certificate evidencing the shares of common stock.</w:t>
              </w:r>
            </w:hyperlink>
          </w:p>
        </w:tc>
        <w:tc>
          <w:tcPr>
            <w:tcW w:w="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S-1/A</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10-18-2021</w:t>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101q2fy2610-q.htm">
              <w:r>
                <w:rPr>
                  <w:rStyle w:val="InternetLink"/>
                  <w:rFonts w:ascii="Arial;sans-serif" w:hAnsi="Arial;sans-serif"/>
                  <w:b w:val="false"/>
                  <w:color w:val="0000FF"/>
                  <w:sz w:val="20"/>
                  <w:u w:val="single"/>
                </w:rPr>
                <w:t>10.1</w:t>
              </w:r>
            </w:hyperlink>
          </w:p>
        </w:tc>
        <w:tc>
          <w:tcPr>
            <w:tcW w:w="65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fy2610-q.htm">
              <w:r>
                <w:rPr>
                  <w:rStyle w:val="InternetLink"/>
                  <w:rFonts w:ascii="Arial;sans-serif" w:hAnsi="Arial;sans-serif"/>
                  <w:b w:val="false"/>
                  <w:color w:val="0000FF"/>
                  <w:sz w:val="20"/>
                  <w:u w:val="single"/>
                </w:rPr>
                <w:t>Separation and Consulting Agreement by and between Nick Hawkins and Arteris, Inc.</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1q2fy2610-q.htm">
              <w:r>
                <w:rPr>
                  <w:rStyle w:val="InternetLink"/>
                  <w:rFonts w:ascii="Arial;sans-serif" w:hAnsi="Arial;sans-serif"/>
                  <w:b w:val="false"/>
                  <w:color w:val="0000FF"/>
                  <w:sz w:val="20"/>
                  <w:u w:val="single"/>
                </w:rPr>
                <w:t>31.1</w:t>
              </w:r>
            </w:hyperlink>
          </w:p>
        </w:tc>
        <w:tc>
          <w:tcPr>
            <w:tcW w:w="65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fy2610-q.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12q2fy2610-q.htm">
              <w:r>
                <w:rPr>
                  <w:rStyle w:val="InternetLink"/>
                  <w:rFonts w:ascii="Arial;sans-serif" w:hAnsi="Arial;sans-serif"/>
                  <w:b w:val="false"/>
                  <w:color w:val="0000FF"/>
                  <w:sz w:val="20"/>
                  <w:u w:val="single"/>
                </w:rPr>
                <w:t>31.2</w:t>
              </w:r>
            </w:hyperlink>
          </w:p>
        </w:tc>
        <w:tc>
          <w:tcPr>
            <w:tcW w:w="65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fy2610-q.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1q2fy2610-q.htm">
              <w:r>
                <w:rPr>
                  <w:rStyle w:val="InternetLink"/>
                  <w:rFonts w:ascii="Arial;sans-serif" w:hAnsi="Arial;sans-serif"/>
                  <w:b w:val="false"/>
                  <w:color w:val="0000FF"/>
                  <w:sz w:val="20"/>
                  <w:u w:val="single"/>
                </w:rPr>
                <w:t>32.1</w:t>
              </w:r>
            </w:hyperlink>
            <w:r>
              <w:rPr>
                <w:rFonts w:ascii="Arial;sans-serif" w:hAnsi="Arial;sans-serif"/>
                <w:b w:val="false"/>
                <w:color w:val="000000"/>
                <w:sz w:val="20"/>
              </w:rPr>
              <w:t>*</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fy2610-q.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hibit322q2fy2610-q.htm">
              <w:r>
                <w:rPr>
                  <w:rStyle w:val="InternetLink"/>
                  <w:rFonts w:ascii="Arial;sans-serif" w:hAnsi="Arial;sans-serif"/>
                  <w:b w:val="false"/>
                  <w:color w:val="0000FF"/>
                  <w:sz w:val="20"/>
                  <w:u w:val="single"/>
                </w:rPr>
                <w:t>32.2</w:t>
              </w:r>
            </w:hyperlink>
            <w:r>
              <w:rPr>
                <w:rFonts w:ascii="Arial;sans-serif" w:hAnsi="Arial;sans-serif"/>
                <w:b w:val="false"/>
                <w:color w:val="000000"/>
                <w:sz w:val="20"/>
              </w:rPr>
              <w:t>*</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fy2610-q.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101.INS</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101.CAL</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101.DEF</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Exhibits 101).</w:t>
            </w:r>
          </w:p>
        </w:tc>
        <w:tc>
          <w:tcPr>
            <w:tcW w:w="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b3d83a74f8b64252b563d8792d241db4_7">
        <w:r>
          <w:rPr>
            <w:rStyle w:val="InternetLink"/>
            <w:rFonts w:ascii="Verdana;sans-serif" w:hAnsi="Verdana;sans-serif"/>
            <w:b w:val="false"/>
            <w:color w:val="0000FF"/>
            <w:sz w:val="20"/>
            <w:u w:val="single"/>
          </w:rPr>
          <w:t>Table of Contents</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6, 2026</w:t>
      </w:r>
    </w:p>
    <w:p>
      <w:pPr>
        <w:pStyle w:val="TextBody"/>
        <w:bidi w:val="0"/>
        <w:spacing w:before="0" w:after="0"/>
        <w:ind w:left="0" w:right="0" w:firstLine="720"/>
        <w:jc w:val="right"/>
        <w:rPr/>
      </w:pPr>
      <w:r>
        <w:rPr/>
      </w:r>
    </w:p>
    <w:tbl>
      <w:tblPr>
        <w:tblW w:w="4605" w:type="dxa"/>
        <w:jc w:val="right"/>
        <w:tblInd w:w="0" w:type="dxa"/>
        <w:tblLayout w:type="fixed"/>
        <w:tblCellMar>
          <w:top w:w="28" w:type="dxa"/>
          <w:left w:w="28" w:type="dxa"/>
          <w:bottom w:w="28" w:type="dxa"/>
          <w:right w:w="28" w:type="dxa"/>
        </w:tblCellMar>
      </w:tblPr>
      <w:tblGrid>
        <w:gridCol w:w="250"/>
        <w:gridCol w:w="219"/>
        <w:gridCol w:w="221"/>
        <w:gridCol w:w="1139"/>
        <w:gridCol w:w="1139"/>
        <w:gridCol w:w="1637"/>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Arteris,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 Charles Janac</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Nicholas B. Hawkins</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and Chief Financial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10.1</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1"/>
        </w:rPr>
      </w:pPr>
      <w:r>
        <w:rPr>
          <w:rFonts w:ascii="Arial;sans-serif" w:hAnsi="Arial;sans-serif"/>
          <w:b/>
          <w:color w:val="000000"/>
          <w:sz w:val="21"/>
        </w:rPr>
        <w:t>CONFIDENTIAL SEPARATION AND CONSULTING AGREEMENT</w:t>
      </w:r>
    </w:p>
    <w:p>
      <w:pPr>
        <w:pStyle w:val="TextBody"/>
        <w:bidi w:val="0"/>
        <w:spacing w:lineRule="auto" w:line="288" w:before="0" w:after="240"/>
        <w:ind w:left="0" w:right="0" w:firstLine="720"/>
        <w:jc w:val="both"/>
        <w:rPr/>
      </w:pPr>
      <w:r>
        <w:rPr>
          <w:rFonts w:ascii="Arial;sans-serif" w:hAnsi="Arial;sans-serif"/>
          <w:b w:val="false"/>
          <w:color w:val="000000"/>
          <w:sz w:val="21"/>
        </w:rPr>
        <w:t>This Confidential Separation and Consulting Agreement (“</w:t>
      </w:r>
      <w:r>
        <w:rPr>
          <w:rFonts w:ascii="Arial;sans-serif" w:hAnsi="Arial;sans-serif"/>
          <w:b/>
          <w:i/>
          <w:color w:val="000000"/>
          <w:sz w:val="21"/>
        </w:rPr>
        <w:t>Agreement</w:t>
      </w:r>
      <w:r>
        <w:rPr>
          <w:color w:val="000000"/>
        </w:rPr>
        <w:t>”</w:t>
      </w:r>
      <w:r>
        <w:rPr>
          <w:rFonts w:ascii="Arial;sans-serif" w:hAnsi="Arial;sans-serif"/>
          <w:b w:val="false"/>
          <w:color w:val="000000"/>
          <w:sz w:val="21"/>
        </w:rPr>
        <w:t>) is entered into on July 31, 2026 by and between Arteris, Inc. (the “</w:t>
      </w:r>
      <w:r>
        <w:rPr>
          <w:rFonts w:ascii="Arial;sans-serif" w:hAnsi="Arial;sans-serif"/>
          <w:b/>
          <w:i/>
          <w:color w:val="000000"/>
          <w:sz w:val="21"/>
        </w:rPr>
        <w:t>Company</w:t>
      </w:r>
      <w:r>
        <w:rPr>
          <w:color w:val="000000"/>
        </w:rPr>
        <w:t>”</w:t>
      </w:r>
      <w:r>
        <w:rPr>
          <w:rFonts w:ascii="Arial;sans-serif" w:hAnsi="Arial;sans-serif"/>
          <w:b w:val="false"/>
          <w:color w:val="000000"/>
          <w:sz w:val="21"/>
        </w:rPr>
        <w:t>) and Nick Hawkins (“</w:t>
      </w:r>
      <w:r>
        <w:rPr>
          <w:rFonts w:ascii="Arial;sans-serif" w:hAnsi="Arial;sans-serif"/>
          <w:b/>
          <w:i/>
          <w:color w:val="000000"/>
          <w:sz w:val="21"/>
        </w:rPr>
        <w:t>Executive</w:t>
      </w:r>
      <w:r>
        <w:rPr>
          <w:color w:val="000000"/>
        </w:rPr>
        <w:t>”</w:t>
      </w:r>
      <w:r>
        <w:rPr>
          <w:rFonts w:ascii="Arial;sans-serif" w:hAnsi="Arial;sans-serif"/>
          <w:b w:val="false"/>
          <w:color w:val="000000"/>
          <w:sz w:val="21"/>
        </w:rPr>
        <w:t>).</w:t>
      </w:r>
    </w:p>
    <w:p>
      <w:pPr>
        <w:pStyle w:val="TextBody"/>
        <w:bidi w:val="0"/>
        <w:spacing w:lineRule="auto" w:line="288" w:before="0" w:after="240"/>
        <w:ind w:left="0" w:right="0" w:firstLine="720"/>
        <w:jc w:val="both"/>
        <w:rPr/>
      </w:pPr>
      <w:r>
        <w:rPr>
          <w:rFonts w:ascii="Arial;sans-serif" w:hAnsi="Arial;sans-serif"/>
          <w:b w:val="false"/>
          <w:color w:val="000000"/>
          <w:sz w:val="21"/>
        </w:rPr>
        <w:t>WHEREAS, the Company and Executive have agreed that since Executive has announced Executive’s retirement, Executive’s employment with the Company will end and thus terminate effective as of September 7, 2026 (the “</w:t>
      </w:r>
      <w:r>
        <w:rPr>
          <w:rFonts w:ascii="Arial;sans-serif" w:hAnsi="Arial;sans-serif"/>
          <w:b/>
          <w:i/>
          <w:color w:val="000000"/>
          <w:sz w:val="21"/>
        </w:rPr>
        <w:t>Employment Departure Date</w:t>
      </w:r>
      <w:r>
        <w:rPr>
          <w:color w:val="000000"/>
        </w:rPr>
        <w:t>”</w:t>
      </w:r>
      <w:r>
        <w:rPr>
          <w:rFonts w:ascii="Arial;sans-serif" w:hAnsi="Arial;sans-serif"/>
          <w:b w:val="false"/>
          <w:color w:val="000000"/>
          <w:sz w:val="21"/>
        </w:rPr>
        <w:t>) and Executive shall thereafter provide certain consulting services to the Company, in each case, subject to the terms and conditions set forth in this Agreement; and</w:t>
      </w:r>
    </w:p>
    <w:p>
      <w:pPr>
        <w:pStyle w:val="TextBody"/>
        <w:bidi w:val="0"/>
        <w:spacing w:lineRule="auto" w:line="288" w:before="0" w:after="240"/>
        <w:ind w:left="0" w:right="0" w:firstLine="720"/>
        <w:jc w:val="both"/>
        <w:rPr>
          <w:rFonts w:ascii="Arial;sans-serif" w:hAnsi="Arial;sans-serif"/>
          <w:b w:val="false"/>
          <w:color w:val="000000"/>
          <w:sz w:val="21"/>
        </w:rPr>
      </w:pPr>
      <w:r>
        <w:rPr>
          <w:rFonts w:ascii="Arial;sans-serif" w:hAnsi="Arial;sans-serif"/>
          <w:b w:val="false"/>
          <w:color w:val="000000"/>
          <w:sz w:val="21"/>
        </w:rPr>
        <w:t>WHEREAS, if Executive signs and returns this Agreement in accordance with Section 8 below, then this Agreement shall become a binding agreement between Executive and the Company on the date Executive signs this Agreement.</w:t>
      </w:r>
    </w:p>
    <w:p>
      <w:pPr>
        <w:pStyle w:val="TextBody"/>
        <w:bidi w:val="0"/>
        <w:spacing w:lineRule="auto" w:line="288" w:before="0" w:after="240"/>
        <w:ind w:left="0" w:right="0" w:firstLine="720"/>
        <w:jc w:val="both"/>
        <w:rPr>
          <w:rFonts w:ascii="Arial;sans-serif" w:hAnsi="Arial;sans-serif"/>
          <w:b w:val="false"/>
          <w:color w:val="000000"/>
          <w:sz w:val="21"/>
        </w:rPr>
      </w:pPr>
      <w:r>
        <w:rPr>
          <w:rFonts w:ascii="Arial;sans-serif" w:hAnsi="Arial;sans-serif"/>
          <w:b w:val="false"/>
          <w:color w:val="000000"/>
          <w:sz w:val="21"/>
        </w:rPr>
        <w:t>NOW, THEREFORE, in consideration of the promises and mutual agreements set forth in this Agreement, Executive and the Company agree as follows:</w:t>
      </w:r>
    </w:p>
    <w:p>
      <w:pPr>
        <w:pStyle w:val="TextBody"/>
        <w:bidi w:val="0"/>
        <w:spacing w:lineRule="auto" w:line="288" w:before="0" w:after="240"/>
        <w:ind w:left="0" w:right="0" w:firstLine="720"/>
        <w:jc w:val="both"/>
        <w:rPr/>
      </w:pPr>
      <w:r>
        <w:rPr>
          <w:rFonts w:ascii="Arial;sans-serif" w:hAnsi="Arial;sans-serif"/>
          <w:b w:val="false"/>
          <w:color w:val="000000"/>
          <w:sz w:val="21"/>
        </w:rPr>
        <w:t>1.</w:t>
      </w:r>
      <w:r>
        <w:rPr>
          <w:rFonts w:ascii="Arial;sans-serif" w:hAnsi="Arial;sans-serif"/>
          <w:b w:val="false"/>
          <w:color w:val="000000"/>
          <w:sz w:val="21"/>
          <w:u w:val="single"/>
        </w:rPr>
        <w:t>Termination of Employment, Severance and Consulting Services</w:t>
      </w:r>
      <w:r>
        <w:rPr>
          <w:rFonts w:ascii="Arial;sans-serif" w:hAnsi="Arial;sans-serif"/>
          <w:b w:val="false"/>
          <w:color w:val="000000"/>
          <w:sz w:val="21"/>
        </w:rPr>
        <w:t>.</w:t>
      </w:r>
    </w:p>
    <w:p>
      <w:pPr>
        <w:pStyle w:val="TextBody"/>
        <w:bidi w:val="0"/>
        <w:spacing w:lineRule="auto" w:line="288" w:before="0" w:after="240"/>
        <w:ind w:left="0" w:right="0" w:firstLine="1440"/>
        <w:jc w:val="both"/>
        <w:rPr/>
      </w:pPr>
      <w:r>
        <w:rPr>
          <w:rFonts w:ascii="Arial;sans-serif" w:hAnsi="Arial;sans-serif"/>
          <w:b w:val="false"/>
          <w:color w:val="000000"/>
          <w:sz w:val="21"/>
        </w:rPr>
        <w:t>1.1</w:t>
      </w:r>
      <w:r>
        <w:rPr>
          <w:rFonts w:ascii="Arial;sans-serif" w:hAnsi="Arial;sans-serif"/>
          <w:b w:val="false"/>
          <w:color w:val="000000"/>
          <w:sz w:val="21"/>
          <w:u w:val="single"/>
        </w:rPr>
        <w:t>Termination of Employment</w:t>
      </w:r>
      <w:r>
        <w:rPr>
          <w:rFonts w:ascii="Arial;sans-serif" w:hAnsi="Arial;sans-serif"/>
          <w:b w:val="false"/>
          <w:color w:val="000000"/>
          <w:sz w:val="21"/>
        </w:rPr>
        <w:t xml:space="preserve">. Regardless of whether Executive signs this Agreement, Company and Executive mutually agree that Executive’s last day of employment with the Company and any of its affiliates shall be the Employment Departure Date described above. Effective as of the Employment Departure Date, Executive’s employment with the Company and its affiliates shall terminate, and Executive shall automatically be deemed to resign from all Executive’s positions with the Company and its affiliates without any further action by Executive or the Company or any of its affiliates. </w:t>
      </w:r>
    </w:p>
    <w:p>
      <w:pPr>
        <w:pStyle w:val="TextBody"/>
        <w:bidi w:val="0"/>
        <w:spacing w:lineRule="auto" w:line="288" w:before="0" w:after="240"/>
        <w:ind w:left="0" w:right="0" w:firstLine="1440"/>
        <w:jc w:val="both"/>
        <w:rPr/>
      </w:pPr>
      <w:r>
        <w:rPr>
          <w:rFonts w:ascii="Arial;sans-serif" w:hAnsi="Arial;sans-serif"/>
          <w:b w:val="false"/>
          <w:color w:val="000000"/>
          <w:sz w:val="21"/>
        </w:rPr>
        <w:t>1.2</w:t>
      </w:r>
      <w:r>
        <w:rPr>
          <w:rFonts w:ascii="Arial;sans-serif" w:hAnsi="Arial;sans-serif"/>
          <w:b w:val="false"/>
          <w:color w:val="000000"/>
          <w:sz w:val="21"/>
          <w:u w:val="single"/>
        </w:rPr>
        <w:t>Accrued Obligations</w:t>
      </w:r>
      <w:r>
        <w:rPr>
          <w:rFonts w:ascii="Arial;sans-serif" w:hAnsi="Arial;sans-serif"/>
          <w:b w:val="false"/>
          <w:color w:val="000000"/>
          <w:sz w:val="21"/>
        </w:rPr>
        <w:t>. Regardless of whether Executive signs this Agreement, Company and Executive mutually agree that no later than the Employment Departure Date described above, the Company shall pay to Executive (a) all accrued salary through the Employment Departure Date, (b) all accrued unused paid time off through the Employment Departure Date, and (c) any unreimbursed business expenses incurred and submitted by Executive prior to the Employment Departure Date in accordance with Company policy (the “</w:t>
      </w:r>
      <w:r>
        <w:rPr>
          <w:rFonts w:ascii="Arial;sans-serif" w:hAnsi="Arial;sans-serif"/>
          <w:b/>
          <w:i/>
          <w:color w:val="000000"/>
          <w:sz w:val="21"/>
        </w:rPr>
        <w:t>Accrued Obligations</w:t>
      </w:r>
      <w:r>
        <w:rPr>
          <w:color w:val="000000"/>
        </w:rPr>
        <w:t>”</w:t>
      </w:r>
      <w:r>
        <w:rPr>
          <w:rFonts w:ascii="Arial;sans-serif" w:hAnsi="Arial;sans-serif"/>
          <w:b w:val="false"/>
          <w:color w:val="000000"/>
          <w:sz w:val="21"/>
        </w:rPr>
        <w:t>).</w:t>
      </w:r>
    </w:p>
    <w:p>
      <w:pPr>
        <w:pStyle w:val="TextBody"/>
        <w:bidi w:val="0"/>
        <w:spacing w:lineRule="auto" w:line="288" w:before="0" w:after="240"/>
        <w:ind w:left="0" w:right="0" w:firstLine="1440"/>
        <w:jc w:val="both"/>
        <w:rPr/>
      </w:pPr>
      <w:r>
        <w:rPr>
          <w:rFonts w:ascii="Arial;sans-serif" w:hAnsi="Arial;sans-serif"/>
          <w:b w:val="false"/>
          <w:color w:val="000000"/>
          <w:sz w:val="21"/>
        </w:rPr>
        <w:t>1.3</w:t>
      </w:r>
      <w:r>
        <w:rPr>
          <w:rFonts w:ascii="Arial;sans-serif" w:hAnsi="Arial;sans-serif"/>
          <w:b w:val="false"/>
          <w:color w:val="000000"/>
          <w:sz w:val="21"/>
          <w:u w:val="single"/>
        </w:rPr>
        <w:t>Severance Upon Termination of Employment</w:t>
      </w:r>
      <w:r>
        <w:rPr>
          <w:rFonts w:ascii="Arial;sans-serif" w:hAnsi="Arial;sans-serif"/>
          <w:b w:val="false"/>
          <w:color w:val="000000"/>
          <w:sz w:val="21"/>
        </w:rPr>
        <w:t xml:space="preserve">. Subject to and conditioned upon (a) Executive’s execution of this Agreement, including Executive’s timely execution and non-revocation of the general release of claims attached hereto as </w:t>
      </w:r>
      <w:r>
        <w:rPr>
          <w:rFonts w:ascii="Arial;sans-serif" w:hAnsi="Arial;sans-serif"/>
          <w:b w:val="false"/>
          <w:color w:val="000000"/>
          <w:sz w:val="21"/>
          <w:u w:val="single"/>
        </w:rPr>
        <w:t>Exhibit A</w:t>
      </w:r>
      <w:r>
        <w:rPr>
          <w:color w:val="000000"/>
        </w:rPr>
        <w:t xml:space="preserve"> </w:t>
      </w:r>
      <w:r>
        <w:rPr>
          <w:rFonts w:ascii="Arial;sans-serif" w:hAnsi="Arial;sans-serif"/>
          <w:b w:val="false"/>
          <w:color w:val="000000"/>
          <w:sz w:val="21"/>
        </w:rPr>
        <w:t>(the “</w:t>
      </w:r>
      <w:r>
        <w:rPr>
          <w:rFonts w:ascii="Arial;sans-serif" w:hAnsi="Arial;sans-serif"/>
          <w:b/>
          <w:i/>
          <w:color w:val="000000"/>
          <w:sz w:val="21"/>
        </w:rPr>
        <w:t>Release</w:t>
      </w:r>
      <w:r>
        <w:rPr>
          <w:color w:val="000000"/>
        </w:rPr>
        <w:t>”</w:t>
      </w:r>
      <w:r>
        <w:rPr>
          <w:rFonts w:ascii="Arial;sans-serif" w:hAnsi="Arial;sans-serif"/>
          <w:b w:val="false"/>
          <w:color w:val="000000"/>
          <w:sz w:val="21"/>
        </w:rPr>
        <w:t>), (b) Executive’s continued employment through the Employment Departure Date or if Executive’s employment is terminated without Cause, and (c) Executive’s continued compliance with the Continuing Obligations (as defined below) (collectively, the “</w:t>
      </w:r>
      <w:r>
        <w:rPr>
          <w:rFonts w:ascii="Arial;sans-serif" w:hAnsi="Arial;sans-serif"/>
          <w:b/>
          <w:i/>
          <w:color w:val="000000"/>
          <w:sz w:val="21"/>
        </w:rPr>
        <w:t>Severance Preconditions</w:t>
      </w:r>
      <w:r>
        <w:rPr>
          <w:color w:val="000000"/>
        </w:rPr>
        <w:t>”</w:t>
      </w:r>
      <w:r>
        <w:rPr>
          <w:rFonts w:ascii="Arial;sans-serif" w:hAnsi="Arial;sans-serif"/>
          <w:b w:val="false"/>
          <w:color w:val="000000"/>
          <w:sz w:val="21"/>
        </w:rPr>
        <w:t>), the Company shall provide Executive with the following severance benefit (the “</w:t>
      </w:r>
      <w:r>
        <w:rPr>
          <w:rFonts w:ascii="Arial;sans-serif" w:hAnsi="Arial;sans-serif"/>
          <w:b/>
          <w:i/>
          <w:color w:val="000000"/>
          <w:sz w:val="21"/>
        </w:rPr>
        <w:t>Severance Benefit</w:t>
      </w:r>
      <w:r>
        <w:rPr>
          <w:color w:val="000000"/>
        </w:rPr>
        <w:t>”</w:t>
      </w:r>
      <w:r>
        <w:rPr>
          <w:rFonts w:ascii="Arial;sans-serif" w:hAnsi="Arial;sans-serif"/>
          <w:b w:val="false"/>
          <w:color w:val="000000"/>
          <w:sz w:val="21"/>
        </w:rPr>
        <w:t>): provided Executive timely elects to receive continued healthcare coverage pursuant to the provisions of the Consolidated Omnibus Budget Reconciliation Act of 1985, as amended (“</w:t>
      </w:r>
      <w:r>
        <w:rPr>
          <w:rFonts w:ascii="Arial;sans-serif" w:hAnsi="Arial;sans-serif"/>
          <w:b/>
          <w:i/>
          <w:color w:val="000000"/>
          <w:sz w:val="21"/>
        </w:rPr>
        <w:t>COBRA</w:t>
      </w:r>
      <w:r>
        <w:rPr>
          <w:color w:val="000000"/>
        </w:rPr>
        <w:t>”</w:t>
      </w:r>
      <w:r>
        <w:rPr>
          <w:rFonts w:ascii="Arial;sans-serif" w:hAnsi="Arial;sans-serif"/>
          <w:b w:val="false"/>
          <w:color w:val="000000"/>
          <w:sz w:val="21"/>
        </w:rPr>
        <w:t xml:space="preserve">), the Company shall directly pay, or reimburse Executive for, the Company’s portion of the premium for Executive and Executive’s covered dependents through the earlier of (A) the eighteen (18) month anniversary of the Employment Departure Date and (B) the date Executive and Executive’s covered dependents, if any, become eligible for healthcare coverage under another employer’s plan(s); provided, however, that notwithstanding the foregoing, (1) if any plan pursuant to which such benefits are provided is not, or ceases prior to the expiration of the period of continuation coverage to be, exempt from the application of Section 409A of the Internal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54430"/>
                <wp:effectExtent l="0" t="0" r="0" b="0"/>
                <wp:wrapNone/>
                <wp:docPr id="88" name="Frame88"/>
                <a:graphic xmlns:a="http://schemas.openxmlformats.org/drawingml/2006/main">
                  <a:graphicData uri="http://schemas.microsoft.com/office/word/2010/wordprocessingShape">
                    <wps:wsp>
                      <wps:cNvSpPr txBox="1"/>
                      <wps:spPr>
                        <a:xfrm>
                          <a:off x="0" y="0"/>
                          <a:ext cx="6480175" cy="11544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color w:val="000000"/>
          <w:sz w:val="21"/>
        </w:rPr>
        <w:t>Revenue Code of 1986, as amended, (the “</w:t>
      </w:r>
      <w:r>
        <w:rPr>
          <w:rFonts w:ascii="Arial;sans-serif" w:hAnsi="Arial;sans-serif"/>
          <w:b/>
          <w:i/>
          <w:color w:val="000000"/>
          <w:sz w:val="21"/>
        </w:rPr>
        <w:t>Code</w:t>
      </w:r>
      <w:r>
        <w:rPr>
          <w:color w:val="000000"/>
        </w:rPr>
        <w:t>”</w:t>
      </w:r>
      <w:r>
        <w:rPr>
          <w:rFonts w:ascii="Arial;sans-serif" w:hAnsi="Arial;sans-serif"/>
          <w:b w:val="false"/>
          <w:color w:val="000000"/>
          <w:sz w:val="21"/>
        </w:rPr>
        <w:t>) under Treasury Regulation Section 1.409A-1(a)(5), or (2)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provided further that (x) after the Company ceases to pay COBRA premiums pursuant to this Section 1.3, Executive may, if eligible, elect to continue healthcare coverage at Executive’s expense in accordance with the provisions of COBRA, and (y) Executive shall notify the Company immediately if Executive becomes covered by a group health plan of a subsequent employer. Executive acknowledges and agrees that it is Executive's sole responsibility to timely elect COBRA continuation coverage and to timely re-enroll and affirmatively elect coverage at each applicable enrollment period during the COBRA continuation coverage period. The Company shall have no obligation to enroll or to prompt Executive to timely enroll in COBRA coverage, or to take any corrective action in the event Executive fails to meet an applicable enrollment deadline.</w:t>
      </w:r>
    </w:p>
    <w:p>
      <w:pPr>
        <w:pStyle w:val="TextBody"/>
        <w:bidi w:val="0"/>
        <w:spacing w:lineRule="auto" w:line="288" w:before="0" w:after="240"/>
        <w:ind w:left="0" w:right="0" w:firstLine="1440"/>
        <w:jc w:val="both"/>
        <w:rPr/>
      </w:pPr>
      <w:r>
        <w:rPr>
          <w:rFonts w:ascii="Arial;sans-serif" w:hAnsi="Arial;sans-serif"/>
          <w:b w:val="false"/>
          <w:color w:val="000000"/>
          <w:sz w:val="21"/>
        </w:rPr>
        <w:t>1.4</w:t>
      </w:r>
      <w:r>
        <w:rPr>
          <w:rFonts w:ascii="Arial;sans-serif" w:hAnsi="Arial;sans-serif"/>
          <w:b w:val="false"/>
          <w:color w:val="000000"/>
          <w:sz w:val="21"/>
          <w:u w:val="single"/>
        </w:rPr>
        <w:t>Consulting Services, Consideration and Restrictive Covenant</w:t>
      </w:r>
      <w:r>
        <w:rPr>
          <w:rFonts w:ascii="Arial;sans-serif" w:hAnsi="Arial;sans-serif"/>
          <w:b w:val="false"/>
          <w:color w:val="000000"/>
          <w:sz w:val="21"/>
        </w:rPr>
        <w:t xml:space="preserve">. </w:t>
      </w:r>
    </w:p>
    <w:p>
      <w:pPr>
        <w:pStyle w:val="TextBody"/>
        <w:bidi w:val="0"/>
        <w:spacing w:lineRule="auto" w:line="288" w:before="0" w:after="240"/>
        <w:ind w:left="0" w:right="0" w:firstLine="2160"/>
        <w:jc w:val="both"/>
        <w:rPr/>
      </w:pPr>
      <w:r>
        <w:rPr>
          <w:rFonts w:ascii="Arial;sans-serif" w:hAnsi="Arial;sans-serif"/>
          <w:b w:val="false"/>
          <w:color w:val="000000"/>
          <w:sz w:val="21"/>
        </w:rPr>
        <w:t>(a)</w:t>
      </w:r>
      <w:r>
        <w:rPr>
          <w:rFonts w:ascii="Arial;sans-serif" w:hAnsi="Arial;sans-serif"/>
          <w:b w:val="false"/>
          <w:color w:val="000000"/>
          <w:sz w:val="21"/>
        </w:rPr>
        <w:t>If Executive satisfies the Severance Preconditions, then the Company will retain Executive as a consultant commencing on the Employment Departure Date and continuing until August 31, 2027 (the “</w:t>
      </w:r>
      <w:r>
        <w:rPr>
          <w:rFonts w:ascii="Arial;sans-serif" w:hAnsi="Arial;sans-serif"/>
          <w:b/>
          <w:i/>
          <w:color w:val="000000"/>
          <w:sz w:val="21"/>
        </w:rPr>
        <w:t>Consulting Period</w:t>
      </w:r>
      <w:r>
        <w:rPr>
          <w:color w:val="000000"/>
        </w:rPr>
        <w:t>”</w:t>
      </w:r>
      <w:r>
        <w:rPr>
          <w:rFonts w:ascii="Arial;sans-serif" w:hAnsi="Arial;sans-serif"/>
          <w:b w:val="false"/>
          <w:color w:val="000000"/>
          <w:sz w:val="21"/>
        </w:rPr>
        <w:t>). During the Consulting Period, Executive will use Executive’s best efforts to serve as a transitional advisor to the Company as requested in writing by the Board, or in writing by the Company’s Chief Executive Officer (or by its then Chief Financial Officer (the “</w:t>
      </w:r>
      <w:r>
        <w:rPr>
          <w:rFonts w:ascii="Arial;sans-serif" w:hAnsi="Arial;sans-serif"/>
          <w:b/>
          <w:i/>
          <w:color w:val="000000"/>
          <w:sz w:val="21"/>
        </w:rPr>
        <w:t>CFO</w:t>
      </w:r>
      <w:r>
        <w:rPr>
          <w:color w:val="000000"/>
        </w:rPr>
        <w:t>”</w:t>
      </w:r>
      <w:r>
        <w:rPr>
          <w:rFonts w:ascii="Arial;sans-serif" w:hAnsi="Arial;sans-serif"/>
          <w:b w:val="false"/>
          <w:color w:val="000000"/>
          <w:sz w:val="21"/>
        </w:rPr>
        <w:t>) as preapproved by the Company’s Chief Executive Officer), and shall if so requested in writing provide transitional services and such other services that are appropriate for an individual of Executive’s knowledge, experience, and past status as CFO (the “</w:t>
      </w:r>
      <w:r>
        <w:rPr>
          <w:rFonts w:ascii="Arial;sans-serif" w:hAnsi="Arial;sans-serif"/>
          <w:b/>
          <w:i/>
          <w:color w:val="000000"/>
          <w:sz w:val="21"/>
        </w:rPr>
        <w:t>Consulting Services</w:t>
      </w:r>
      <w:r>
        <w:rPr>
          <w:color w:val="000000"/>
        </w:rPr>
        <w:t>”</w:t>
      </w:r>
      <w:r>
        <w:rPr>
          <w:rFonts w:ascii="Arial;sans-serif" w:hAnsi="Arial;sans-serif"/>
          <w:b w:val="false"/>
          <w:color w:val="000000"/>
          <w:sz w:val="21"/>
        </w:rPr>
        <w:t>). For clarity, Executive shall have no duties to the Company, nor contacts or communications with Company vendors, bankers, partners or other third parties for Company matters, except at the Company’s Chief Executive Officer’s written request. Executive shall not be required to provide more than 20 hours per month of Consulting Services for the first month and 10 hours of Consulting Services for each month thereafter. The Company may only terminate the consulting arrangement prior to the end of the Consulting term if Executive materially breaches this Agreement (and such breach is not cured within a reasonable time period not to exceed thirty (30) days).</w:t>
      </w:r>
    </w:p>
    <w:p>
      <w:pPr>
        <w:pStyle w:val="TextBody"/>
        <w:bidi w:val="0"/>
        <w:spacing w:lineRule="auto" w:line="288" w:before="0" w:after="240"/>
        <w:ind w:left="0" w:right="0" w:firstLine="2160"/>
        <w:jc w:val="both"/>
        <w:rPr/>
      </w:pPr>
      <w:r>
        <w:rPr>
          <w:rFonts w:ascii="Arial;sans-serif" w:hAnsi="Arial;sans-serif"/>
          <w:b w:val="false"/>
          <w:color w:val="000000"/>
          <w:sz w:val="21"/>
        </w:rPr>
        <w:t>(b)</w:t>
      </w:r>
      <w:r>
        <w:rPr>
          <w:rFonts w:ascii="Arial;sans-serif" w:hAnsi="Arial;sans-serif"/>
          <w:b w:val="false"/>
          <w:color w:val="000000"/>
          <w:sz w:val="21"/>
        </w:rPr>
        <w:t xml:space="preserve">As consideration for the Consulting Services, the Company shall submit to the Compensation Committee of the Board for approval the modification of the award agreements evidencing Executive’s outstanding and unvested time-based restricted stock unit awards and stock option awards under a Modified Vesting Schedule (defined below) set forth on </w:t>
      </w:r>
      <w:r>
        <w:rPr>
          <w:rFonts w:ascii="Arial;sans-serif" w:hAnsi="Arial;sans-serif"/>
          <w:b w:val="false"/>
          <w:color w:val="000000"/>
          <w:sz w:val="21"/>
          <w:u w:val="single"/>
        </w:rPr>
        <w:t>Exhibit B</w:t>
      </w:r>
      <w:r>
        <w:rPr>
          <w:color w:val="000000"/>
        </w:rPr>
        <w:t xml:space="preserve"> </w:t>
      </w:r>
      <w:r>
        <w:rPr>
          <w:rFonts w:ascii="Arial;sans-serif" w:hAnsi="Arial;sans-serif"/>
          <w:b w:val="false"/>
          <w:color w:val="000000"/>
          <w:sz w:val="21"/>
        </w:rPr>
        <w:t>(collectively, the “</w:t>
      </w:r>
      <w:r>
        <w:rPr>
          <w:rFonts w:ascii="Arial;sans-serif" w:hAnsi="Arial;sans-serif"/>
          <w:b/>
          <w:i/>
          <w:color w:val="000000"/>
          <w:sz w:val="21"/>
        </w:rPr>
        <w:t>Outstanding Equity Awards</w:t>
      </w:r>
      <w:r>
        <w:rPr>
          <w:color w:val="000000"/>
        </w:rPr>
        <w:t>”</w:t>
      </w:r>
      <w:r>
        <w:rPr>
          <w:rFonts w:ascii="Arial;sans-serif" w:hAnsi="Arial;sans-serif"/>
          <w:b w:val="false"/>
          <w:color w:val="000000"/>
          <w:sz w:val="21"/>
        </w:rPr>
        <w:t>) as of the Employment Departure Date as follows: Subject to the terms and conditions of the 2021 Incentive Award Plan and the applicable award agreements thereunder, and further subject to Executive’s continued non-engagement in the Conflicting Activities (as defined below) during the Restricted Period (as defined below) and Executive’s compliance with the Continuing Obligations (as defined below), each of Executive’s Outstanding Equity Awards shall continue to vest during the Consulting Period at fifty percent (50%) of the rate at which each such award would have otherwise vested pursuant to the original vesting schedule (the “</w:t>
      </w:r>
      <w:r>
        <w:rPr>
          <w:rFonts w:ascii="Arial;sans-serif" w:hAnsi="Arial;sans-serif"/>
          <w:b/>
          <w:i/>
          <w:color w:val="000000"/>
          <w:sz w:val="21"/>
        </w:rPr>
        <w:t>Modified Vesting Schedule</w:t>
      </w:r>
      <w:r>
        <w:rPr>
          <w:color w:val="000000"/>
        </w:rPr>
        <w:t>”</w:t>
      </w:r>
      <w:r>
        <w:rPr>
          <w:rFonts w:ascii="Arial;sans-serif" w:hAnsi="Arial;sans-serif"/>
          <w:b w:val="false"/>
          <w:color w:val="000000"/>
          <w:sz w:val="21"/>
        </w:rPr>
        <w:t>), subject to Executive’s continuous service through each such vesting date and Executive’s execution and non-revocation of a general release of claims substantially similar to the Release on or following the last day of the Consulting Period (the “</w:t>
      </w:r>
      <w:r>
        <w:rPr>
          <w:rFonts w:ascii="Arial;sans-serif" w:hAnsi="Arial;sans-serif"/>
          <w:b/>
          <w:i/>
          <w:color w:val="000000"/>
          <w:sz w:val="21"/>
        </w:rPr>
        <w:t>Additional Release</w:t>
      </w:r>
      <w:r>
        <w:rPr>
          <w:color w:val="000000"/>
        </w:rPr>
        <w:t>”</w:t>
      </w:r>
      <w:r>
        <w:rPr>
          <w:rFonts w:ascii="Arial;sans-serif" w:hAnsi="Arial;sans-serif"/>
          <w:b w:val="false"/>
          <w:color w:val="000000"/>
          <w:sz w:val="21"/>
        </w:rPr>
        <w:t>). Notwithstanding the foregoing, and anything to the contrary in the 2021 Incentive Award Plan or the award agreement evidencing the applicable award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03910"/>
                <wp:effectExtent l="0" t="0" r="0" b="0"/>
                <wp:wrapNone/>
                <wp:docPr id="89" name="Frame8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2880"/>
        <w:jc w:val="both"/>
        <w:rPr/>
      </w:pPr>
      <w:r>
        <w:rPr>
          <w:rFonts w:ascii="Arial;sans-serif" w:hAnsi="Arial;sans-serif"/>
          <w:b w:val="false"/>
          <w:color w:val="000000"/>
          <w:sz w:val="21"/>
        </w:rPr>
        <w:t>(i)</w:t>
      </w:r>
      <w:r>
        <w:rPr>
          <w:rFonts w:ascii="Arial;sans-serif" w:hAnsi="Arial;sans-serif"/>
          <w:b w:val="false"/>
          <w:color w:val="000000"/>
          <w:sz w:val="21"/>
        </w:rPr>
        <w:t>Any portion of Executive’s Outstanding Equity Awards that is unvested as of the last day of the Consulting Period (after giving effect to the Modified Vesting Schedule) shall be automatically forfeited and cancelled for no consideration as of such date, without further action by either party.</w:t>
      </w:r>
    </w:p>
    <w:p>
      <w:pPr>
        <w:pStyle w:val="TextBody"/>
        <w:bidi w:val="0"/>
        <w:spacing w:lineRule="auto" w:line="288" w:before="0" w:after="240"/>
        <w:ind w:left="0" w:right="0" w:firstLine="2880"/>
        <w:jc w:val="both"/>
        <w:rPr/>
      </w:pPr>
      <w:r>
        <w:rPr>
          <w:rFonts w:ascii="Arial;sans-serif" w:hAnsi="Arial;sans-serif"/>
          <w:b w:val="false"/>
          <w:color w:val="000000"/>
          <w:sz w:val="21"/>
        </w:rPr>
        <w:t>(ii)</w:t>
      </w:r>
      <w:r>
        <w:rPr>
          <w:rFonts w:ascii="Arial;sans-serif" w:hAnsi="Arial;sans-serif"/>
          <w:b w:val="false"/>
          <w:color w:val="000000"/>
          <w:sz w:val="21"/>
        </w:rPr>
        <w:t>Any performance-based restricted stock units (“</w:t>
      </w:r>
      <w:r>
        <w:rPr>
          <w:rFonts w:ascii="Arial;sans-serif" w:hAnsi="Arial;sans-serif"/>
          <w:b/>
          <w:i/>
          <w:color w:val="000000"/>
          <w:sz w:val="21"/>
        </w:rPr>
        <w:t>PBRSUs</w:t>
      </w:r>
      <w:r>
        <w:rPr>
          <w:color w:val="000000"/>
        </w:rPr>
        <w:t>”</w:t>
      </w:r>
      <w:r>
        <w:rPr>
          <w:rFonts w:ascii="Arial;sans-serif" w:hAnsi="Arial;sans-serif"/>
          <w:b w:val="false"/>
          <w:color w:val="000000"/>
          <w:sz w:val="21"/>
        </w:rPr>
        <w:t xml:space="preserve">) that have not vested as of the Employment Departure Date shall be automatically forfeited and cancelled for no consideration as of the Employment Departure Date, without further action by either party. Accordingly, no PBRSUs are set forth on </w:t>
      </w:r>
      <w:r>
        <w:rPr>
          <w:rFonts w:ascii="Arial;sans-serif" w:hAnsi="Arial;sans-serif"/>
          <w:b w:val="false"/>
          <w:color w:val="000000"/>
          <w:sz w:val="21"/>
          <w:u w:val="single"/>
        </w:rPr>
        <w:t>Exhibit B</w:t>
      </w:r>
      <w:r>
        <w:rPr>
          <w:rFonts w:ascii="Arial;sans-serif" w:hAnsi="Arial;sans-serif"/>
          <w:b w:val="false"/>
          <w:color w:val="000000"/>
          <w:sz w:val="21"/>
        </w:rPr>
        <w:t xml:space="preserve">. </w:t>
      </w:r>
    </w:p>
    <w:p>
      <w:pPr>
        <w:pStyle w:val="TextBody"/>
        <w:bidi w:val="0"/>
        <w:spacing w:lineRule="auto" w:line="288" w:before="0" w:after="240"/>
        <w:ind w:left="0" w:right="0" w:firstLine="2880"/>
        <w:jc w:val="both"/>
        <w:rPr/>
      </w:pPr>
      <w:r>
        <w:rPr>
          <w:rFonts w:ascii="Arial;sans-serif" w:hAnsi="Arial;sans-serif"/>
          <w:b w:val="false"/>
          <w:color w:val="000000"/>
          <w:sz w:val="21"/>
        </w:rPr>
        <w:t>(iii)</w:t>
      </w:r>
      <w:r>
        <w:rPr>
          <w:rFonts w:ascii="Arial;sans-serif" w:hAnsi="Arial;sans-serif"/>
          <w:b w:val="false"/>
          <w:color w:val="000000"/>
          <w:sz w:val="21"/>
        </w:rPr>
        <w:t>During the Consulting Period (the “</w:t>
      </w:r>
      <w:r>
        <w:rPr>
          <w:rFonts w:ascii="Arial;sans-serif" w:hAnsi="Arial;sans-serif"/>
          <w:b/>
          <w:i/>
          <w:color w:val="000000"/>
          <w:sz w:val="21"/>
        </w:rPr>
        <w:t>Restricted Period</w:t>
      </w:r>
      <w:r>
        <w:rPr>
          <w:color w:val="000000"/>
        </w:rPr>
        <w:t>”</w:t>
      </w:r>
      <w:r>
        <w:rPr>
          <w:rFonts w:ascii="Arial;sans-serif" w:hAnsi="Arial;sans-serif"/>
          <w:b w:val="false"/>
          <w:color w:val="000000"/>
          <w:sz w:val="21"/>
        </w:rPr>
        <w:t>) without the prior written consent of the Board of Directors of the Company (the “</w:t>
      </w:r>
      <w:r>
        <w:rPr>
          <w:rFonts w:ascii="Arial;sans-serif" w:hAnsi="Arial;sans-serif"/>
          <w:b/>
          <w:i/>
          <w:color w:val="000000"/>
          <w:sz w:val="21"/>
        </w:rPr>
        <w:t>Board</w:t>
      </w:r>
      <w:r>
        <w:rPr>
          <w:color w:val="000000"/>
        </w:rPr>
        <w:t>”</w:t>
      </w:r>
      <w:r>
        <w:rPr>
          <w:rFonts w:ascii="Arial;sans-serif" w:hAnsi="Arial;sans-serif"/>
          <w:b w:val="false"/>
          <w:color w:val="000000"/>
          <w:sz w:val="21"/>
        </w:rPr>
        <w:t>) the Executive hereby agrees not to, directly or indirectly: (A) accept, commence, or maintain any employment as an employee or consultant, or render service as an employee or consultant, for any person, or at any company, firm, corporation, or other entity, in whatever form, if such entity is a Competitive Business; and/or (B) (a) induce or attempt to induce any individual who is as of the Employment Departure Date, or during the 3 months immediately preceding the date thereof was, an employee, individual consultant, individual independent contractor, or director of the Company (any such individual, a “</w:t>
      </w:r>
      <w:r>
        <w:rPr>
          <w:rFonts w:ascii="Arial;sans-serif" w:hAnsi="Arial;sans-serif"/>
          <w:b/>
          <w:i/>
          <w:color w:val="000000"/>
          <w:sz w:val="21"/>
        </w:rPr>
        <w:t>Restricted Person</w:t>
      </w:r>
      <w:r>
        <w:rPr>
          <w:color w:val="000000"/>
        </w:rPr>
        <w:t>”</w:t>
      </w:r>
      <w:r>
        <w:rPr>
          <w:rFonts w:ascii="Arial;sans-serif" w:hAnsi="Arial;sans-serif"/>
          <w:b w:val="false"/>
          <w:color w:val="000000"/>
          <w:sz w:val="21"/>
        </w:rPr>
        <w:t>), for employment or services; to leave his or her employment, independent contractor or consultancy relationship with the Company; (b) induce or attempt to induce any client, customer, vendor or other business relationship of the Company to cease or reduce doing business with the Company; or (c) interfere with or otherwise impair the business relationships of the Company (whether formed prior to, or after the date of this Agreement) with any of its employees, individual consultants, individual independent contractors, directors, clients, customers, vendors or suppliers (the activities prohibited in (A), (B) and (C) the “</w:t>
      </w:r>
      <w:r>
        <w:rPr>
          <w:rFonts w:ascii="Arial;sans-serif" w:hAnsi="Arial;sans-serif"/>
          <w:b/>
          <w:i/>
          <w:color w:val="000000"/>
          <w:sz w:val="21"/>
        </w:rPr>
        <w:t>Conflicting Activities</w:t>
      </w:r>
      <w:r>
        <w:rPr>
          <w:color w:val="000000"/>
        </w:rPr>
        <w:t>”</w:t>
      </w:r>
      <w:r>
        <w:rPr>
          <w:rFonts w:ascii="Arial;sans-serif" w:hAnsi="Arial;sans-serif"/>
          <w:b w:val="false"/>
          <w:color w:val="000000"/>
          <w:sz w:val="21"/>
        </w:rPr>
        <w:t>). In the event Executive directly or indirectly engages in Conflicting Activities during the Restricted Period any unvested Outstanding Equity Awards held by Executive as of the date Executive began engaging in such Conflicting Activities shall immediately cease vesting, shall be forfeited, and shall terminate and cease to be outstanding, in each case without any consideration to Executive and without further action by either party. Any reasonable determination by the Board as to whether Executive has engaged in Conflicting Activities, and as to the date on which Executive began engaging in such Conflicting Activities, shall be final and binding on Executive. As used in this Agreement, "</w:t>
      </w:r>
      <w:r>
        <w:rPr>
          <w:rFonts w:ascii="Arial;sans-serif" w:hAnsi="Arial;sans-serif"/>
          <w:b/>
          <w:i/>
          <w:color w:val="000000"/>
          <w:sz w:val="21"/>
        </w:rPr>
        <w:t>Competitive Business</w:t>
      </w:r>
      <w:r>
        <w:rPr>
          <w:color w:val="000000"/>
        </w:rPr>
        <w:t xml:space="preserve">” </w:t>
      </w:r>
      <w:r>
        <w:rPr>
          <w:rFonts w:ascii="Arial;sans-serif" w:hAnsi="Arial;sans-serif"/>
          <w:b w:val="false"/>
          <w:color w:val="000000"/>
          <w:sz w:val="21"/>
        </w:rPr>
        <w:t xml:space="preserve">means semiconductor interconnect IP such as software and services and/or SOC integration software and services. </w:t>
      </w:r>
    </w:p>
    <w:p>
      <w:pPr>
        <w:pStyle w:val="TextBody"/>
        <w:bidi w:val="0"/>
        <w:spacing w:lineRule="auto" w:line="288" w:before="0" w:after="240"/>
        <w:ind w:left="0" w:right="0" w:firstLine="2880"/>
        <w:jc w:val="both"/>
        <w:rPr/>
      </w:pPr>
      <w:r>
        <w:rPr>
          <w:rFonts w:ascii="Arial;sans-serif" w:hAnsi="Arial;sans-serif"/>
          <w:b w:val="false"/>
          <w:color w:val="000000"/>
          <w:sz w:val="21"/>
        </w:rPr>
        <w:t>(iv)</w:t>
      </w:r>
      <w:r>
        <w:rPr>
          <w:rFonts w:ascii="Arial;sans-serif" w:hAnsi="Arial;sans-serif"/>
          <w:b w:val="false"/>
          <w:color w:val="000000"/>
          <w:sz w:val="21"/>
        </w:rPr>
        <w:t>Executive acknowledges and agrees that, during the Consulting Period, Executive will not be eligible to participate in the Company’s Employee Stock Purchase Plan (ESPP), any long-term incentive plan (LTIP) of the Company.</w:t>
      </w:r>
    </w:p>
    <w:p>
      <w:pPr>
        <w:pStyle w:val="TextBody"/>
        <w:bidi w:val="0"/>
        <w:spacing w:lineRule="auto" w:line="288" w:before="0" w:after="240"/>
        <w:ind w:left="0" w:right="0" w:firstLine="2160"/>
        <w:jc w:val="both"/>
        <w:rPr/>
      </w:pPr>
      <w:r>
        <w:rPr>
          <w:rFonts w:ascii="Arial;sans-serif" w:hAnsi="Arial;sans-serif"/>
          <w:b w:val="false"/>
          <w:color w:val="000000"/>
          <w:sz w:val="21"/>
        </w:rPr>
        <w:t>(c)</w:t>
      </w:r>
      <w:r>
        <w:rPr>
          <w:rFonts w:ascii="Arial;sans-serif" w:hAnsi="Arial;sans-serif"/>
          <w:b w:val="false"/>
          <w:color w:val="000000"/>
          <w:sz w:val="21"/>
        </w:rPr>
        <w:t>During the Consulting Period, (i) Executive’s relationship with the Company will be that of an independent contractor, and nothing in this Agreement is intended to, or should be construed to, create a partnership, agency, joint venture or employment relationship after the Employment Departure Date, (ii) Executive will not be entitled to, and will not receive, any benefits which the Company may make available to its employees, including but not limited to, group health or life insurance, profit-sharing or retirement benefits, and Executive shall be solely responsible for all tax returns and payments required to be filed with or made to any international or U.S. federal, state or local tax authority with respect to Executive’s performance of services, deliverables and receipt of fees under this Agreement and (iii) Executive will have no authority to bind the Company to any contractual obligations, whether written, oral or implied, except with the prior written authorization of an officer of the Company, and (iv) Executive will not engage in any other employment, occupation or consulting directly related to the Competitive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03910"/>
                <wp:effectExtent l="0" t="0" r="0" b="0"/>
                <wp:wrapNone/>
                <wp:docPr id="90" name="Frame9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Arial;sans-serif" w:hAnsi="Arial;sans-serif"/>
          <w:b w:val="false"/>
          <w:color w:val="000000"/>
          <w:sz w:val="21"/>
        </w:rPr>
        <w:t>1.5</w:t>
      </w:r>
      <w:r>
        <w:rPr>
          <w:rFonts w:ascii="Arial;sans-serif" w:hAnsi="Arial;sans-serif"/>
          <w:b w:val="false"/>
          <w:color w:val="000000"/>
          <w:sz w:val="21"/>
          <w:u w:val="single"/>
        </w:rPr>
        <w:t>Termination and Consulting Representations</w:t>
      </w:r>
      <w:r>
        <w:rPr>
          <w:rFonts w:ascii="Arial;sans-serif" w:hAnsi="Arial;sans-serif"/>
          <w:b w:val="false"/>
          <w:color w:val="000000"/>
          <w:sz w:val="21"/>
        </w:rPr>
        <w:t>. Executive acknowledges and agrees that the payments and benefits described in Section 1 constitute adequate legal consideration for the promises and representations made by</w:t>
      </w:r>
      <w:r>
        <w:rPr>
          <w:color w:val="000000"/>
        </w:rPr>
        <w:t xml:space="preserve"> </w:t>
      </w:r>
      <w:r>
        <w:rPr>
          <w:rFonts w:ascii="Arial;sans-serif" w:hAnsi="Arial;sans-serif"/>
          <w:b w:val="false"/>
          <w:color w:val="000000"/>
          <w:sz w:val="21"/>
        </w:rPr>
        <w:t>Executive in this Agreement. In addition, Executive hereby represents that, as of the Employment Departure Date, Executive will have been paid all wages earned, owed and for all hours worked, and Executive has received all the leave and leave benefits and protections for which Executive is eligible, pursuant to the Family and Medical Leave Act, or any applicable law or Company policy. Executive acknowledges that the payments and benefits described in this Section 1 shall be in lieu of any termination or severance payments or benefits for which Executive may be eligible under any of the plans, policies or programs of the Company and its affiliates or under the Worker Adjustment Retraining Notification Act of 1988 or any similar state or local statute or regulation. Executive acknowledges and agrees that, in the event Executive breaches (and such breach is not cured within a reasonable time period not to exceed thirty (30) days) this Agreement, the Release, the Additional Release, or any of the Continuing Obligations, or engages in any Conflicting Activities during the Restricted Period, then any outstanding obligations of the Company to provide the compensation or benefits provided in Section 1.4(b) (such compensation or benefits, the “</w:t>
      </w:r>
      <w:r>
        <w:rPr>
          <w:rFonts w:ascii="Arial;sans-serif" w:hAnsi="Arial;sans-serif"/>
          <w:b/>
          <w:i/>
          <w:color w:val="000000"/>
          <w:sz w:val="21"/>
        </w:rPr>
        <w:t>Consulting Benefits</w:t>
      </w:r>
      <w:r>
        <w:rPr>
          <w:color w:val="000000"/>
        </w:rPr>
        <w:t>”</w:t>
      </w:r>
      <w:r>
        <w:rPr>
          <w:rFonts w:ascii="Arial;sans-serif" w:hAnsi="Arial;sans-serif"/>
          <w:b w:val="false"/>
          <w:color w:val="000000"/>
          <w:sz w:val="21"/>
        </w:rPr>
        <w:t>) shall immediately terminate.</w:t>
      </w:r>
    </w:p>
    <w:p>
      <w:pPr>
        <w:pStyle w:val="TextBody"/>
        <w:bidi w:val="0"/>
        <w:spacing w:lineRule="auto" w:line="288" w:before="0" w:after="240"/>
        <w:ind w:left="0" w:right="0" w:firstLine="720"/>
        <w:jc w:val="both"/>
        <w:rPr/>
      </w:pPr>
      <w:r>
        <w:rPr>
          <w:rFonts w:ascii="Arial;sans-serif" w:hAnsi="Arial;sans-serif"/>
          <w:b w:val="false"/>
          <w:color w:val="000000"/>
          <w:sz w:val="21"/>
        </w:rPr>
        <w:t>2.</w:t>
      </w:r>
      <w:r>
        <w:rPr>
          <w:rFonts w:ascii="Arial;sans-serif" w:hAnsi="Arial;sans-serif"/>
          <w:b w:val="false"/>
          <w:color w:val="000000"/>
          <w:sz w:val="21"/>
          <w:u w:val="single"/>
        </w:rPr>
        <w:t>Other Agreements and Representations</w:t>
      </w:r>
      <w:r>
        <w:rPr>
          <w:rFonts w:ascii="Arial;sans-serif" w:hAnsi="Arial;sans-serif"/>
          <w:b w:val="false"/>
          <w:color w:val="000000"/>
          <w:sz w:val="21"/>
        </w:rPr>
        <w:t>.</w:t>
      </w:r>
    </w:p>
    <w:p>
      <w:pPr>
        <w:pStyle w:val="TextBody"/>
        <w:bidi w:val="0"/>
        <w:spacing w:lineRule="auto" w:line="288" w:before="0" w:after="240"/>
        <w:ind w:left="0" w:right="0" w:firstLine="1440"/>
        <w:jc w:val="both"/>
        <w:rPr/>
      </w:pPr>
      <w:r>
        <w:rPr>
          <w:rFonts w:ascii="Arial;sans-serif" w:hAnsi="Arial;sans-serif"/>
          <w:b w:val="false"/>
          <w:color w:val="000000"/>
          <w:sz w:val="21"/>
        </w:rPr>
        <w:t>2.1</w:t>
      </w:r>
      <w:r>
        <w:rPr>
          <w:rFonts w:ascii="Arial;sans-serif" w:hAnsi="Arial;sans-serif"/>
          <w:b w:val="false"/>
          <w:color w:val="000000"/>
          <w:sz w:val="21"/>
          <w:u w:val="single"/>
        </w:rPr>
        <w:t>Mutual Non-Disparagement</w:t>
      </w:r>
      <w:r>
        <w:rPr>
          <w:rFonts w:ascii="Arial;sans-serif" w:hAnsi="Arial;sans-serif"/>
          <w:b w:val="false"/>
          <w:color w:val="000000"/>
          <w:sz w:val="21"/>
        </w:rPr>
        <w:t>. Executive agrees not to disparage the Company or its affiliates or any of their respective employees or directors in any manner likely to be harmful to its or their business, business reputations, or personal reputations. The Company agrees to instruct its officers and directors not to disparage Executive in any manner likely to be harmful to Executive’s business reputation or personal reputation.</w:t>
      </w:r>
    </w:p>
    <w:p>
      <w:pPr>
        <w:pStyle w:val="TextBody"/>
        <w:bidi w:val="0"/>
        <w:spacing w:lineRule="auto" w:line="288" w:before="0" w:after="240"/>
        <w:ind w:left="0" w:right="0" w:firstLine="1440"/>
        <w:jc w:val="both"/>
        <w:rPr/>
      </w:pPr>
      <w:r>
        <w:rPr>
          <w:rFonts w:ascii="Arial;sans-serif" w:hAnsi="Arial;sans-serif"/>
          <w:b w:val="false"/>
          <w:color w:val="000000"/>
          <w:sz w:val="21"/>
        </w:rPr>
        <w:t>2.2</w:t>
      </w:r>
      <w:r>
        <w:rPr>
          <w:rFonts w:ascii="Arial;sans-serif" w:hAnsi="Arial;sans-serif"/>
          <w:b w:val="false"/>
          <w:color w:val="000000"/>
          <w:sz w:val="21"/>
          <w:u w:val="single"/>
        </w:rPr>
        <w:t>Continuing Obligations</w:t>
      </w:r>
      <w:r>
        <w:rPr>
          <w:rFonts w:ascii="Arial;sans-serif" w:hAnsi="Arial;sans-serif"/>
          <w:b w:val="false"/>
          <w:color w:val="000000"/>
          <w:sz w:val="21"/>
        </w:rPr>
        <w:t xml:space="preserve">. </w:t>
      </w:r>
    </w:p>
    <w:p>
      <w:pPr>
        <w:pStyle w:val="TextBody"/>
        <w:bidi w:val="0"/>
        <w:spacing w:lineRule="auto" w:line="288" w:before="0" w:after="240"/>
        <w:ind w:left="0" w:right="0" w:firstLine="2160"/>
        <w:jc w:val="both"/>
        <w:rPr/>
      </w:pPr>
      <w:r>
        <w:rPr>
          <w:rFonts w:ascii="Arial;sans-serif" w:hAnsi="Arial;sans-serif"/>
          <w:b w:val="false"/>
          <w:color w:val="000000"/>
          <w:sz w:val="21"/>
        </w:rPr>
        <w:t>(a)</w:t>
      </w:r>
      <w:r>
        <w:rPr>
          <w:rFonts w:ascii="Arial;sans-serif" w:hAnsi="Arial;sans-serif"/>
          <w:b w:val="false"/>
          <w:color w:val="000000"/>
          <w:sz w:val="21"/>
        </w:rPr>
        <w:t>Executive (i) acknowledges and reaffirms Executive’s continuing obligations under any existing agreements or arrangements with the Company or any of its affiliates containing restrictive covenants in favor of the Company and its affiliates, including, without limitation, the Proprietary Information and Invention Agreement dated November 11, 2019 (the “</w:t>
      </w:r>
      <w:r>
        <w:rPr>
          <w:rFonts w:ascii="Arial;sans-serif" w:hAnsi="Arial;sans-serif"/>
          <w:b/>
          <w:i/>
          <w:color w:val="000000"/>
          <w:sz w:val="21"/>
        </w:rPr>
        <w:t>PIIAA</w:t>
      </w:r>
      <w:r>
        <w:rPr>
          <w:color w:val="000000"/>
        </w:rPr>
        <w:t>”</w:t>
      </w:r>
      <w:r>
        <w:rPr>
          <w:rFonts w:ascii="Arial;sans-serif" w:hAnsi="Arial;sans-serif"/>
          <w:b w:val="false"/>
          <w:color w:val="000000"/>
          <w:sz w:val="21"/>
        </w:rPr>
        <w:t>) and the Company’s Employee Handbook; (ii) acknowledges the restrictions set forth in Section 1.4(b); (iii) acknowledges and agrees that Executive continues to be subject to the Company’s Insider Trading Compliance Policy and Procedures; (iv) acknowledges and agrees that Executive may continue to be in possession of material non-public information about the Company for an indefinite period of time following the Employment Departure Date and/or the end of the Consulting Period and that if Executive is aware of material nonpublic information about the Company not to trade in securities of the Company or disclose material nonpublic information about the Company to a third-party other than on a need-to-know basis, until that information has become public or is no longer material; (v) acknowledges and agrees that after the Employment Departure Date, Executive may continue to be subject to Section 16 of the Securities Exchange Act of 1934 (“</w:t>
      </w:r>
      <w:r>
        <w:rPr>
          <w:rFonts w:ascii="Arial;sans-serif" w:hAnsi="Arial;sans-serif"/>
          <w:b/>
          <w:i/>
          <w:color w:val="000000"/>
          <w:sz w:val="21"/>
        </w:rPr>
        <w:t>Section 16</w:t>
      </w:r>
      <w:r>
        <w:rPr>
          <w:color w:val="000000"/>
        </w:rPr>
        <w:t>”</w:t>
      </w:r>
      <w:r>
        <w:rPr>
          <w:rFonts w:ascii="Arial;sans-serif" w:hAnsi="Arial;sans-serif"/>
          <w:b w:val="false"/>
          <w:color w:val="000000"/>
          <w:sz w:val="21"/>
        </w:rPr>
        <w:t>) and agrees to comply with the requirements of Section 16; and (vi) acknowledges and agrees that Executive may continue to be an “affiliate” for purposes of federal securities law and agrees to sell Company stock in compliance with restrictions imposed by Rule 144 of the Securities Act of 1933 ((i) through (vi), the “</w:t>
      </w:r>
      <w:r>
        <w:rPr>
          <w:rFonts w:ascii="Arial;sans-serif" w:hAnsi="Arial;sans-serif"/>
          <w:b/>
          <w:i/>
          <w:color w:val="000000"/>
          <w:sz w:val="21"/>
        </w:rPr>
        <w:t>Continuing Obligations</w:t>
      </w:r>
      <w:r>
        <w:rPr>
          <w:color w:val="000000"/>
        </w:rPr>
        <w:t>”</w:t>
      </w:r>
      <w:r>
        <w:rPr>
          <w:rFonts w:ascii="Arial;sans-serif" w:hAnsi="Arial;sans-serif"/>
          <w:b w:val="false"/>
          <w:color w:val="000000"/>
          <w:sz w:val="21"/>
        </w:rPr>
        <w:t xml:space="preserve">). </w:t>
      </w:r>
    </w:p>
    <w:p>
      <w:pPr>
        <w:pStyle w:val="TextBody"/>
        <w:bidi w:val="0"/>
        <w:spacing w:lineRule="auto" w:line="288" w:before="0" w:after="240"/>
        <w:ind w:left="0" w:right="0" w:firstLine="2160"/>
        <w:jc w:val="both"/>
        <w:rPr/>
      </w:pPr>
      <w:r>
        <w:rPr>
          <w:rFonts w:ascii="Arial;sans-serif" w:hAnsi="Arial;sans-serif"/>
          <w:b w:val="false"/>
          <w:color w:val="000000"/>
          <w:sz w:val="21"/>
        </w:rPr>
        <w:t>(b)</w:t>
      </w:r>
      <w:r>
        <w:rPr>
          <w:rFonts w:ascii="Arial;sans-serif" w:hAnsi="Arial;sans-serif"/>
          <w:b w:val="false"/>
          <w:color w:val="000000"/>
          <w:sz w:val="21"/>
        </w:rPr>
        <w:t xml:space="preserve">Nothing in this Agreement (a) prevents Executive from exercising any protected rights, including under Section 7 of the National Labor Relations Act, or discussing or disclosing information about unlawful acts in the workplace, such as harassment or discrimination or any other conduct that Executive has reason to believe is unlawful, (b) prevents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03910"/>
                <wp:effectExtent l="0" t="0" r="0" b="0"/>
                <wp:wrapNone/>
                <wp:docPr id="91" name="Frame9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either party hereto from responding truthfully to subpoenas or similar legal requests, making truthful statements in connection with legal proceedings, or conferring with accountants, legal advisors or other advisors, or (c) prohibits Executive from communicating with any government agency, including Executive’s right to communicate directly with the U.S. Securities and Exchange Commission, the U.S. Commodity Futures Trading Commission, the U.S. Department of Justice, or similar agency, or to cooperate with or participate in any investigation conducted by such agency or to make any other disclosures that are protected under the whistleblower provisions of applicable law. For the avoidance of doubt, Executive does not need to notify or obtain the prior authorization of the Company to exercise any of the foregoing rights. Further, Executive understands that: (i) Executive will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Executive will not be held criminally or civilly liable under any federal or state trade secret law for the disclosure of a trade secret that is made in a complaint or other document filed in a lawsuit or other proceeding, if such filing is made under seal; and (iii) if Executive files a lawsuit for retaliation by the Company for reporting a suspected violation of law, Executive may disclose trade secrets to Executive’s attorney and use the trade secret information in the court proceeding if Executive: (x) files any document containing the trade secret under seal; and (y) does not disclose the trade secret, except pursuant to court order.</w:t>
      </w:r>
    </w:p>
    <w:p>
      <w:pPr>
        <w:pStyle w:val="TextBody"/>
        <w:bidi w:val="0"/>
        <w:spacing w:lineRule="auto" w:line="288" w:before="0" w:after="240"/>
        <w:ind w:left="0" w:right="0" w:firstLine="720"/>
        <w:jc w:val="both"/>
        <w:rPr/>
      </w:pPr>
      <w:r>
        <w:rPr>
          <w:rFonts w:ascii="Arial;sans-serif" w:hAnsi="Arial;sans-serif"/>
          <w:b w:val="false"/>
          <w:color w:val="000000"/>
          <w:sz w:val="21"/>
        </w:rPr>
        <w:t>3.</w:t>
      </w:r>
      <w:r>
        <w:rPr>
          <w:rFonts w:ascii="Arial;sans-serif" w:hAnsi="Arial;sans-serif"/>
          <w:b w:val="false"/>
          <w:color w:val="000000"/>
          <w:sz w:val="21"/>
          <w:u w:val="single"/>
        </w:rPr>
        <w:t>Cooperation; Return of Company Property</w:t>
      </w:r>
      <w:r>
        <w:rPr>
          <w:rFonts w:ascii="Arial;sans-serif" w:hAnsi="Arial;sans-serif"/>
          <w:b w:val="false"/>
          <w:color w:val="000000"/>
          <w:sz w:val="21"/>
        </w:rPr>
        <w:t>. Executive shall provide Executive’s reasonable cooperation with any action or proceeding (or any appeal from any action or proceeding) which relates to events occurring during Executive’s employment with the Company; provided the Company shall reimburse Executive for Executive’s reasonable costs and expenses (including legal counsel selected by Executive and reasonably acceptable to the Company) and such cooperation shall not unreasonably burden Executive. Executive represents and warrants that Executive shall, on or prior to the Employment Departure Date, complete the actions set forth in Section 4 of the PIIAA (</w:t>
      </w:r>
      <w:r>
        <w:rPr>
          <w:rFonts w:ascii="Arial;sans-serif" w:hAnsi="Arial;sans-serif"/>
          <w:b w:val="false"/>
          <w:i/>
          <w:color w:val="000000"/>
          <w:sz w:val="21"/>
        </w:rPr>
        <w:t>Return of Company Property</w:t>
      </w:r>
      <w:r>
        <w:rPr>
          <w:rFonts w:ascii="Arial;sans-serif" w:hAnsi="Arial;sans-serif"/>
          <w:b w:val="false"/>
          <w:color w:val="000000"/>
          <w:sz w:val="21"/>
        </w:rPr>
        <w:t>); provided that Executive may retain items if necessary to perform his duties (if such duties are stated and directed explicitly by the Company) during the Consulting Period.</w:t>
      </w:r>
    </w:p>
    <w:p>
      <w:pPr>
        <w:pStyle w:val="TextBody"/>
        <w:bidi w:val="0"/>
        <w:spacing w:lineRule="auto" w:line="288" w:before="0" w:after="240"/>
        <w:ind w:left="0" w:right="0" w:firstLine="720"/>
        <w:jc w:val="both"/>
        <w:rPr/>
      </w:pPr>
      <w:r>
        <w:rPr>
          <w:rFonts w:ascii="Arial;sans-serif" w:hAnsi="Arial;sans-serif"/>
          <w:b w:val="false"/>
          <w:color w:val="000000"/>
          <w:sz w:val="21"/>
        </w:rPr>
        <w:t>4.</w:t>
      </w:r>
      <w:r>
        <w:rPr>
          <w:rFonts w:ascii="Arial;sans-serif" w:hAnsi="Arial;sans-serif"/>
          <w:b w:val="false"/>
          <w:color w:val="000000"/>
          <w:sz w:val="21"/>
          <w:u w:val="single"/>
        </w:rPr>
        <w:t>Government Contracts</w:t>
      </w:r>
      <w:r>
        <w:rPr>
          <w:rFonts w:ascii="Arial;sans-serif" w:hAnsi="Arial;sans-serif"/>
          <w:b w:val="false"/>
          <w:color w:val="000000"/>
          <w:sz w:val="21"/>
        </w:rPr>
        <w:t>. In the event Executive performs services under this Agreement in connection with any government contract in which the Company may be the prime contractor or subcontractor, Executive agrees to abide by all laws, rules and regulations relating thereto. To the extent that any such law, rule or regulation requires that a provision or clause be included in this Agreement, Executive agrees that such provision or clause shall be added to this Agreement and the same shall then become a part of this Agreement.</w:t>
      </w:r>
    </w:p>
    <w:p>
      <w:pPr>
        <w:pStyle w:val="TextBody"/>
        <w:bidi w:val="0"/>
        <w:spacing w:lineRule="auto" w:line="288" w:before="0" w:after="240"/>
        <w:ind w:left="0" w:right="0" w:firstLine="720"/>
        <w:jc w:val="both"/>
        <w:rPr/>
      </w:pPr>
      <w:r>
        <w:rPr>
          <w:rFonts w:ascii="Arial;sans-serif" w:hAnsi="Arial;sans-serif"/>
          <w:b w:val="false"/>
          <w:color w:val="000000"/>
          <w:sz w:val="21"/>
        </w:rPr>
        <w:t>5.</w:t>
      </w:r>
      <w:r>
        <w:rPr>
          <w:rFonts w:ascii="Arial;sans-serif" w:hAnsi="Arial;sans-serif"/>
          <w:b w:val="false"/>
          <w:color w:val="000000"/>
          <w:sz w:val="21"/>
          <w:u w:val="single"/>
        </w:rPr>
        <w:t>Export Laws</w:t>
      </w:r>
      <w:r>
        <w:rPr>
          <w:rFonts w:ascii="Arial;sans-serif" w:hAnsi="Arial;sans-serif"/>
          <w:b w:val="false"/>
          <w:color w:val="000000"/>
          <w:sz w:val="21"/>
        </w:rPr>
        <w:t>. Executive agrees not to export, directly or indirectly, any proprietary or technical data acquired from the Company or any products utilizing such data to countries outside the United States in violation of the U.S. export laws or regulations.</w:t>
      </w:r>
    </w:p>
    <w:p>
      <w:pPr>
        <w:pStyle w:val="TextBody"/>
        <w:bidi w:val="0"/>
        <w:spacing w:lineRule="auto" w:line="288" w:before="0" w:after="240"/>
        <w:ind w:left="0" w:right="0" w:firstLine="720"/>
        <w:jc w:val="both"/>
        <w:rPr/>
      </w:pPr>
      <w:r>
        <w:rPr>
          <w:rFonts w:ascii="Arial;sans-serif" w:hAnsi="Arial;sans-serif"/>
          <w:b w:val="false"/>
          <w:color w:val="000000"/>
          <w:sz w:val="21"/>
        </w:rPr>
        <w:t>6.</w:t>
      </w:r>
      <w:r>
        <w:rPr>
          <w:rFonts w:ascii="Arial;sans-serif" w:hAnsi="Arial;sans-serif"/>
          <w:b w:val="false"/>
          <w:color w:val="000000"/>
          <w:sz w:val="21"/>
          <w:u w:val="single"/>
        </w:rPr>
        <w:t>FCPA; Anti-Bribery</w:t>
      </w:r>
      <w:r>
        <w:rPr>
          <w:rFonts w:ascii="Arial;sans-serif" w:hAnsi="Arial;sans-serif"/>
          <w:b w:val="false"/>
          <w:color w:val="000000"/>
          <w:sz w:val="21"/>
        </w:rPr>
        <w:t>. Executive agrees to perform the Consulting Services at all times in accordance with, and shall not violate nor permit any of their agents or representatives to violate, the terms or provisions of the Foreign Corrupt Practices Act, UK Anti Bribery Law and any other applicable anti-bribery or anti-corruption law of the United States or any other jurisdiction.</w:t>
      </w:r>
    </w:p>
    <w:p>
      <w:pPr>
        <w:pStyle w:val="TextBody"/>
        <w:bidi w:val="0"/>
        <w:spacing w:lineRule="auto" w:line="288" w:before="0" w:after="240"/>
        <w:ind w:left="0" w:right="0" w:firstLine="720"/>
        <w:jc w:val="both"/>
        <w:rPr/>
      </w:pPr>
      <w:r>
        <w:rPr>
          <w:rFonts w:ascii="Arial;sans-serif" w:hAnsi="Arial;sans-serif"/>
          <w:b w:val="false"/>
          <w:color w:val="000000"/>
          <w:sz w:val="21"/>
        </w:rPr>
        <w:t>7.</w:t>
      </w:r>
      <w:r>
        <w:rPr>
          <w:rFonts w:ascii="Arial;sans-serif" w:hAnsi="Arial;sans-serif"/>
          <w:b w:val="false"/>
          <w:color w:val="000000"/>
          <w:sz w:val="21"/>
          <w:u w:val="single"/>
        </w:rPr>
        <w:t>Section 409A</w:t>
      </w:r>
      <w:r>
        <w:rPr>
          <w:rFonts w:ascii="Arial;sans-serif" w:hAnsi="Arial;sans-serif"/>
          <w:b w:val="false"/>
          <w:color w:val="000000"/>
          <w:sz w:val="21"/>
        </w:rPr>
        <w:t>. This Agreement is intended to satisfy or be exempt from the requirements of Section 409A of the Code and Department of Treasury regulations and other interpretive guidance issued thereunder, including without limitation any such regulations or other such guidance that may be issued after the date hereof (collectively, “</w:t>
      </w:r>
      <w:r>
        <w:rPr>
          <w:rFonts w:ascii="Arial;sans-serif" w:hAnsi="Arial;sans-serif"/>
          <w:b/>
          <w:i/>
          <w:color w:val="000000"/>
          <w:sz w:val="21"/>
        </w:rPr>
        <w:t>Section 409A</w:t>
      </w:r>
      <w:r>
        <w:rPr>
          <w:color w:val="000000"/>
        </w:rPr>
        <w:t>”</w:t>
      </w:r>
      <w:r>
        <w:rPr>
          <w:rFonts w:ascii="Arial;sans-serif" w:hAnsi="Arial;sans-serif"/>
          <w:b w:val="false"/>
          <w:color w:val="000000"/>
          <w:sz w:val="21"/>
        </w:rPr>
        <w:t xml:space="preserve">), and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03910"/>
                <wp:effectExtent l="0" t="0" r="0" b="0"/>
                <wp:wrapNone/>
                <wp:docPr id="92" name="Frame9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administered and interpreted accordingly. Each payment under this Agreement is intended to be treated as one of a series of separate payments for purposes of Section 409A. If as of the Employment Departure Date Executive is a “specified employee” under Section 409A and any applicable policy of the Company, then any payment under this Agreement that is treated as deferred compensation under Section 409A payable upon termination of Executive’s employment shall be delayed until the date that is six (6) months after the date of Executive’s “separation from service” as determined under Section 409A (without interest or earnings). To the extent that payments under this Agreement are payments under a “reimbursement plan” subject to Section 409A, the right to reimbursement may not be exchanged for cash or any other benefit, the amount of expenses eligible for reimbursement in one calendar year shall not affect the expenses eligible for reimbursement in any other calendar year, and the reimbursement of any eligible expense shall be made pursuant to the Company’s normal policies and procedures for expense reimbursement, which shall be in any event no later than the last day of the calendar year following the calendar year in which the expense was incurred.</w:t>
      </w:r>
    </w:p>
    <w:p>
      <w:pPr>
        <w:pStyle w:val="TextBody"/>
        <w:bidi w:val="0"/>
        <w:spacing w:lineRule="auto" w:line="288" w:before="0" w:after="240"/>
        <w:ind w:left="0" w:right="0" w:firstLine="720"/>
        <w:jc w:val="both"/>
        <w:rPr/>
      </w:pPr>
      <w:r>
        <w:rPr>
          <w:rFonts w:ascii="Arial;sans-serif" w:hAnsi="Arial;sans-serif"/>
          <w:b w:val="false"/>
          <w:color w:val="000000"/>
          <w:sz w:val="21"/>
        </w:rPr>
        <w:t>8.</w:t>
      </w:r>
      <w:r>
        <w:rPr>
          <w:rFonts w:ascii="Arial;sans-serif" w:hAnsi="Arial;sans-serif"/>
          <w:b w:val="false"/>
          <w:color w:val="000000"/>
          <w:sz w:val="21"/>
          <w:u w:val="single"/>
        </w:rPr>
        <w:t>Return of Agreement</w:t>
      </w:r>
      <w:r>
        <w:rPr>
          <w:rFonts w:ascii="Arial;sans-serif" w:hAnsi="Arial;sans-serif"/>
          <w:b w:val="false"/>
          <w:color w:val="000000"/>
          <w:sz w:val="21"/>
        </w:rPr>
        <w:t xml:space="preserve">. Once Executive reviews and signs this Agreement, Executive must deliver it to Paul Alpern, via email at paul.alpern@arteris.com, for signature by the Company. </w:t>
      </w:r>
    </w:p>
    <w:p>
      <w:pPr>
        <w:pStyle w:val="TextBody"/>
        <w:bidi w:val="0"/>
        <w:spacing w:lineRule="auto" w:line="288" w:before="0" w:after="240"/>
        <w:ind w:left="0" w:right="0" w:firstLine="720"/>
        <w:jc w:val="both"/>
        <w:rPr/>
      </w:pPr>
      <w:r>
        <w:rPr>
          <w:rFonts w:ascii="Arial;sans-serif" w:hAnsi="Arial;sans-serif"/>
          <w:b w:val="false"/>
          <w:color w:val="000000"/>
          <w:sz w:val="21"/>
        </w:rPr>
        <w:t>9.</w:t>
      </w:r>
      <w:r>
        <w:rPr>
          <w:rFonts w:ascii="Arial;sans-serif" w:hAnsi="Arial;sans-serif"/>
          <w:b w:val="false"/>
          <w:color w:val="000000"/>
          <w:sz w:val="21"/>
          <w:u w:val="single"/>
        </w:rPr>
        <w:t>Confidentiality of Agreement</w:t>
      </w:r>
      <w:r>
        <w:rPr>
          <w:rFonts w:ascii="Arial;sans-serif" w:hAnsi="Arial;sans-serif"/>
          <w:b w:val="false"/>
          <w:color w:val="000000"/>
          <w:sz w:val="21"/>
        </w:rPr>
        <w:t>. Executive has agreed that, except as may be required by law, neither Executive nor any member of Executive’s family, nor anyone employed by Executive or under Executive’s authority or control, shall disclose to any individual or entity the terms of this Agreement or the circumstances of Executive’s separation from the Company; provided, however, that the foregoing shall not prohibit Executive from disclosing the terms and conditions of this Agreement to Executive’s attorneys, tax advisors, accountants and/or immediate family members (collectively, “</w:t>
      </w:r>
      <w:r>
        <w:rPr>
          <w:rFonts w:ascii="Arial;sans-serif" w:hAnsi="Arial;sans-serif"/>
          <w:b/>
          <w:i/>
          <w:color w:val="000000"/>
          <w:sz w:val="21"/>
        </w:rPr>
        <w:t>Executive’s Confidants</w:t>
      </w:r>
      <w:r>
        <w:rPr>
          <w:color w:val="000000"/>
        </w:rPr>
        <w:t>”</w:t>
      </w:r>
      <w:r>
        <w:rPr>
          <w:rFonts w:ascii="Arial;sans-serif" w:hAnsi="Arial;sans-serif"/>
          <w:b w:val="false"/>
          <w:color w:val="000000"/>
          <w:sz w:val="21"/>
        </w:rPr>
        <w:t>), on a need to know basis only, provided that Executive informs Executive’s Confidants of this Section 9 and they agree to keep any such disclosed information strictly confidential. Executive understands and agrees that this Section 9 is a material provision of this Agreement and that any breach of this Section 9 by Executive or Executive’s Confidants shall be a material breach of this Agreement.</w:t>
      </w:r>
    </w:p>
    <w:p>
      <w:pPr>
        <w:pStyle w:val="TextBody"/>
        <w:bidi w:val="0"/>
        <w:spacing w:lineRule="auto" w:line="288" w:before="0" w:after="240"/>
        <w:ind w:left="0" w:right="0" w:firstLine="720"/>
        <w:jc w:val="both"/>
        <w:rPr/>
      </w:pPr>
      <w:r>
        <w:rPr>
          <w:rFonts w:ascii="Arial;sans-serif" w:hAnsi="Arial;sans-serif"/>
          <w:b w:val="false"/>
          <w:color w:val="000000"/>
          <w:sz w:val="21"/>
        </w:rPr>
        <w:t>10.</w:t>
      </w:r>
      <w:r>
        <w:rPr>
          <w:rFonts w:ascii="Arial;sans-serif" w:hAnsi="Arial;sans-serif"/>
          <w:b w:val="false"/>
          <w:color w:val="000000"/>
          <w:sz w:val="21"/>
          <w:u w:val="single"/>
        </w:rPr>
        <w:t>Full Defense</w:t>
      </w:r>
      <w:r>
        <w:rPr>
          <w:rFonts w:ascii="Arial;sans-serif" w:hAnsi="Arial;sans-serif"/>
          <w:b w:val="false"/>
          <w:color w:val="000000"/>
          <w:sz w:val="21"/>
        </w:rPr>
        <w:t>. This Agreement may be pled as a full and complete defense to, and may be used as a basis for an injunction against, any action, suit, or other proceeding that may be prosecuted, instituted, or attempted by Executive in breach hereof.</w:t>
      </w:r>
    </w:p>
    <w:p>
      <w:pPr>
        <w:pStyle w:val="TextBody"/>
        <w:bidi w:val="0"/>
        <w:spacing w:lineRule="auto" w:line="288" w:before="0" w:after="240"/>
        <w:ind w:left="0" w:right="0" w:firstLine="720"/>
        <w:jc w:val="both"/>
        <w:rPr/>
      </w:pPr>
      <w:r>
        <w:rPr>
          <w:rFonts w:ascii="Arial;sans-serif" w:hAnsi="Arial;sans-serif"/>
          <w:b w:val="false"/>
          <w:color w:val="000000"/>
          <w:sz w:val="21"/>
        </w:rPr>
        <w:t>11.</w:t>
      </w:r>
      <w:r>
        <w:rPr>
          <w:rFonts w:ascii="Arial;sans-serif" w:hAnsi="Arial;sans-serif"/>
          <w:b w:val="false"/>
          <w:color w:val="000000"/>
          <w:sz w:val="21"/>
          <w:u w:val="single"/>
        </w:rPr>
        <w:t>Severability</w:t>
      </w:r>
      <w:r>
        <w:rPr>
          <w:rFonts w:ascii="Arial;sans-serif" w:hAnsi="Arial;sans-serif"/>
          <w:b w:val="false"/>
          <w:color w:val="000000"/>
          <w:sz w:val="21"/>
        </w:rPr>
        <w:t>. In the event any provision of this Agreement shall be found unenforceable, the unenforceable provision shall be deemed deleted and the validity and enforceability of the remaining provisions shall not be affected thereby.</w:t>
      </w:r>
    </w:p>
    <w:p>
      <w:pPr>
        <w:pStyle w:val="TextBody"/>
        <w:bidi w:val="0"/>
        <w:spacing w:lineRule="auto" w:line="288" w:before="0" w:after="240"/>
        <w:ind w:left="0" w:right="0" w:firstLine="720"/>
        <w:jc w:val="both"/>
        <w:rPr/>
      </w:pPr>
      <w:r>
        <w:rPr>
          <w:rFonts w:ascii="Arial;sans-serif" w:hAnsi="Arial;sans-serif"/>
          <w:b w:val="false"/>
          <w:color w:val="000000"/>
          <w:sz w:val="21"/>
        </w:rPr>
        <w:t>12.</w:t>
      </w:r>
      <w:r>
        <w:rPr>
          <w:rFonts w:ascii="Arial;sans-serif" w:hAnsi="Arial;sans-serif"/>
          <w:b w:val="false"/>
          <w:color w:val="000000"/>
          <w:sz w:val="21"/>
          <w:u w:val="single"/>
        </w:rPr>
        <w:t>Applicable Law</w:t>
      </w:r>
      <w:r>
        <w:rPr>
          <w:rFonts w:ascii="Arial;sans-serif" w:hAnsi="Arial;sans-serif"/>
          <w:b w:val="false"/>
          <w:color w:val="000000"/>
          <w:sz w:val="21"/>
        </w:rPr>
        <w:t>. The laws of the State of Delaware shall govern the interpretation, validity, administration, enforcement and performance of the terms of this Agreement, regardless of the law that might be applied under such state’s conflict of laws principles. For purposes of litigating any dispute that arises directly or indirectly in respect of this Agreement, the parties hereby submit to and consent to the jurisdiction of the State of Delaware and agree that such litigation shall be conducted in the courts of Wilmington County, or the federal courts for the United States for the District of Delaware, and no other courts, where this grant is made and/or to be performed. Executive acknowledges that Executive is individually represented by legal counsel in negotiating the terms of this Agreement, including this Section 12 designating the venue and forum in which a controversy arising from this Agreement may be adjudicated and the choice of law to be applied.</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03910"/>
                <wp:effectExtent l="0" t="0" r="0" b="0"/>
                <wp:wrapNone/>
                <wp:docPr id="93" name="Frame9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1"/>
        </w:rPr>
        <w:t>13.</w:t>
      </w:r>
      <w:r>
        <w:rPr>
          <w:rFonts w:ascii="Arial;sans-serif" w:hAnsi="Arial;sans-serif"/>
          <w:b w:val="false"/>
          <w:color w:val="000000"/>
          <w:sz w:val="21"/>
          <w:u w:val="single"/>
        </w:rPr>
        <w:t>Entire Agreement; Modification; Waiver</w:t>
      </w:r>
      <w:r>
        <w:rPr>
          <w:rFonts w:ascii="Arial;sans-serif" w:hAnsi="Arial;sans-serif"/>
          <w:b w:val="false"/>
          <w:color w:val="000000"/>
          <w:sz w:val="21"/>
        </w:rPr>
        <w:t>. This Agreement is intended to be the entire agreement between the parties hereto and supersedes and cancels any and all other and prior agreements, written or oral, between the parties hereto regarding this subject matter (except with respect to the Continuing Obligations and any provisions in any other agreement between Executive and the Company or any of its affiliates that survive a termination of employment pursuant to their terms, which shall, in each case, remain in effect in accordance with their terms), including, but not limited to, the Change in Control and Severance Agreement, dated as of July 30, 2024. The parties hereto agree that no waiver, amendment, or modification of any of the terms of this Agreement shall be effective unless in writing and signed by all parties affected by the waiver, amendment, or modification. No waiver of any term, condition, or default of any term of this Agreement shall be construed as a waiver of any other term, condition, or default.</w:t>
      </w:r>
    </w:p>
    <w:p>
      <w:pPr>
        <w:pStyle w:val="TextBody"/>
        <w:bidi w:val="0"/>
        <w:spacing w:lineRule="auto" w:line="288" w:before="0" w:after="240"/>
        <w:ind w:left="0" w:right="0" w:firstLine="720"/>
        <w:jc w:val="both"/>
        <w:rPr/>
      </w:pPr>
      <w:r>
        <w:rPr>
          <w:rFonts w:ascii="Arial;sans-serif" w:hAnsi="Arial;sans-serif"/>
          <w:b w:val="false"/>
          <w:color w:val="000000"/>
          <w:sz w:val="21"/>
        </w:rPr>
        <w:t>14.</w:t>
      </w:r>
      <w:r>
        <w:rPr>
          <w:rFonts w:ascii="Arial;sans-serif" w:hAnsi="Arial;sans-serif"/>
          <w:b w:val="false"/>
          <w:color w:val="000000"/>
          <w:sz w:val="21"/>
          <w:u w:val="single"/>
        </w:rPr>
        <w:t>Withholding</w:t>
      </w:r>
      <w:r>
        <w:rPr>
          <w:rFonts w:ascii="Arial;sans-serif" w:hAnsi="Arial;sans-serif"/>
          <w:b w:val="false"/>
          <w:color w:val="000000"/>
          <w:sz w:val="21"/>
        </w:rPr>
        <w:t>. The Company shall be entitled to withhold from any amounts payable under this Agreement any federal, state, local or foreign withholding or other taxes or charges that the Company is required to withhold. The Company shall be entitled to rely on an opinion of counsel if any questions as to the amount or requirement of withholding shall arise.</w:t>
      </w:r>
    </w:p>
    <w:p>
      <w:pPr>
        <w:pStyle w:val="TextBody"/>
        <w:bidi w:val="0"/>
        <w:spacing w:lineRule="auto" w:line="288" w:before="0" w:after="240"/>
        <w:ind w:left="0" w:right="0" w:firstLine="720"/>
        <w:jc w:val="both"/>
        <w:rPr/>
      </w:pPr>
      <w:r>
        <w:rPr>
          <w:rFonts w:ascii="Arial;sans-serif" w:hAnsi="Arial;sans-serif"/>
          <w:b w:val="false"/>
          <w:color w:val="000000"/>
          <w:sz w:val="21"/>
        </w:rPr>
        <w:t>15.</w:t>
      </w:r>
      <w:r>
        <w:rPr>
          <w:rFonts w:ascii="Arial;sans-serif" w:hAnsi="Arial;sans-serif"/>
          <w:b w:val="false"/>
          <w:color w:val="000000"/>
          <w:sz w:val="21"/>
          <w:u w:val="single"/>
        </w:rPr>
        <w:t>Legal Fees</w:t>
      </w:r>
      <w:r>
        <w:rPr>
          <w:rFonts w:ascii="Arial;sans-serif" w:hAnsi="Arial;sans-serif"/>
          <w:b w:val="false"/>
          <w:color w:val="000000"/>
          <w:sz w:val="21"/>
        </w:rPr>
        <w:t>. The Company agrees to pay your reasonable legal fees incurred by you directly to your counsel up to a maximum of $10,000.</w:t>
      </w:r>
    </w:p>
    <w:p>
      <w:pPr>
        <w:pStyle w:val="TextBody"/>
        <w:bidi w:val="0"/>
        <w:spacing w:lineRule="auto" w:line="288" w:before="0" w:after="240"/>
        <w:ind w:left="0" w:right="0" w:firstLine="720"/>
        <w:jc w:val="both"/>
        <w:rPr/>
      </w:pPr>
      <w:r>
        <w:rPr>
          <w:rFonts w:ascii="Arial;sans-serif" w:hAnsi="Arial;sans-serif"/>
          <w:b w:val="false"/>
          <w:color w:val="000000"/>
          <w:sz w:val="21"/>
        </w:rPr>
        <w:t>16.</w:t>
      </w:r>
      <w:r>
        <w:rPr>
          <w:rFonts w:ascii="Arial;sans-serif" w:hAnsi="Arial;sans-serif"/>
          <w:b w:val="false"/>
          <w:color w:val="000000"/>
          <w:sz w:val="21"/>
          <w:u w:val="single"/>
        </w:rPr>
        <w:t>Counterparts; Facsimile Signatures</w:t>
      </w:r>
      <w:r>
        <w:rPr>
          <w:rFonts w:ascii="Arial;sans-serif" w:hAnsi="Arial;sans-serif"/>
          <w:b w:val="false"/>
          <w:color w:val="000000"/>
          <w:sz w:val="21"/>
        </w:rPr>
        <w:t xml:space="preserve">. This Agreement may be executed in any number of counterparts, each of which when so executed and delivered shall be deemed an original instrument without the production of any other counterpart. Any signature on this Agreement, delivered by either party hereto by photographic, facsimile or PDF shall be deemed to be an original signature thereto. </w:t>
      </w:r>
    </w:p>
    <w:p>
      <w:pPr>
        <w:pStyle w:val="TextBody"/>
        <w:bidi w:val="0"/>
        <w:spacing w:lineRule="auto" w:line="288" w:before="0" w:after="240"/>
        <w:jc w:val="center"/>
        <w:rPr/>
      </w:pPr>
      <w:r>
        <w:rPr>
          <w:rFonts w:ascii="Arial;sans-serif" w:hAnsi="Arial;sans-serif"/>
          <w:b w:val="false"/>
          <w:color w:val="000000"/>
          <w:sz w:val="21"/>
        </w:rPr>
        <w:t>[</w:t>
      </w:r>
      <w:r>
        <w:rPr>
          <w:rFonts w:ascii="Arial;sans-serif" w:hAnsi="Arial;sans-serif"/>
          <w:b w:val="false"/>
          <w:i/>
          <w:color w:val="000000"/>
          <w:sz w:val="21"/>
        </w:rPr>
        <w:t>Remainder of page intentionally left blank</w:t>
      </w:r>
      <w:r>
        <w:rPr>
          <w:rFonts w:ascii="Arial;sans-serif" w:hAnsi="Arial;sans-serif"/>
          <w:b w:val="false"/>
          <w:color w:val="000000"/>
          <w:sz w:val="21"/>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03910"/>
                <wp:effectExtent l="0" t="0" r="0" b="0"/>
                <wp:wrapNone/>
                <wp:docPr id="94" name="Frame9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THE PARTIES TO THIS AGREEMENT HAVE READ THE FOREGOING AGREEMENT AND FULLY UNDERSTAND EACH AND EVERY PROVISION CONTAINED HEREIN. WHEREFORE, THE PARTIES HAVE EXECUTED THIS AGREEMENT ON THE DATES SHOWN BELOW.                            </w:t>
      </w:r>
    </w:p>
    <w:tbl>
      <w:tblPr>
        <w:tblW w:w="5499"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243"/>
        <w:gridCol w:w="243"/>
        <w:gridCol w:w="248"/>
        <w:gridCol w:w="688"/>
        <w:gridCol w:w="688"/>
        <w:gridCol w:w="978"/>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21"/>
              </w:rPr>
            </w:pPr>
            <w:r>
              <w:rPr>
                <w:rFonts w:ascii="Arial;sans-serif" w:hAnsi="Arial;sans-serif"/>
                <w:b/>
                <w:color w:val="000000"/>
                <w:sz w:val="21"/>
              </w:rPr>
              <w:t>Executive</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Dated: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By:</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/s/ Nicholas B. Hawkins</w:t>
            </w:r>
          </w:p>
        </w:tc>
      </w:tr>
      <w:tr>
        <w:trPr/>
        <w:tc>
          <w:tcPr>
            <w:tcW w:w="20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Name:</w:t>
            </w:r>
          </w:p>
        </w:tc>
        <w:tc>
          <w:tcPr>
            <w:tcW w:w="235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Nicholas B. Hawkins</w:t>
            </w:r>
          </w:p>
        </w:tc>
      </w:tr>
    </w:tbl>
    <w:tbl>
      <w:tblPr>
        <w:tblW w:w="5200"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243"/>
        <w:gridCol w:w="243"/>
        <w:gridCol w:w="248"/>
        <w:gridCol w:w="601"/>
        <w:gridCol w:w="601"/>
        <w:gridCol w:w="853"/>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000000"/>
                <w:sz w:val="21"/>
              </w:rPr>
            </w:pPr>
            <w:r>
              <w:rPr>
                <w:rFonts w:ascii="Arial;sans-serif" w:hAnsi="Arial;sans-serif"/>
                <w:b/>
                <w:color w:val="000000"/>
                <w:sz w:val="21"/>
              </w:rPr>
              <w:t>Arteris, Inc.</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Dated: 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By:</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1"/>
              </w:rPr>
            </w:pPr>
            <w:r>
              <w:rPr>
                <w:rFonts w:ascii="Arial;sans-serif" w:hAnsi="Arial;sans-serif"/>
                <w:b w:val="false"/>
                <w:color w:val="000000"/>
                <w:sz w:val="21"/>
              </w:rPr>
              <w:t>/s/ K. Charles Janac</w:t>
            </w:r>
          </w:p>
        </w:tc>
      </w:tr>
      <w:tr>
        <w:trPr/>
        <w:tc>
          <w:tcPr>
            <w:tcW w:w="208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Name:</w:t>
            </w:r>
          </w:p>
        </w:tc>
        <w:tc>
          <w:tcPr>
            <w:tcW w:w="20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21"/>
              </w:rPr>
            </w:pPr>
            <w:r>
              <w:rPr>
                <w:rFonts w:ascii="Arial;sans-serif" w:hAnsi="Arial;sans-serif"/>
                <w:b w:val="false"/>
                <w:color w:val="000000"/>
                <w:sz w:val="21"/>
              </w:rPr>
              <w:t>K. Charles Janac</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Title:</w:t>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21"/>
              </w:rPr>
            </w:pPr>
            <w:r>
              <w:rPr>
                <w:rFonts w:ascii="Arial;sans-serif" w:hAnsi="Arial;sans-serif"/>
                <w:b w:val="false"/>
                <w:color w:val="000000"/>
                <w:sz w:val="21"/>
              </w:rPr>
              <w:t>President and CEO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01040"/>
                <wp:effectExtent l="0" t="0" r="0" b="0"/>
                <wp:wrapNone/>
                <wp:docPr id="95" name="Frame95"/>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[Signature Page to Confidential Separation and Consulting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[Signature Page to Confidential Separation and Consulting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1"/>
        </w:rPr>
      </w:pPr>
      <w:r>
        <w:rPr>
          <w:rFonts w:ascii="Arial;sans-serif" w:hAnsi="Arial;sans-serif"/>
          <w:b/>
          <w:color w:val="000000"/>
          <w:sz w:val="21"/>
        </w:rPr>
        <w:t>EXHIBIT A</w:t>
      </w:r>
    </w:p>
    <w:p>
      <w:pPr>
        <w:pStyle w:val="TextBody"/>
        <w:bidi w:val="0"/>
        <w:spacing w:lineRule="auto" w:line="288" w:before="0" w:after="240"/>
        <w:jc w:val="center"/>
        <w:rPr>
          <w:rFonts w:ascii="Arial;sans-serif" w:hAnsi="Arial;sans-serif"/>
          <w:b/>
          <w:color w:val="000000"/>
          <w:sz w:val="21"/>
        </w:rPr>
      </w:pPr>
      <w:r>
        <w:rPr>
          <w:rFonts w:ascii="Arial;sans-serif" w:hAnsi="Arial;sans-serif"/>
          <w:b/>
          <w:color w:val="000000"/>
          <w:sz w:val="21"/>
        </w:rPr>
        <w:t>GENERAL RELEASE OF CLAIMS</w:t>
      </w:r>
    </w:p>
    <w:p>
      <w:pPr>
        <w:pStyle w:val="TextBody"/>
        <w:bidi w:val="0"/>
        <w:spacing w:lineRule="auto" w:line="288" w:before="0" w:after="240"/>
        <w:jc w:val="both"/>
        <w:rPr/>
      </w:pPr>
      <w:r>
        <w:rPr>
          <w:color w:val="000000"/>
        </w:rPr>
        <w:t>    </w:t>
      </w:r>
      <w:r>
        <w:rPr>
          <w:rFonts w:ascii="Arial;sans-serif" w:hAnsi="Arial;sans-serif"/>
          <w:b w:val="false"/>
          <w:color w:val="000000"/>
          <w:sz w:val="21"/>
        </w:rPr>
        <w:t>This General Release of Claims (this “</w:t>
      </w:r>
      <w:r>
        <w:rPr>
          <w:rFonts w:ascii="Arial;sans-serif" w:hAnsi="Arial;sans-serif"/>
          <w:b/>
          <w:i/>
          <w:color w:val="000000"/>
          <w:sz w:val="21"/>
        </w:rPr>
        <w:t>Release</w:t>
      </w:r>
      <w:r>
        <w:rPr>
          <w:color w:val="000000"/>
        </w:rPr>
        <w:t>”</w:t>
      </w:r>
      <w:r>
        <w:rPr>
          <w:rFonts w:ascii="Arial;sans-serif" w:hAnsi="Arial;sans-serif"/>
          <w:b w:val="false"/>
          <w:color w:val="000000"/>
          <w:sz w:val="21"/>
        </w:rPr>
        <w:t>) is made by Nick Hawkins</w:t>
      </w:r>
      <w:r>
        <w:rPr>
          <w:color w:val="000000"/>
        </w:rPr>
        <w:t xml:space="preserve"> </w:t>
      </w:r>
      <w:r>
        <w:rPr>
          <w:rFonts w:ascii="Arial;sans-serif" w:hAnsi="Arial;sans-serif"/>
          <w:b w:val="false"/>
          <w:color w:val="000000"/>
          <w:sz w:val="21"/>
        </w:rPr>
        <w:t>(“</w:t>
      </w:r>
      <w:r>
        <w:rPr>
          <w:rFonts w:ascii="Arial;sans-serif" w:hAnsi="Arial;sans-serif"/>
          <w:b/>
          <w:i/>
          <w:color w:val="000000"/>
          <w:sz w:val="21"/>
        </w:rPr>
        <w:t>Executive</w:t>
      </w:r>
      <w:r>
        <w:rPr>
          <w:color w:val="000000"/>
        </w:rPr>
        <w:t>”</w:t>
      </w:r>
      <w:r>
        <w:rPr>
          <w:rFonts w:ascii="Arial;sans-serif" w:hAnsi="Arial;sans-serif"/>
          <w:b w:val="false"/>
          <w:color w:val="000000"/>
          <w:sz w:val="21"/>
        </w:rPr>
        <w:t>) in favor of Arteris, Inc. (the “</w:t>
      </w:r>
      <w:r>
        <w:rPr>
          <w:rFonts w:ascii="Arial;sans-serif" w:hAnsi="Arial;sans-serif"/>
          <w:b/>
          <w:i/>
          <w:color w:val="000000"/>
          <w:sz w:val="21"/>
        </w:rPr>
        <w:t>Company</w:t>
      </w:r>
      <w:r>
        <w:rPr>
          <w:color w:val="000000"/>
        </w:rPr>
        <w:t>”</w:t>
      </w:r>
      <w:r>
        <w:rPr>
          <w:rFonts w:ascii="Arial;sans-serif" w:hAnsi="Arial;sans-serif"/>
          <w:b w:val="false"/>
          <w:color w:val="000000"/>
          <w:sz w:val="21"/>
        </w:rPr>
        <w:t>) and the “</w:t>
      </w:r>
      <w:r>
        <w:rPr>
          <w:rFonts w:ascii="Arial;sans-serif" w:hAnsi="Arial;sans-serif"/>
          <w:b/>
          <w:i/>
          <w:color w:val="000000"/>
          <w:sz w:val="21"/>
        </w:rPr>
        <w:t>Releasees</w:t>
      </w:r>
      <w:r>
        <w:rPr>
          <w:color w:val="000000"/>
        </w:rPr>
        <w:t xml:space="preserve">” </w:t>
      </w:r>
      <w:r>
        <w:rPr>
          <w:rFonts w:ascii="Arial;sans-serif" w:hAnsi="Arial;sans-serif"/>
          <w:b w:val="false"/>
          <w:color w:val="000000"/>
          <w:sz w:val="21"/>
        </w:rPr>
        <w:t>(as defined below), as of the date of Executive’s execution of this Release.</w:t>
      </w:r>
    </w:p>
    <w:p>
      <w:pPr>
        <w:pStyle w:val="TextBody"/>
        <w:bidi w:val="0"/>
        <w:spacing w:lineRule="auto" w:line="288" w:before="0" w:after="240"/>
        <w:ind w:left="0" w:right="0" w:firstLine="1440"/>
        <w:jc w:val="both"/>
        <w:rPr/>
      </w:pPr>
      <w:r>
        <w:rPr>
          <w:rFonts w:ascii="Arial;sans-serif" w:hAnsi="Arial;sans-serif"/>
          <w:b w:val="false"/>
          <w:color w:val="000000"/>
          <w:sz w:val="21"/>
        </w:rPr>
        <w:t>1.</w:t>
      </w:r>
      <w:r>
        <w:rPr>
          <w:rFonts w:ascii="Arial;sans-serif" w:hAnsi="Arial;sans-serif"/>
          <w:b w:val="false"/>
          <w:color w:val="000000"/>
          <w:sz w:val="21"/>
          <w:u w:val="single"/>
        </w:rPr>
        <w:t>Release by Executive</w:t>
      </w:r>
      <w:r>
        <w:rPr>
          <w:rFonts w:ascii="Arial;sans-serif" w:hAnsi="Arial;sans-serif"/>
          <w:b w:val="false"/>
          <w:color w:val="000000"/>
          <w:sz w:val="21"/>
        </w:rPr>
        <w:t>. In exchange for the severance benefits set forth in Section 1.3 of the Confidential Separation and Consulting Agreement by and between the Company and Executive (the “</w:t>
      </w:r>
      <w:r>
        <w:rPr>
          <w:rFonts w:ascii="Arial;sans-serif" w:hAnsi="Arial;sans-serif"/>
          <w:b/>
          <w:i/>
          <w:color w:val="000000"/>
          <w:sz w:val="21"/>
        </w:rPr>
        <w:t>Agreement</w:t>
      </w:r>
      <w:r>
        <w:rPr>
          <w:color w:val="000000"/>
        </w:rPr>
        <w:t>”</w:t>
      </w:r>
      <w:r>
        <w:rPr>
          <w:rFonts w:ascii="Arial;sans-serif" w:hAnsi="Arial;sans-serif"/>
          <w:b w:val="false"/>
          <w:color w:val="000000"/>
          <w:sz w:val="21"/>
        </w:rPr>
        <w:t>) and for other good and valuable consideration, the receipt and adequacy of which are hereby acknowledged, Executive agrees unconditionally and forever to release and discharge the Company and the Company’s affiliated, related, parent and subsidiary corporations, as well as their respective past and present parents, subsidiaries, affiliates, associates, members, stockholders, employee benefit plans, attorneys, agents, representatives, partners, joint venturers, predecessors, successors, assigns, insurers, owners, employees, officers, directors and all persons acting by, through, under, or in concert with them, or any of them (hereinafter the “</w:t>
      </w:r>
      <w:r>
        <w:rPr>
          <w:rFonts w:ascii="Arial;sans-serif" w:hAnsi="Arial;sans-serif"/>
          <w:b/>
          <w:i/>
          <w:color w:val="000000"/>
          <w:sz w:val="21"/>
        </w:rPr>
        <w:t>Releasees</w:t>
      </w:r>
      <w:r>
        <w:rPr>
          <w:color w:val="000000"/>
        </w:rPr>
        <w:t>”</w:t>
      </w:r>
      <w:r>
        <w:rPr>
          <w:rFonts w:ascii="Arial;sans-serif" w:hAnsi="Arial;sans-serif"/>
          <w:b w:val="false"/>
          <w:color w:val="000000"/>
          <w:sz w:val="21"/>
        </w:rPr>
        <w:t>) from any and all manner of claims, actions, causes of action, in law or in equity, demands, rights, or damages of any kind or nature, whether known or unknown, fixed or contingent, including any claims, causes of action or demands of any nature (hereinafter called “</w:t>
      </w:r>
      <w:r>
        <w:rPr>
          <w:rFonts w:ascii="Arial;sans-serif" w:hAnsi="Arial;sans-serif"/>
          <w:b/>
          <w:i/>
          <w:color w:val="000000"/>
          <w:sz w:val="21"/>
        </w:rPr>
        <w:t>Claims</w:t>
      </w:r>
      <w:r>
        <w:rPr>
          <w:color w:val="000000"/>
        </w:rPr>
        <w:t>”</w:t>
      </w:r>
      <w:r>
        <w:rPr>
          <w:rFonts w:ascii="Arial;sans-serif" w:hAnsi="Arial;sans-serif"/>
          <w:b w:val="false"/>
          <w:color w:val="000000"/>
          <w:sz w:val="21"/>
        </w:rPr>
        <w:t>), that Executive now has or may hereafter have against the Releasees by reason of any and all acts, omissions, events or facts occurring or existing prior to Executive’s execution of this Release. The Claims released hereunder specifically include, but are not limited to, any claims for fraud; breach of contract; breach of implied covenant of good faith and fair dealing; inducement of breach; interference with contract; wrongful or unlawful discharge or demotion; violation of public policy; sexual or any other type of assault and battery; invasion of privacy; intentional or negligent infliction of emotional distress; intentional or negligent misrepresentation; conspiracy; failure to pay wages, benefits, vacation pay, severance pay, commissions, equity, attorneys’ fees, or other compensation of any sort; failure to accommodate disability, including pregnancy; discrimination or harassment on the basis of pregnancy, race, color, sex, gender, national origin, ancestry, religion, disability, handicap, medical condition, marital status, sexual orientation or any other protected category; any claim under the Age Discrimination in Employment Act, as amended, 29 U.S.C. § 621 et seq. (“</w:t>
      </w:r>
      <w:r>
        <w:rPr>
          <w:rFonts w:ascii="Arial;sans-serif" w:hAnsi="Arial;sans-serif"/>
          <w:b/>
          <w:i/>
          <w:color w:val="000000"/>
          <w:sz w:val="21"/>
        </w:rPr>
        <w:t>ADEA</w:t>
      </w:r>
      <w:r>
        <w:rPr>
          <w:color w:val="000000"/>
        </w:rPr>
        <w:t>”</w:t>
      </w:r>
      <w:r>
        <w:rPr>
          <w:rFonts w:ascii="Arial;sans-serif" w:hAnsi="Arial;sans-serif"/>
          <w:b w:val="false"/>
          <w:color w:val="000000"/>
          <w:sz w:val="21"/>
        </w:rPr>
        <w:t>); the Older Workers Benefit Protection Act of 1990 (“</w:t>
      </w:r>
      <w:r>
        <w:rPr>
          <w:rFonts w:ascii="Arial;sans-serif" w:hAnsi="Arial;sans-serif"/>
          <w:b/>
          <w:i/>
          <w:color w:val="000000"/>
          <w:sz w:val="21"/>
        </w:rPr>
        <w:t>OWBPA</w:t>
      </w:r>
      <w:r>
        <w:rPr>
          <w:color w:val="000000"/>
        </w:rPr>
        <w:t>”</w:t>
      </w:r>
      <w:r>
        <w:rPr>
          <w:rFonts w:ascii="Arial;sans-serif" w:hAnsi="Arial;sans-serif"/>
          <w:b w:val="false"/>
          <w:color w:val="000000"/>
          <w:sz w:val="21"/>
        </w:rPr>
        <w:t>); Title VII of the Civil Rights Act of 1964, as amended, by the Civil Rights Act of 1991, 42 U.S.C. § 2000 et seq.; Equal Pay Act, as amended, 29 U.S.C. § 206(d); the Civil Rights Act of 1866, 42 U.S.C. § 1981; the Family and Medical Leave Act of 1993, 29 U.S.C. § 2601 et seq.; the Americans with Disabilities Act of 1990, 42 U.S.C. § 12101 et seq.; the False Claims Act, 31 U.S.C. § 3729 et seq.; the Employee Retirement Income Security Act, as amended, 29 U.S.C. § 1001 et seq.; the Worker Adjustment and Retraining Notification Act, as amended, 29 U.S.C. § 2101 et seq.; the Fair Labor Standards Act, 29 U.S.C. § 215 et seq.; Cal. Lab. Code §§ 98.6 and 1102.5 for retaliation; the California Family Rights Act; the California Unruh Civil Rights Act; the California Confidentiality of Medical Information Act; the California Parental Leave Law; the California Military Personnel Bias Law; the California Occupational Safety and Health Act; the California Labor Code; discrimination and harassment claims under California's Fair Employment and Housing Act; and any federal, state or local laws of similar effect.</w:t>
      </w:r>
    </w:p>
    <w:p>
      <w:pPr>
        <w:pStyle w:val="TextBody"/>
        <w:bidi w:val="0"/>
        <w:spacing w:lineRule="auto" w:line="288" w:before="0" w:after="240"/>
        <w:ind w:left="0" w:right="0" w:firstLine="1440"/>
        <w:jc w:val="both"/>
        <w:rPr/>
      </w:pPr>
      <w:r>
        <w:rPr>
          <w:rFonts w:ascii="Arial;sans-serif" w:hAnsi="Arial;sans-serif"/>
          <w:b w:val="false"/>
          <w:color w:val="000000"/>
          <w:sz w:val="21"/>
        </w:rPr>
        <w:t>2.</w:t>
      </w:r>
      <w:r>
        <w:rPr>
          <w:rFonts w:ascii="Arial;sans-serif" w:hAnsi="Arial;sans-serif"/>
          <w:b w:val="false"/>
          <w:color w:val="000000"/>
          <w:sz w:val="21"/>
          <w:u w:val="single"/>
        </w:rPr>
        <w:t>Claims Not Released</w:t>
      </w:r>
      <w:r>
        <w:rPr>
          <w:rFonts w:ascii="Arial;sans-serif" w:hAnsi="Arial;sans-serif"/>
          <w:b w:val="false"/>
          <w:color w:val="000000"/>
          <w:sz w:val="21"/>
        </w:rPr>
        <w:t>. This Release shall not apply to: the Company’s obligations to provide to Executive payment of the Accrued Obligations (as defined in the Agreement); Executive’s right to assert claims for workers’ compensation or unemployment benefits; Executive’s right to bring to the attention of the Equal Employment Opportunity Commission (“</w:t>
      </w:r>
      <w:r>
        <w:rPr>
          <w:rFonts w:ascii="Arial;sans-serif" w:hAnsi="Arial;sans-serif"/>
          <w:b/>
          <w:i/>
          <w:color w:val="000000"/>
          <w:sz w:val="21"/>
        </w:rPr>
        <w:t>EEOC</w:t>
      </w:r>
      <w:r>
        <w:rPr>
          <w:color w:val="000000"/>
        </w:rPr>
        <w:t>”</w:t>
      </w:r>
      <w:r>
        <w:rPr>
          <w:rFonts w:ascii="Arial;sans-serif" w:hAnsi="Arial;sans-serif"/>
          <w:b w:val="false"/>
          <w:color w:val="000000"/>
          <w:sz w:val="21"/>
        </w:rPr>
        <w:t>) claims of discrimination (</w:t>
      </w:r>
      <w:r>
        <w:rPr>
          <w:rFonts w:ascii="Arial;sans-serif" w:hAnsi="Arial;sans-serif"/>
          <w:b w:val="false"/>
          <w:color w:val="000000"/>
          <w:sz w:val="21"/>
          <w:u w:val="single"/>
        </w:rPr>
        <w:t>provided</w:t>
      </w:r>
      <w:r>
        <w:rPr>
          <w:rFonts w:ascii="Arial;sans-serif" w:hAnsi="Arial;sans-serif"/>
          <w:b w:val="false"/>
          <w:color w:val="000000"/>
          <w:sz w:val="21"/>
        </w:rPr>
        <w:t xml:space="preserve">, </w:t>
      </w:r>
      <w:r>
        <w:rPr>
          <w:rFonts w:ascii="Arial;sans-serif" w:hAnsi="Arial;sans-serif"/>
          <w:b w:val="false"/>
          <w:color w:val="000000"/>
          <w:sz w:val="21"/>
          <w:u w:val="single"/>
        </w:rPr>
        <w:t>however</w:t>
      </w:r>
      <w:r>
        <w:rPr>
          <w:rFonts w:ascii="Arial;sans-serif" w:hAnsi="Arial;sans-serif"/>
          <w:b w:val="false"/>
          <w:color w:val="000000"/>
          <w:sz w:val="21"/>
        </w:rPr>
        <w:t xml:space="preserve">, that Executive releases Executive’s right to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secure any damages for alleged discriminatory treatment); any right to communicate directly with, cooperate with, or provide information to, any federal, state or local government regulator; any right to file an unfair labor practice charge under the National Labor Relations Act; Executive’s vested rights under any retirement or welfare benefit plan of the Company; or any other rights that may not be waived by an employee under applicable law.</w:t>
      </w:r>
    </w:p>
    <w:p>
      <w:pPr>
        <w:pStyle w:val="TextBody"/>
        <w:bidi w:val="0"/>
        <w:spacing w:lineRule="auto" w:line="288" w:before="0" w:after="240"/>
        <w:ind w:left="0" w:right="0" w:firstLine="1440"/>
        <w:jc w:val="both"/>
        <w:rPr/>
      </w:pPr>
      <w:r>
        <w:rPr>
          <w:rFonts w:ascii="Arial;sans-serif" w:hAnsi="Arial;sans-serif"/>
          <w:b w:val="false"/>
          <w:color w:val="000000"/>
          <w:sz w:val="21"/>
        </w:rPr>
        <w:t>3.</w:t>
      </w:r>
      <w:r>
        <w:rPr>
          <w:rFonts w:ascii="Arial;sans-serif" w:hAnsi="Arial;sans-serif"/>
          <w:b w:val="false"/>
          <w:color w:val="000000"/>
          <w:sz w:val="21"/>
          <w:u w:val="single"/>
        </w:rPr>
        <w:t>Unknown Claims</w:t>
      </w:r>
      <w:r>
        <w:rPr>
          <w:rFonts w:ascii="Arial;sans-serif" w:hAnsi="Arial;sans-serif"/>
          <w:b w:val="false"/>
          <w:color w:val="000000"/>
          <w:sz w:val="21"/>
        </w:rPr>
        <w:t>. Executive acknowledges that Executive has been advised of and is familiar with the provisions of California Civil Code section 1542, which provides as follows:</w:t>
      </w:r>
    </w:p>
    <w:p>
      <w:pPr>
        <w:pStyle w:val="TextBody"/>
        <w:bidi w:val="0"/>
        <w:spacing w:lineRule="auto" w:line="288" w:before="0" w:after="240"/>
        <w:ind w:left="0" w:right="0" w:firstLine="720"/>
        <w:jc w:val="both"/>
        <w:rPr>
          <w:color w:val="000000"/>
        </w:rPr>
      </w:pPr>
      <w:r>
        <w:rPr>
          <w:color w:val="000000"/>
        </w:rPr>
        <w:t>“</w:t>
      </w:r>
      <w:r>
        <w:rPr>
          <w:rFonts w:ascii="Arial;sans-serif" w:hAnsi="Arial;sans-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both"/>
        <w:rPr>
          <w:rFonts w:ascii="Arial;sans-serif" w:hAnsi="Arial;sans-serif"/>
          <w:b w:val="false"/>
          <w:color w:val="000000"/>
          <w:sz w:val="22"/>
        </w:rPr>
      </w:pPr>
      <w:r>
        <w:rPr>
          <w:rFonts w:ascii="Arial;sans-serif" w:hAnsi="Arial;sans-serif"/>
          <w:b w:val="false"/>
          <w:color w:val="000000"/>
          <w:sz w:val="22"/>
        </w:rPr>
        <w:t>Executive, being aware of said California Civil Code section, hereby expressly waives any rights Executive may have thereunder, as well as under any other state or local statutes or common law principles of similar effect.</w:t>
      </w:r>
    </w:p>
    <w:p>
      <w:pPr>
        <w:pStyle w:val="TextBody"/>
        <w:bidi w:val="0"/>
        <w:spacing w:lineRule="auto" w:line="288" w:before="0" w:after="240"/>
        <w:ind w:left="0" w:right="0" w:firstLine="1440"/>
        <w:jc w:val="both"/>
        <w:rPr/>
      </w:pPr>
      <w:r>
        <w:rPr>
          <w:rFonts w:ascii="Arial;sans-serif" w:hAnsi="Arial;sans-serif"/>
          <w:b w:val="false"/>
          <w:color w:val="000000"/>
          <w:sz w:val="21"/>
        </w:rPr>
        <w:t>4.</w:t>
      </w:r>
      <w:r>
        <w:rPr>
          <w:rFonts w:ascii="Arial;sans-serif" w:hAnsi="Arial;sans-serif"/>
          <w:b w:val="false"/>
          <w:color w:val="000000"/>
          <w:sz w:val="21"/>
          <w:u w:val="single"/>
        </w:rPr>
        <w:t>Older Workers Benefit Protection Act</w:t>
      </w:r>
      <w:r>
        <w:rPr>
          <w:rFonts w:ascii="Arial;sans-serif" w:hAnsi="Arial;sans-serif"/>
          <w:b w:val="false"/>
          <w:color w:val="000000"/>
          <w:sz w:val="21"/>
        </w:rPr>
        <w:t>. In accordance with the OWBPA, Executive is hereby advised as follows:</w:t>
      </w:r>
    </w:p>
    <w:p>
      <w:pPr>
        <w:pStyle w:val="TextBody"/>
        <w:bidi w:val="0"/>
        <w:spacing w:lineRule="auto" w:line="288" w:before="0" w:after="240"/>
        <w:ind w:left="0" w:right="0" w:firstLine="2160"/>
        <w:jc w:val="both"/>
        <w:rPr/>
      </w:pPr>
      <w:r>
        <w:rPr>
          <w:rFonts w:ascii="Arial;sans-serif" w:hAnsi="Arial;sans-serif"/>
          <w:b w:val="false"/>
          <w:color w:val="000000"/>
          <w:sz w:val="21"/>
        </w:rPr>
        <w:t>(a)</w:t>
      </w:r>
      <w:r>
        <w:rPr>
          <w:rFonts w:ascii="Arial;sans-serif" w:hAnsi="Arial;sans-serif"/>
          <w:b w:val="false"/>
          <w:color w:val="000000"/>
          <w:sz w:val="21"/>
        </w:rPr>
        <w:t>Executive has read this Release and understands its terms and effect, including the fact that Executive is agreeing to release and forever discharge the Company and each of the Releasees from any Claims released in this Release.</w:t>
      </w:r>
    </w:p>
    <w:p>
      <w:pPr>
        <w:pStyle w:val="TextBody"/>
        <w:bidi w:val="0"/>
        <w:spacing w:lineRule="auto" w:line="288" w:before="0" w:after="240"/>
        <w:ind w:left="0" w:right="0" w:firstLine="2160"/>
        <w:jc w:val="both"/>
        <w:rPr/>
      </w:pPr>
      <w:r>
        <w:rPr>
          <w:rFonts w:ascii="Arial;sans-serif" w:hAnsi="Arial;sans-serif"/>
          <w:b w:val="false"/>
          <w:color w:val="000000"/>
          <w:sz w:val="21"/>
        </w:rPr>
        <w:t>(b)</w:t>
      </w:r>
      <w:r>
        <w:rPr>
          <w:rFonts w:ascii="Arial;sans-serif" w:hAnsi="Arial;sans-serif"/>
          <w:b w:val="false"/>
          <w:color w:val="000000"/>
          <w:sz w:val="21"/>
        </w:rPr>
        <w:t>Executive understands that, by entering into this Release, Executive does not waive any Claims that may arise after the date of Executive’s execution of this Release, including without limitation any rights or claims that Executive may have to secure enforcement of the terms and conditions of this Release.</w:t>
      </w:r>
    </w:p>
    <w:p>
      <w:pPr>
        <w:pStyle w:val="TextBody"/>
        <w:bidi w:val="0"/>
        <w:spacing w:lineRule="auto" w:line="288" w:before="0" w:after="240"/>
        <w:ind w:left="0" w:right="0" w:firstLine="2160"/>
        <w:jc w:val="both"/>
        <w:rPr/>
      </w:pPr>
      <w:r>
        <w:rPr>
          <w:rFonts w:ascii="Arial;sans-serif" w:hAnsi="Arial;sans-serif"/>
          <w:b w:val="false"/>
          <w:color w:val="000000"/>
          <w:sz w:val="21"/>
        </w:rPr>
        <w:t>(c)</w:t>
      </w:r>
      <w:r>
        <w:rPr>
          <w:rFonts w:ascii="Arial;sans-serif" w:hAnsi="Arial;sans-serif"/>
          <w:b w:val="false"/>
          <w:color w:val="000000"/>
          <w:sz w:val="21"/>
        </w:rPr>
        <w:t>Executive has signed this Release voluntarily and knowingly in exchange for the consideration described in this Release, which Executive acknowledges is adequate and satisfactory to Executive and in addition to any other benefits to which Executive is otherwise entitled.</w:t>
      </w:r>
    </w:p>
    <w:p>
      <w:pPr>
        <w:pStyle w:val="TextBody"/>
        <w:bidi w:val="0"/>
        <w:spacing w:lineRule="auto" w:line="288" w:before="0" w:after="240"/>
        <w:ind w:left="0" w:right="0" w:firstLine="2160"/>
        <w:jc w:val="both"/>
        <w:rPr/>
      </w:pPr>
      <w:r>
        <w:rPr>
          <w:rFonts w:ascii="Arial;sans-serif" w:hAnsi="Arial;sans-serif"/>
          <w:b w:val="false"/>
          <w:color w:val="000000"/>
          <w:sz w:val="21"/>
        </w:rPr>
        <w:t>(d)</w:t>
      </w:r>
      <w:r>
        <w:rPr>
          <w:rFonts w:ascii="Arial;sans-serif" w:hAnsi="Arial;sans-serif"/>
          <w:b w:val="false"/>
          <w:color w:val="000000"/>
          <w:sz w:val="21"/>
        </w:rPr>
        <w:t>The Company advises Executive to consult with an attorney prior to executing this Release.</w:t>
      </w:r>
    </w:p>
    <w:p>
      <w:pPr>
        <w:pStyle w:val="TextBody"/>
        <w:bidi w:val="0"/>
        <w:spacing w:lineRule="auto" w:line="288" w:before="0" w:after="240"/>
        <w:ind w:left="0" w:right="0" w:firstLine="2160"/>
        <w:jc w:val="both"/>
        <w:rPr/>
      </w:pPr>
      <w:r>
        <w:rPr>
          <w:rFonts w:ascii="Arial;sans-serif" w:hAnsi="Arial;sans-serif"/>
          <w:b w:val="false"/>
          <w:color w:val="000000"/>
          <w:sz w:val="21"/>
        </w:rPr>
        <w:t>(e)</w:t>
      </w:r>
      <w:r>
        <w:rPr>
          <w:rFonts w:ascii="Arial;sans-serif" w:hAnsi="Arial;sans-serif"/>
          <w:b w:val="false"/>
          <w:color w:val="000000"/>
          <w:sz w:val="21"/>
        </w:rPr>
        <w:t>Executive has twenty-one (21) days to review and decide whether or not to sign this Release. If Executive signs this Release prior to the expiration of such period, Executive acknowledges that Executive has done so voluntarily, had sufficient time to consider the Release, to consult with counsel and that Executive does not desire additional time and hereby waives the remainder of the twenty-one (21) day period. In the event of any changes to this Release, whether or not material, Executive waives the restarting of the twenty-one (21) day period.</w:t>
      </w:r>
    </w:p>
    <w:p>
      <w:pPr>
        <w:pStyle w:val="TextBody"/>
        <w:bidi w:val="0"/>
        <w:spacing w:lineRule="auto" w:line="288" w:before="0" w:after="240"/>
        <w:ind w:left="0" w:right="0" w:firstLine="2160"/>
        <w:jc w:val="both"/>
        <w:rPr/>
      </w:pPr>
      <w:r>
        <w:rPr>
          <w:rFonts w:ascii="Arial;sans-serif" w:hAnsi="Arial;sans-serif"/>
          <w:b w:val="false"/>
          <w:color w:val="000000"/>
          <w:sz w:val="21"/>
        </w:rPr>
        <w:t>(f)</w:t>
      </w:r>
      <w:r>
        <w:rPr>
          <w:rFonts w:ascii="Arial;sans-serif" w:hAnsi="Arial;sans-serif"/>
          <w:b w:val="false"/>
          <w:color w:val="000000"/>
          <w:sz w:val="21"/>
        </w:rPr>
        <w:t xml:space="preserve">Executive has seven (7) days after signing this Release to revoke this Release and this Release will become effective upon the expiration of that revocation period. If Executive revokes this Release during such seven (7)-day period, this Release will be null and void and of no force or effect on either the Company or Executive and Executive will not be entitled to any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of the payments or benefits which are expressly conditioned upon the execution and non-revocation of this Release.</w:t>
      </w:r>
    </w:p>
    <w:p>
      <w:pPr>
        <w:pStyle w:val="TextBody"/>
        <w:bidi w:val="0"/>
        <w:spacing w:lineRule="auto" w:line="288" w:before="0" w:after="240"/>
        <w:ind w:left="0" w:right="0" w:firstLine="2160"/>
        <w:jc w:val="both"/>
        <w:rPr/>
      </w:pPr>
      <w:r>
        <w:rPr>
          <w:rFonts w:ascii="Arial;sans-serif" w:hAnsi="Arial;sans-serif"/>
          <w:b w:val="false"/>
          <w:color w:val="000000"/>
          <w:sz w:val="21"/>
        </w:rPr>
        <w:t>(g)</w:t>
      </w:r>
      <w:r>
        <w:rPr>
          <w:rFonts w:ascii="Arial;sans-serif" w:hAnsi="Arial;sans-serif"/>
          <w:b w:val="false"/>
          <w:color w:val="000000"/>
          <w:sz w:val="21"/>
        </w:rPr>
        <w:t>If Executive wishes to revoke this Release, Executive shall deliver written notice stating Executive’s intent to revoke this Release to Paul Alpern, via email at paul.alpern@arteris.com, on or before 5:00 p.m. on the seventh (7th) day after the date on which Executive signs this Release.</w:t>
      </w:r>
    </w:p>
    <w:p>
      <w:pPr>
        <w:pStyle w:val="TextBody"/>
        <w:bidi w:val="0"/>
        <w:spacing w:lineRule="auto" w:line="288" w:before="0" w:after="240"/>
        <w:ind w:left="0" w:right="0" w:firstLine="1440"/>
        <w:jc w:val="both"/>
        <w:rPr/>
      </w:pPr>
      <w:r>
        <w:rPr>
          <w:rFonts w:ascii="Arial;sans-serif" w:hAnsi="Arial;sans-serif"/>
          <w:b w:val="false"/>
          <w:color w:val="000000"/>
          <w:sz w:val="21"/>
        </w:rPr>
        <w:t>5.</w:t>
      </w:r>
      <w:r>
        <w:rPr>
          <w:rFonts w:ascii="Arial;sans-serif" w:hAnsi="Arial;sans-serif"/>
          <w:b w:val="false"/>
          <w:color w:val="000000"/>
          <w:sz w:val="21"/>
          <w:u w:val="single"/>
        </w:rPr>
        <w:t>Representations</w:t>
      </w:r>
      <w:r>
        <w:rPr>
          <w:rFonts w:ascii="Arial;sans-serif" w:hAnsi="Arial;sans-serif"/>
          <w:b w:val="false"/>
          <w:color w:val="000000"/>
          <w:sz w:val="21"/>
        </w:rPr>
        <w:t>. Executive represents and warrants that there has been no assignment or other transfer of any interest in any Claim which Executive may have against Releasees, or any of them, and Executive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This indemnity does not require payment as a condition precedent to recovery by the Releasees against Executive under this indemnity. Executive agrees that if Executive hereafter commences any suit arising out of, based upon, or relating to any of the Claims released hereunder or in any manner asserts against Releasees, or any of them, any of the Claims released hereunder, then Executive agrees to pay to Releasees, and each of them, in addition to any other damages caused to Releasees thereby, all attorneys’ fees incurred by Releasees in defending or otherwise responding to said suit or Claim.</w:t>
      </w:r>
    </w:p>
    <w:p>
      <w:pPr>
        <w:pStyle w:val="TextBody"/>
        <w:bidi w:val="0"/>
        <w:spacing w:lineRule="auto" w:line="288" w:before="0" w:after="240"/>
        <w:ind w:left="0" w:right="0" w:firstLine="1440"/>
        <w:jc w:val="both"/>
        <w:rPr/>
      </w:pPr>
      <w:r>
        <w:rPr>
          <w:rFonts w:ascii="Arial;sans-serif" w:hAnsi="Arial;sans-serif"/>
          <w:b w:val="false"/>
          <w:color w:val="000000"/>
          <w:sz w:val="21"/>
        </w:rPr>
        <w:t>6.</w:t>
      </w:r>
      <w:r>
        <w:rPr>
          <w:rFonts w:ascii="Arial;sans-serif" w:hAnsi="Arial;sans-serif"/>
          <w:b w:val="false"/>
          <w:color w:val="000000"/>
          <w:sz w:val="21"/>
          <w:u w:val="single"/>
        </w:rPr>
        <w:t>No Actions</w:t>
      </w:r>
      <w:r>
        <w:rPr>
          <w:rFonts w:ascii="Arial;sans-serif" w:hAnsi="Arial;sans-serif"/>
          <w:b w:val="false"/>
          <w:color w:val="000000"/>
          <w:sz w:val="21"/>
        </w:rPr>
        <w:t xml:space="preserve">. Executive represents and warrants to the Company that Executive has no pending actions, Claims or charges of any kind. Executive agrees that if Executive hereafter commences, joins in, or in any manner seeks relief through any suit arising out of, based upon, or relating to any of the Claims released hereunder or in any manner asserts against the Releasees any of the Claims released hereunder, then Executive will pay to the Releasees against whom such Claim(s) is asserted, in addition to any other damages caused thereby, all attorneys’ fees incurred by such Releasees in defending or otherwise responding to said suit or Claim; </w:t>
      </w:r>
      <w:r>
        <w:rPr>
          <w:rFonts w:ascii="Arial;sans-serif" w:hAnsi="Arial;sans-serif"/>
          <w:b w:val="false"/>
          <w:color w:val="000000"/>
          <w:sz w:val="21"/>
          <w:u w:val="single"/>
        </w:rPr>
        <w:t>provided</w:t>
      </w:r>
      <w:r>
        <w:rPr>
          <w:rFonts w:ascii="Arial;sans-serif" w:hAnsi="Arial;sans-serif"/>
          <w:b w:val="false"/>
          <w:color w:val="000000"/>
          <w:sz w:val="21"/>
        </w:rPr>
        <w:t xml:space="preserve">, </w:t>
      </w:r>
      <w:r>
        <w:rPr>
          <w:rFonts w:ascii="Arial;sans-serif" w:hAnsi="Arial;sans-serif"/>
          <w:b w:val="false"/>
          <w:color w:val="000000"/>
          <w:sz w:val="21"/>
          <w:u w:val="single"/>
        </w:rPr>
        <w:t>however</w:t>
      </w:r>
      <w:r>
        <w:rPr>
          <w:rFonts w:ascii="Arial;sans-serif" w:hAnsi="Arial;sans-serif"/>
          <w:b w:val="false"/>
          <w:color w:val="000000"/>
          <w:sz w:val="21"/>
        </w:rPr>
        <w:t>, that Executive shall not be obligated to pay the Releasees’ attorneys’ fees to the extent such fees are attributable to: (1) claims under the ADEA or a challenge to the validity of the release of claims under the ADEA; or (2) Executive’s right to file a charge with the EEOC or any other government agency; however, Executive hereby waives any right to any damages or individual relief resulting from any such charge; provided, that Executive is not agreeing to waive, and this Release shall not be read as requiring Executive to waive, any right Executive may have to receive any bounty or monetary award from any governmental entity or regulatory or law enforcement authority in connection with information provided to any governmental entity or other protected “whistleblower” activity.</w:t>
      </w:r>
    </w:p>
    <w:p>
      <w:pPr>
        <w:pStyle w:val="TextBody"/>
        <w:bidi w:val="0"/>
        <w:spacing w:lineRule="auto" w:line="288" w:before="0" w:after="240"/>
        <w:ind w:left="0" w:right="0" w:firstLine="1440"/>
        <w:jc w:val="both"/>
        <w:rPr/>
      </w:pPr>
      <w:r>
        <w:rPr>
          <w:rFonts w:ascii="Arial;sans-serif" w:hAnsi="Arial;sans-serif"/>
          <w:b w:val="false"/>
          <w:color w:val="000000"/>
          <w:sz w:val="21"/>
        </w:rPr>
        <w:t>7.</w:t>
      </w:r>
      <w:r>
        <w:rPr>
          <w:rFonts w:ascii="Arial;sans-serif" w:hAnsi="Arial;sans-serif"/>
          <w:b w:val="false"/>
          <w:color w:val="000000"/>
          <w:sz w:val="21"/>
          <w:u w:val="single"/>
        </w:rPr>
        <w:t>Exceptions</w:t>
      </w:r>
      <w:r>
        <w:rPr>
          <w:rFonts w:ascii="Arial;sans-serif" w:hAnsi="Arial;sans-serif"/>
          <w:b w:val="false"/>
          <w:color w:val="000000"/>
          <w:sz w:val="21"/>
        </w:rPr>
        <w:t>. Notwithstanding anything in this Release to the contrary, nothing contained in this Release shall prohibit Executive (or Executive’s attorney) from (i) filing a charge with, reporting possible violations of federal law or regulation to, participating in any investigation by, or cooperating with the Securities and Exchange Commission, the Financial Industry Regulatory Authority, the EEOC, the National Labor Relations Board, the Occupational Safety and Health Administration, the Commodity Futures Trading Commission, the Department of Justice or any other securities regulatory agency, self- regulatory authority or non-U.S., federal, state or local regulatory authority (collectively, “</w:t>
      </w:r>
      <w:r>
        <w:rPr>
          <w:rFonts w:ascii="Arial;sans-serif" w:hAnsi="Arial;sans-serif"/>
          <w:b/>
          <w:i/>
          <w:color w:val="000000"/>
          <w:sz w:val="21"/>
        </w:rPr>
        <w:t>Government Agencies</w:t>
      </w:r>
      <w:r>
        <w:rPr>
          <w:color w:val="000000"/>
        </w:rPr>
        <w:t>”</w:t>
      </w:r>
      <w:r>
        <w:rPr>
          <w:rFonts w:ascii="Arial;sans-serif" w:hAnsi="Arial;sans-serif"/>
          <w:b w:val="false"/>
          <w:color w:val="000000"/>
          <w:sz w:val="21"/>
        </w:rPr>
        <w:t xml:space="preserve">),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Executive’s attorney or in a sealed complaint or other document filed in a lawsuit or other governmental proceeding, (iii) receiving an award for information provided to any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1"/>
        </w:rPr>
      </w:pPr>
      <w:r>
        <w:rPr>
          <w:rFonts w:ascii="Arial;sans-serif" w:hAnsi="Arial;sans-serif"/>
          <w:b w:val="false"/>
          <w:color w:val="000000"/>
          <w:sz w:val="21"/>
        </w:rPr>
        <w:t>Government Agency, and/or (iv) disclosing or discussing information lawfully acquired about wages, hours or other terms and conditions of employment if used for purposes protected by Section 7 of the National Labor Relations Act such as joining or forming a union, engaging in collective bargaining or engaging in other concerted activity for the mutual aid or protection of employees. Pursuant to 18 USC Section 1833(b),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Release is intended to or shall preclude Executive from providing truthful testimony in response to a valid subpoena, court order, regulatory request or other judicial, administrative or legal process or otherwise as required by law. It is understood that this Release shall not require Executive to notify any Releasee of a request for information from any Governmental Agency that is not directed to the Company or of Executive’s decision to file a charge or complaint with or participate in an investigation conducted by any Governmental Agency. Notwithstanding the foregoing, Executive recognizes that, in connection with the provision of information to any Governmental Agency, Executive must inform such Governmental Agency that the information Executive is providing is confidential. Despite the foregoing, Executive is not permitted to reveal to any third party, including any Governmental Agency, information Executive came to learn during Executive’s service to the Company that is protected from disclosure by any applicable privilege, including but not limited to the attorney-client privilege or attorney work product doctrine. The Company does not waive any applicable privileges or the right to continue to protect its privileged attorney-client information, attorney work product, and other privileged information.</w:t>
      </w:r>
    </w:p>
    <w:p>
      <w:pPr>
        <w:pStyle w:val="TextBody"/>
        <w:bidi w:val="0"/>
        <w:spacing w:lineRule="auto" w:line="288" w:before="0" w:after="240"/>
        <w:ind w:left="0" w:right="0" w:firstLine="1440"/>
        <w:jc w:val="both"/>
        <w:rPr/>
      </w:pPr>
      <w:r>
        <w:rPr>
          <w:rFonts w:ascii="Arial;sans-serif" w:hAnsi="Arial;sans-serif"/>
          <w:b w:val="false"/>
          <w:color w:val="000000"/>
          <w:sz w:val="21"/>
        </w:rPr>
        <w:t>8.</w:t>
      </w:r>
      <w:r>
        <w:rPr>
          <w:rFonts w:ascii="Arial;sans-serif" w:hAnsi="Arial;sans-serif"/>
          <w:b w:val="false"/>
          <w:color w:val="000000"/>
          <w:sz w:val="21"/>
          <w:u w:val="single"/>
        </w:rPr>
        <w:t>Miscellaneous</w:t>
      </w:r>
      <w:r>
        <w:rPr>
          <w:rFonts w:ascii="Arial;sans-serif" w:hAnsi="Arial;sans-serif"/>
          <w:b w:val="false"/>
          <w:color w:val="000000"/>
          <w:sz w:val="21"/>
        </w:rPr>
        <w:t xml:space="preserve">. </w:t>
      </w:r>
    </w:p>
    <w:p>
      <w:pPr>
        <w:pStyle w:val="TextBody"/>
        <w:bidi w:val="0"/>
        <w:spacing w:lineRule="auto" w:line="288" w:before="0" w:after="240"/>
        <w:ind w:left="0" w:right="0" w:firstLine="2160"/>
        <w:jc w:val="both"/>
        <w:rPr/>
      </w:pPr>
      <w:r>
        <w:rPr>
          <w:rFonts w:ascii="Arial;sans-serif" w:hAnsi="Arial;sans-serif"/>
          <w:b w:val="false"/>
          <w:color w:val="000000"/>
          <w:sz w:val="21"/>
        </w:rPr>
        <w:t>(a)</w:t>
      </w:r>
      <w:r>
        <w:rPr>
          <w:rFonts w:ascii="Arial;sans-serif" w:hAnsi="Arial;sans-serif"/>
          <w:b w:val="false"/>
          <w:i/>
          <w:color w:val="000000"/>
          <w:sz w:val="21"/>
        </w:rPr>
        <w:t>No Admission.</w:t>
      </w:r>
      <w:r>
        <w:rPr>
          <w:color w:val="000000"/>
        </w:rPr>
        <w:t xml:space="preserve"> </w:t>
      </w:r>
      <w:r>
        <w:rPr>
          <w:rFonts w:ascii="Arial;sans-serif" w:hAnsi="Arial;sans-serif"/>
          <w:b w:val="false"/>
          <w:color w:val="000000"/>
          <w:sz w:val="21"/>
        </w:rPr>
        <w:t>Executive understands and agrees that neither the payment of money nor the execution of this Release shall constitute or be construed as an admission of any liability whatsoever by the Releasees.</w:t>
      </w:r>
    </w:p>
    <w:p>
      <w:pPr>
        <w:pStyle w:val="TextBody"/>
        <w:bidi w:val="0"/>
        <w:spacing w:lineRule="auto" w:line="288" w:before="0" w:after="240"/>
        <w:ind w:left="0" w:right="0" w:firstLine="2160"/>
        <w:jc w:val="both"/>
        <w:rPr/>
      </w:pPr>
      <w:r>
        <w:rPr>
          <w:rFonts w:ascii="Arial;sans-serif" w:hAnsi="Arial;sans-serif"/>
          <w:b w:val="false"/>
          <w:color w:val="000000"/>
          <w:sz w:val="21"/>
        </w:rPr>
        <w:t>(b)</w:t>
      </w:r>
      <w:r>
        <w:rPr>
          <w:rFonts w:ascii="Arial;sans-serif" w:hAnsi="Arial;sans-serif"/>
          <w:b w:val="false"/>
          <w:i/>
          <w:color w:val="000000"/>
          <w:sz w:val="21"/>
        </w:rPr>
        <w:t>Severability</w:t>
      </w:r>
      <w:r>
        <w:rPr>
          <w:rFonts w:ascii="Arial;sans-serif" w:hAnsi="Arial;sans-serif"/>
          <w:b w:val="false"/>
          <w:color w:val="000000"/>
          <w:sz w:val="21"/>
        </w:rPr>
        <w:t>. If any sentence, phrase, section, subsection or portion of this Release is found to be illegal or unenforceable, such action shall not affect the validity or enforceability of the remaining sentences, phrases, sections, subsections or portions of this Release, which shall remain fully valid and enforceable.</w:t>
      </w:r>
    </w:p>
    <w:p>
      <w:pPr>
        <w:pStyle w:val="TextBody"/>
        <w:bidi w:val="0"/>
        <w:spacing w:lineRule="auto" w:line="288" w:before="0" w:after="240"/>
        <w:ind w:left="0" w:right="0" w:firstLine="2160"/>
        <w:jc w:val="both"/>
        <w:rPr/>
      </w:pPr>
      <w:r>
        <w:rPr>
          <w:rFonts w:ascii="Arial;sans-serif" w:hAnsi="Arial;sans-serif"/>
          <w:b w:val="false"/>
          <w:color w:val="000000"/>
          <w:sz w:val="21"/>
        </w:rPr>
        <w:t>(c)</w:t>
      </w:r>
      <w:r>
        <w:rPr>
          <w:rFonts w:ascii="Arial;sans-serif" w:hAnsi="Arial;sans-serif"/>
          <w:b w:val="false"/>
          <w:i/>
          <w:color w:val="000000"/>
          <w:sz w:val="21"/>
        </w:rPr>
        <w:t>Headings</w:t>
      </w:r>
      <w:r>
        <w:rPr>
          <w:rFonts w:ascii="Arial;sans-serif" w:hAnsi="Arial;sans-serif"/>
          <w:b w:val="false"/>
          <w:color w:val="000000"/>
          <w:sz w:val="21"/>
        </w:rPr>
        <w:t>. The headings in this Release are provided solely for convenience, and are not intended to be part of, nor to affect or alter the interpretation or meaning of, this Release.</w:t>
      </w:r>
    </w:p>
    <w:p>
      <w:pPr>
        <w:pStyle w:val="TextBody"/>
        <w:bidi w:val="0"/>
        <w:spacing w:lineRule="auto" w:line="288" w:before="0" w:after="240"/>
        <w:ind w:left="0" w:right="0" w:firstLine="2160"/>
        <w:jc w:val="both"/>
        <w:rPr/>
      </w:pPr>
      <w:r>
        <w:rPr>
          <w:rFonts w:ascii="Arial;sans-serif" w:hAnsi="Arial;sans-serif"/>
          <w:b w:val="false"/>
          <w:color w:val="000000"/>
          <w:sz w:val="21"/>
        </w:rPr>
        <w:t>(d)</w:t>
      </w:r>
      <w:r>
        <w:rPr>
          <w:rFonts w:ascii="Arial;sans-serif" w:hAnsi="Arial;sans-serif"/>
          <w:b w:val="false"/>
          <w:i/>
          <w:color w:val="000000"/>
          <w:sz w:val="21"/>
        </w:rPr>
        <w:t>Construction of Release</w:t>
      </w:r>
      <w:r>
        <w:rPr>
          <w:rFonts w:ascii="Arial;sans-serif" w:hAnsi="Arial;sans-serif"/>
          <w:b w:val="false"/>
          <w:color w:val="000000"/>
          <w:sz w:val="21"/>
        </w:rPr>
        <w:t>. Executive has been represented by, or had the opportunity to be represented by, counsel in connection with the negotiation and execution of this Release. Any rule of construction to the effect that ambiguities are to be resolved against the drafting party shall not be applied in the construction or interpretation of this Release.</w:t>
      </w:r>
    </w:p>
    <w:p>
      <w:pPr>
        <w:pStyle w:val="TextBody"/>
        <w:bidi w:val="0"/>
        <w:spacing w:lineRule="auto" w:line="288" w:before="0" w:after="240"/>
        <w:ind w:left="0" w:right="0" w:firstLine="2160"/>
        <w:jc w:val="both"/>
        <w:rPr/>
      </w:pPr>
      <w:r>
        <w:rPr>
          <w:rFonts w:ascii="Arial;sans-serif" w:hAnsi="Arial;sans-serif"/>
          <w:b w:val="false"/>
          <w:color w:val="000000"/>
          <w:sz w:val="21"/>
        </w:rPr>
        <w:t>(e)</w:t>
      </w:r>
      <w:r>
        <w:rPr>
          <w:rFonts w:ascii="Arial;sans-serif" w:hAnsi="Arial;sans-serif"/>
          <w:b w:val="false"/>
          <w:i/>
          <w:color w:val="000000"/>
          <w:sz w:val="21"/>
        </w:rPr>
        <w:t>Entire Agreement/Integration</w:t>
      </w:r>
      <w:r>
        <w:rPr>
          <w:rFonts w:ascii="Arial;sans-serif" w:hAnsi="Arial;sans-serif"/>
          <w:b w:val="false"/>
          <w:color w:val="000000"/>
          <w:sz w:val="21"/>
        </w:rPr>
        <w:t>. This Release, together with the Agreement, constitutes the entire agreement between Executive and the Company concerning the subject matter hereof. No covenants, agreements, representations, or warranties of any kind, other than those set forth herein, have been made to any party hereto with respect to this Release. All prior discussions and negotiations have been and are merged and integrated into, and are superseded by, this Release. No amendments to this Release will be valid unless written and signed by Executive and an authorized representative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Arial;sans-serif" w:hAnsi="Arial;sans-serif"/>
          <w:b w:val="false"/>
          <w:color w:val="000000"/>
          <w:sz w:val="21"/>
        </w:rPr>
        <w:t>(f)</w:t>
      </w:r>
      <w:r>
        <w:rPr>
          <w:rFonts w:ascii="Arial;sans-serif" w:hAnsi="Arial;sans-serif"/>
          <w:b w:val="false"/>
          <w:i/>
          <w:color w:val="000000"/>
          <w:sz w:val="21"/>
        </w:rPr>
        <w:t>Counterparts; Facsimile Signatures</w:t>
      </w:r>
      <w:r>
        <w:rPr>
          <w:rFonts w:ascii="Arial;sans-serif" w:hAnsi="Arial;sans-serif"/>
          <w:b w:val="false"/>
          <w:color w:val="000000"/>
          <w:sz w:val="21"/>
        </w:rPr>
        <w:t>. This Release may be executed in any number of counterparts, each of which when so executed and delivered shall be deemed an original instrument without the production of any other counterpart. Any signature on this Release, delivered by either party by photographic, facsimile or PDF shall be deemed to be an original signature thereto.</w:t>
      </w:r>
    </w:p>
    <w:p>
      <w:pPr>
        <w:pStyle w:val="TextBody"/>
        <w:bidi w:val="0"/>
        <w:spacing w:lineRule="auto" w:line="240"/>
        <w:ind w:left="0" w:right="0" w:firstLine="2160"/>
        <w:jc w:val="left"/>
        <w:rPr>
          <w:rFonts w:ascii="Arial;sans-serif" w:hAnsi="Arial;sans-serif"/>
          <w:b w:val="false"/>
          <w:color w:val="000000"/>
          <w:sz w:val="22"/>
        </w:rPr>
      </w:pPr>
      <w:r>
        <w:rPr>
          <w:rFonts w:ascii="Arial;sans-serif" w:hAnsi="Arial;sans-serif"/>
          <w:b w:val="false"/>
          <w:color w:val="000000"/>
          <w:sz w:val="22"/>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Arial;sans-serif" w:hAnsi="Arial;sans-serif"/>
          <w:b/>
          <w:color w:val="000000"/>
          <w:sz w:val="22"/>
        </w:rPr>
      </w:pPr>
      <w:r>
        <w:rPr>
          <w:rFonts w:ascii="Arial;sans-serif" w:hAnsi="Arial;sans-serif"/>
          <w:b/>
          <w:color w:val="000000"/>
          <w:sz w:val="22"/>
        </w:rPr>
        <w:t>Sign only on or within twenty-one (21) days after September 1, 2027.</w:t>
      </w:r>
    </w:p>
    <w:tbl>
      <w:tblPr>
        <w:tblW w:w="251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89"/>
        <w:gridCol w:w="489"/>
        <w:gridCol w:w="4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480"/>
              <w:jc w:val="left"/>
              <w:rPr>
                <w:rFonts w:ascii="Arial;sans-serif" w:hAnsi="Arial;sans-serif"/>
                <w:b w:val="false"/>
                <w:color w:val="000000"/>
                <w:sz w:val="22"/>
              </w:rPr>
            </w:pPr>
            <w:r>
              <w:rPr>
                <w:rFonts w:ascii="Arial;sans-serif" w:hAnsi="Arial;sans-serif"/>
                <w:b w:val="false"/>
                <w:color w:val="000000"/>
                <w:sz w:val="22"/>
              </w:rPr>
              <w:t>Nick Hawkins</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Date:</w:t>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Arial;sans-serif" w:hAnsi="Arial;sans-serif"/>
          <w:b w:val="false"/>
          <w:color w:val="000000"/>
          <w:sz w:val="22"/>
        </w:rPr>
      </w:pPr>
      <w:r>
        <w:rPr>
          <w:rFonts w:ascii="Arial;sans-serif" w:hAnsi="Arial;sans-serif"/>
          <w:b w:val="false"/>
          <w:color w:val="000000"/>
          <w:sz w:val="22"/>
        </w:rPr>
        <w:t>EXHIBIT B</w:t>
      </w:r>
    </w:p>
    <w:p>
      <w:pPr>
        <w:pStyle w:val="TextBody"/>
        <w:bidi w:val="0"/>
        <w:spacing w:lineRule="auto" w:line="288" w:before="0" w:after="180"/>
        <w:jc w:val="center"/>
        <w:rPr>
          <w:rFonts w:ascii="Arial;sans-serif" w:hAnsi="Arial;sans-serif"/>
          <w:b w:val="false"/>
          <w:color w:val="000000"/>
          <w:sz w:val="22"/>
        </w:rPr>
      </w:pPr>
      <w:r>
        <w:rPr>
          <w:rFonts w:ascii="Arial;sans-serif" w:hAnsi="Arial;sans-serif"/>
          <w:b w:val="false"/>
          <w:color w:val="000000"/>
          <w:sz w:val="22"/>
        </w:rPr>
        <w:t>EQUITY AWARDS SUBJECT TO MODIFIED VESTING SCHEDULE</w:t>
      </w:r>
    </w:p>
    <w:tbl>
      <w:tblPr>
        <w:tblW w:w="10205" w:type="dxa"/>
        <w:jc w:val="left"/>
        <w:tblInd w:w="0" w:type="dxa"/>
        <w:tblLayout w:type="fixed"/>
        <w:tblCellMar>
          <w:top w:w="28" w:type="dxa"/>
          <w:left w:w="28" w:type="dxa"/>
          <w:bottom w:w="28" w:type="dxa"/>
          <w:right w:w="28" w:type="dxa"/>
        </w:tblCellMar>
      </w:tblPr>
      <w:tblGrid>
        <w:gridCol w:w="573"/>
        <w:gridCol w:w="459"/>
        <w:gridCol w:w="463"/>
        <w:gridCol w:w="362"/>
        <w:gridCol w:w="362"/>
        <w:gridCol w:w="363"/>
        <w:gridCol w:w="356"/>
        <w:gridCol w:w="344"/>
        <w:gridCol w:w="347"/>
        <w:gridCol w:w="774"/>
        <w:gridCol w:w="699"/>
        <w:gridCol w:w="649"/>
        <w:gridCol w:w="795"/>
        <w:gridCol w:w="795"/>
        <w:gridCol w:w="797"/>
        <w:gridCol w:w="602"/>
        <w:gridCol w:w="602"/>
        <w:gridCol w:w="863"/>
      </w:tblGrid>
      <w:tr>
        <w:trPr/>
        <w:tc>
          <w:tcPr>
            <w:tcW w:w="57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op w:val="single" w:sz="4" w:space="0" w:color="000000"/>
              <w:left w:val="single" w:sz="4" w:space="0" w:color="000000"/>
            </w:tcBorders>
            <w:shd w:fill="4D4D4D"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1"/>
              </w:rPr>
            </w:pPr>
            <w:r>
              <w:rPr>
                <w:rFonts w:ascii="Arial;sans-serif" w:hAnsi="Arial;sans-serif"/>
                <w:b w:val="false"/>
                <w:color w:val="FFFFFF"/>
                <w:sz w:val="21"/>
              </w:rPr>
              <w:t>Award Type</w:t>
            </w:r>
          </w:p>
        </w:tc>
        <w:tc>
          <w:tcPr>
            <w:tcW w:w="1087" w:type="dxa"/>
            <w:gridSpan w:val="3"/>
            <w:tcBorders>
              <w:top w:val="single" w:sz="4" w:space="0" w:color="000000"/>
              <w:left w:val="single" w:sz="4" w:space="0" w:color="000000"/>
            </w:tcBorders>
            <w:shd w:fill="4D4D4D"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1"/>
              </w:rPr>
            </w:pPr>
            <w:r>
              <w:rPr>
                <w:rFonts w:ascii="Arial;sans-serif" w:hAnsi="Arial;sans-serif"/>
                <w:b w:val="false"/>
                <w:color w:val="FFFFFF"/>
                <w:sz w:val="21"/>
              </w:rPr>
              <w:t>Grant Date</w:t>
            </w:r>
          </w:p>
        </w:tc>
        <w:tc>
          <w:tcPr>
            <w:tcW w:w="1047" w:type="dxa"/>
            <w:gridSpan w:val="3"/>
            <w:tcBorders>
              <w:top w:val="single" w:sz="4" w:space="0" w:color="000000"/>
              <w:left w:val="single" w:sz="4" w:space="0" w:color="000000"/>
            </w:tcBorders>
            <w:shd w:fill="4D4D4D"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1"/>
              </w:rPr>
            </w:pPr>
            <w:r>
              <w:rPr>
                <w:rFonts w:ascii="Arial;sans-serif" w:hAnsi="Arial;sans-serif"/>
                <w:b w:val="false"/>
                <w:color w:val="FFFFFF"/>
                <w:sz w:val="21"/>
              </w:rPr>
              <w:t>Vest Date</w:t>
            </w:r>
          </w:p>
        </w:tc>
        <w:tc>
          <w:tcPr>
            <w:tcW w:w="2122" w:type="dxa"/>
            <w:gridSpan w:val="3"/>
            <w:tcBorders>
              <w:top w:val="single" w:sz="4" w:space="0" w:color="000000"/>
              <w:left w:val="single" w:sz="4" w:space="0" w:color="000000"/>
            </w:tcBorders>
            <w:shd w:fill="4D4D4D"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1"/>
              </w:rPr>
            </w:pPr>
            <w:r>
              <w:rPr>
                <w:rFonts w:ascii="Arial;sans-serif" w:hAnsi="Arial;sans-serif"/>
                <w:b w:val="false"/>
                <w:color w:val="FFFFFF"/>
                <w:sz w:val="21"/>
              </w:rPr>
              <w:t>Grant Name</w:t>
            </w:r>
          </w:p>
        </w:tc>
        <w:tc>
          <w:tcPr>
            <w:tcW w:w="2387" w:type="dxa"/>
            <w:gridSpan w:val="3"/>
            <w:tcBorders>
              <w:top w:val="single" w:sz="4" w:space="0" w:color="000000"/>
              <w:left w:val="single" w:sz="4" w:space="0" w:color="000000"/>
            </w:tcBorders>
            <w:shd w:fill="4D4D4D"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1"/>
              </w:rPr>
            </w:pPr>
            <w:r>
              <w:rPr>
                <w:rFonts w:ascii="Arial;sans-serif" w:hAnsi="Arial;sans-serif"/>
                <w:b w:val="false"/>
                <w:color w:val="FFFFFF"/>
                <w:sz w:val="21"/>
              </w:rPr>
              <w:t>Grant Exercise Price /Grant Price</w:t>
            </w:r>
          </w:p>
        </w:tc>
        <w:tc>
          <w:tcPr>
            <w:tcW w:w="2067" w:type="dxa"/>
            <w:gridSpan w:val="3"/>
            <w:tcBorders>
              <w:top w:val="single" w:sz="4" w:space="0" w:color="000000"/>
              <w:left w:val="single" w:sz="4" w:space="0" w:color="000000"/>
              <w:right w:val="single" w:sz="4" w:space="0" w:color="000000"/>
            </w:tcBorders>
            <w:shd w:fill="4D4D4D" w:val="clear"/>
            <w:tcMar>
              <w:top w:w="30" w:type="dxa"/>
              <w:left w:w="48" w:type="dxa"/>
              <w:bottom w:w="0" w:type="dxa"/>
              <w:right w:w="48" w:type="dxa"/>
            </w:tcMar>
            <w:vAlign w:val="center"/>
          </w:tcPr>
          <w:p>
            <w:pPr>
              <w:pStyle w:val="TableContents"/>
              <w:bidi w:val="0"/>
              <w:spacing w:lineRule="auto" w:line="240" w:before="0" w:after="283"/>
              <w:jc w:val="center"/>
              <w:rPr>
                <w:rFonts w:ascii="Arial;sans-serif" w:hAnsi="Arial;sans-serif"/>
                <w:b w:val="false"/>
                <w:color w:val="FFFFFF"/>
                <w:sz w:val="21"/>
              </w:rPr>
            </w:pPr>
            <w:r>
              <w:rPr>
                <w:rFonts w:ascii="Arial;sans-serif" w:hAnsi="Arial;sans-serif"/>
                <w:b w:val="false"/>
                <w:color w:val="FFFFFF"/>
                <w:sz w:val="21"/>
              </w:rPr>
              <w:t>Number of Shares Vesting*</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07-Mar-2023</w:t>
            </w:r>
          </w:p>
        </w:tc>
        <w:tc>
          <w:tcPr>
            <w:tcW w:w="104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01-Oct-2026</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2023-Mar 7 RSU Executive</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1,973</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07-Mar-2023</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01-Jan-2027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2023-Mar 7 RSU Executive</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1,973</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01-Feb-2024</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01-Oct-2026</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2024-FEB1-RSU</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2,000</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01-Feb-2024</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01-Jan-2027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2024-FEB1-RSU</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2,000</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01-Feb-2024</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01-Apr-2027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2024-FEB1-RSU</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2,000</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01-Feb-2024</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01-Jul-2027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2024-FEB1-RSU</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2,000</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Options (NQ)</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21-Feb-2025</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01-Oct-2026</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2025-Feb21-NQ-EXEC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$9.28</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1,562</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Options (NQ)</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21-Feb-2025</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01-Jan-2027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2025-Feb21-NQ-EXEC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$9.28</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1,562</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Options (NQ)</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21-Feb-2025</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01-Apr-2027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2025-Feb21-NQ-EXEC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$9.28</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1,562</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Options (NQ)</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21-Feb-2025</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01-Jul-2027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2025-Feb21-NQ-EXEC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$9.28</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1,562</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21-Feb-2025</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01-Oct-2026</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2025-Feb21-RSU-EXEC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1,181</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21-Feb-2025</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01-Jan-2027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2025-Feb21-RSU-EXEC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1,180</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21-Feb-2025</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01-Apr-2027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2025-Feb21-RSU-EXEC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1,180</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21-Feb-2025</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01-Jul-2027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2025-Feb21-RSU-EXEC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1,181</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18-Feb-2026</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01-Oct-2026</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2026-Feb18-RSU-EXEC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1,288</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18-Feb-2026</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01-Jan-2027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2026-Feb18-RSU-EXEC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1,288</w:t>
            </w:r>
          </w:p>
        </w:tc>
      </w:tr>
      <w:tr>
        <w:trPr/>
        <w:tc>
          <w:tcPr>
            <w:tcW w:w="1495"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tcBorders>
            <w:shd w:fill="FFFFFF" w:val="clear"/>
            <w:tcMar>
              <w:top w:w="30" w:type="dxa"/>
              <w:left w:w="48"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18-Feb-2026</w:t>
            </w:r>
          </w:p>
        </w:tc>
        <w:tc>
          <w:tcPr>
            <w:tcW w:w="104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01-Apr-2027</w:t>
            </w:r>
          </w:p>
        </w:tc>
        <w:tc>
          <w:tcPr>
            <w:tcW w:w="212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2026-Feb18-RSU-EXEC</w:t>
            </w:r>
          </w:p>
        </w:tc>
        <w:tc>
          <w:tcPr>
            <w:tcW w:w="2387"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1,288</w:t>
            </w:r>
          </w:p>
        </w:tc>
      </w:tr>
      <w:tr>
        <w:trPr/>
        <w:tc>
          <w:tcPr>
            <w:tcW w:w="1495" w:type="dxa"/>
            <w:gridSpan w:val="3"/>
            <w:tcBorders>
              <w:top w:val="single" w:sz="4" w:space="0" w:color="000000"/>
              <w:left w:val="single" w:sz="4" w:space="0" w:color="000000"/>
              <w:bottom w:val="single" w:sz="4" w:space="0" w:color="000000"/>
            </w:tcBorders>
            <w:shd w:fill="FFFFFF" w:val="clear"/>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Share Units (RSU)</w:t>
            </w:r>
          </w:p>
        </w:tc>
        <w:tc>
          <w:tcPr>
            <w:tcW w:w="1087" w:type="dxa"/>
            <w:gridSpan w:val="3"/>
            <w:tcBorders>
              <w:top w:val="single" w:sz="4" w:space="0" w:color="000000"/>
              <w:left w:val="single" w:sz="4" w:space="0" w:color="000000"/>
              <w:bottom w:val="single" w:sz="4" w:space="0" w:color="000000"/>
            </w:tcBorders>
            <w:shd w:fill="FFFFFF" w:val="clear"/>
            <w:tcMar>
              <w:top w:w="30" w:type="dxa"/>
              <w:left w:w="48"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18-Feb-2026</w:t>
            </w:r>
          </w:p>
        </w:tc>
        <w:tc>
          <w:tcPr>
            <w:tcW w:w="104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01-Jul-2027</w:t>
            </w:r>
          </w:p>
        </w:tc>
        <w:tc>
          <w:tcPr>
            <w:tcW w:w="212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2026-Feb18-RSU-EXEC</w:t>
            </w:r>
          </w:p>
        </w:tc>
        <w:tc>
          <w:tcPr>
            <w:tcW w:w="2387"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$0.00</w:t>
            </w:r>
          </w:p>
        </w:tc>
        <w:tc>
          <w:tcPr>
            <w:tcW w:w="2067" w:type="dxa"/>
            <w:gridSpan w:val="3"/>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1"/>
              </w:rPr>
            </w:pPr>
            <w:r>
              <w:rPr>
                <w:rFonts w:ascii="Arial;sans-serif" w:hAnsi="Arial;sans-serif"/>
                <w:b w:val="false"/>
                <w:color w:val="000000"/>
                <w:sz w:val="21"/>
              </w:rPr>
              <w:t>1,288</w:t>
            </w:r>
          </w:p>
        </w:tc>
      </w:tr>
    </w:tbl>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 Number of shares vesting represents 50% of the shares that would have vested over the Consulting Period in accordance with the original grant vesting schedule, in accordance with the Modified Vesting Schedule.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K. Charles Janac,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5979"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214"/>
        <w:gridCol w:w="214"/>
        <w:gridCol w:w="216"/>
        <w:gridCol w:w="930"/>
        <w:gridCol w:w="930"/>
        <w:gridCol w:w="1319"/>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August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RULES 13a-14(a) AND 15d-14(a) UNDER THE SECURITIES EXCHANGE ACT OF 1934,</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AS ADOPTED PURSUANT TO SECTION 302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 Nicholas B. Hawkins, certify that: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1. I have reviewed this Quarterly Report on Form 10-Q of Arteris, Inc;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300" w:before="0" w:after="2"/>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40" w:after="2"/>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76" w:before="0" w:after="0"/>
        <w:ind w:left="0" w:right="0" w:hanging="581"/>
        <w:jc w:val="left"/>
        <w:rPr>
          <w:color w:val="000000"/>
        </w:rPr>
      </w:pPr>
      <w:r>
        <w:rPr>
          <w:color w:val="000000"/>
        </w:rPr>
        <w:t> </w:t>
      </w:r>
    </w:p>
    <w:tbl>
      <w:tblPr>
        <w:tblW w:w="6474"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214"/>
        <w:gridCol w:w="214"/>
        <w:gridCol w:w="216"/>
        <w:gridCol w:w="1072"/>
        <w:gridCol w:w="1072"/>
        <w:gridCol w:w="1530"/>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left w:val="single" w:sz="4" w:space="0" w:color="FFFFFF"/>
            </w:tcBorders>
            <w:shd w:fill="FFFFFF" w:val="clear"/>
            <w:tcMar>
              <w:top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August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EXECUTIVE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5979"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214"/>
        <w:gridCol w:w="214"/>
        <w:gridCol w:w="216"/>
        <w:gridCol w:w="930"/>
        <w:gridCol w:w="930"/>
        <w:gridCol w:w="1319"/>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August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K. Charles Janac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Name:</w:t>
            </w:r>
          </w:p>
        </w:tc>
        <w:tc>
          <w:tcPr>
            <w:tcW w:w="317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K. Charles Janac</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Title:</w:t>
            </w:r>
            <w:r>
              <w:rPr>
                <w:color w:val="000000"/>
              </w:rPr>
              <w:t xml:space="preserve"> </w:t>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Times New Roman;serif" w:hAnsi="Times New Roman;serif"/>
          <w:b w:val="false"/>
          <w:color w:val="000000"/>
          <w:sz w:val="20"/>
        </w:rPr>
        <w:br/>
        <w:t>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76" w:before="360" w:after="283"/>
        <w:jc w:val="center"/>
        <w:rPr>
          <w:rFonts w:ascii="Arial;sans-serif" w:hAnsi="Arial;sans-serif"/>
          <w:b/>
          <w:color w:val="000000"/>
          <w:sz w:val="18"/>
        </w:rPr>
      </w:pPr>
      <w:r>
        <w:rPr>
          <w:rFonts w:ascii="Arial;sans-serif" w:hAnsi="Arial;sans-serif"/>
          <w:b/>
          <w:color w:val="000000"/>
          <w:sz w:val="18"/>
        </w:rPr>
        <w:t>CERTIFICATION OF PRINCIPAL FINANCIAL OFFICER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76" w:before="0" w:after="0"/>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Arteris, Inc. (the “Company”) on Form 10-Q for the quarter ended June 30, 2026 as filed with the Securities and Exchange Commission on the date hereof (the “Report”), I certify, pursuant to 18 U.S.C. § 1350, as adopted pursuant to § 906 of the Sarbanes-Oxley Act of 2002, that:</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(1) The Report fully complies with the requirements of section 13(a) or 15(d) of the Securities Exchange Act of 1934, as amended (the “Exchange Act”); and</w:t>
      </w:r>
    </w:p>
    <w:p>
      <w:pPr>
        <w:pStyle w:val="TextBody"/>
        <w:bidi w:val="0"/>
        <w:spacing w:lineRule="auto" w:line="276" w:before="240" w:after="283"/>
        <w:jc w:val="both"/>
        <w:rPr>
          <w:rFonts w:ascii="Arial;sans-serif" w:hAnsi="Arial;sans-serif"/>
          <w:b w:val="false"/>
          <w:color w:val="000000"/>
          <w:sz w:val="18"/>
        </w:rPr>
      </w:pPr>
      <w:r>
        <w:rPr>
          <w:rFonts w:ascii="Arial;sans-serif" w:hAnsi="Arial;sans-serif"/>
          <w:b w:val="false"/>
          <w:color w:val="000000"/>
          <w:sz w:val="18"/>
        </w:rPr>
        <w:t>(2) The information contained in the Report fairly presents, in all material respects, the financial condition and results of operations of the Company.</w:t>
      </w:r>
    </w:p>
    <w:p>
      <w:pPr>
        <w:pStyle w:val="TextBody"/>
        <w:bidi w:val="0"/>
        <w:spacing w:lineRule="auto" w:line="276" w:before="0" w:after="0"/>
        <w:ind w:left="0" w:right="0" w:hanging="581"/>
        <w:jc w:val="left"/>
        <w:rPr>
          <w:color w:val="000000"/>
        </w:rPr>
      </w:pPr>
      <w:r>
        <w:rPr>
          <w:color w:val="000000"/>
        </w:rPr>
        <w:t> </w:t>
      </w:r>
    </w:p>
    <w:tbl>
      <w:tblPr>
        <w:tblW w:w="6474" w:type="dxa"/>
        <w:jc w:val="left"/>
        <w:tblInd w:w="0" w:type="dxa"/>
        <w:tblLayout w:type="fixed"/>
        <w:tblCellMar>
          <w:top w:w="28" w:type="dxa"/>
          <w:left w:w="28" w:type="dxa"/>
          <w:bottom w:w="28" w:type="dxa"/>
          <w:right w:w="28" w:type="dxa"/>
        </w:tblCellMar>
      </w:tblPr>
      <w:tblGrid>
        <w:gridCol w:w="661"/>
        <w:gridCol w:w="582"/>
        <w:gridCol w:w="586"/>
        <w:gridCol w:w="109"/>
        <w:gridCol w:w="109"/>
        <w:gridCol w:w="109"/>
        <w:gridCol w:w="214"/>
        <w:gridCol w:w="214"/>
        <w:gridCol w:w="216"/>
        <w:gridCol w:w="1072"/>
        <w:gridCol w:w="1072"/>
        <w:gridCol w:w="1530"/>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Date: August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/s/ Nicholas B. Hawkins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Name:</w:t>
            </w:r>
          </w:p>
        </w:tc>
        <w:tc>
          <w:tcPr>
            <w:tcW w:w="3674"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8"/>
              </w:rPr>
            </w:pPr>
            <w:r>
              <w:rPr>
                <w:rFonts w:ascii="Arial;sans-serif" w:hAnsi="Arial;sans-serif"/>
                <w:b w:val="false"/>
                <w:color w:val="000000"/>
                <w:sz w:val="18"/>
              </w:rPr>
              <w:t>Nicholas B. Hawkins</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Title:</w:t>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color w:val="000000"/>
                <w:sz w:val="18"/>
              </w:rPr>
            </w:pPr>
            <w:r>
              <w:rPr>
                <w:rFonts w:ascii="Arial;sans-serif" w:hAnsi="Arial;sans-serif"/>
                <w:b w:val="false"/>
                <w:color w:val="000000"/>
                <w:sz w:val="18"/>
              </w:rPr>
              <w:t>Vice President and Chief Financial Officer</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center"/>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76" w:before="0" w:after="0"/>
        <w:jc w:val="both"/>
        <w:rPr/>
      </w:pPr>
      <w:r>
        <w:rPr>
          <w:rFonts w:ascii="Arial;sans-serif" w:hAnsi="Arial;sans-serif"/>
          <w:b w:val="false"/>
          <w:color w:val="000000"/>
          <w:sz w:val="18"/>
        </w:rPr>
        <w:br/>
        <w:b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r>
        <w:rPr>
          <w:rFonts w:ascii="Arial;sans-serif" w:hAnsi="Arial;sans-serif"/>
          <w:b w:val="false"/>
          <w:color w:val="000000"/>
          <w:sz w:val="20"/>
        </w:rPr>
        <w:b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7011/000119312521313553/d211035dex31.htm" TargetMode="External"/><Relationship Id="rId3" Type="http://schemas.openxmlformats.org/officeDocument/2006/relationships/hyperlink" Target="https://www.sec.gov/Archives/edgar/data/1667011/000119312521313553/d211035dex31.htm" TargetMode="External"/><Relationship Id="rId4" Type="http://schemas.openxmlformats.org/officeDocument/2006/relationships/hyperlink" Target="https://www.sec.gov/Archives/edgar/data/0001667011/000119312521313553/d211035dex32.htm" TargetMode="External"/><Relationship Id="rId5" Type="http://schemas.openxmlformats.org/officeDocument/2006/relationships/hyperlink" Target="https://www.sec.gov/Archives/edgar/data/0001667011/000119312521313553/d211035dex32.htm" TargetMode="External"/><Relationship Id="rId6" Type="http://schemas.openxmlformats.org/officeDocument/2006/relationships/hyperlink" Target="https://www.sec.gov/Archives/edgar/data/1667011/000119312521300473/d52087dex41.htm" TargetMode="External"/><Relationship Id="rId7" Type="http://schemas.openxmlformats.org/officeDocument/2006/relationships/hyperlink" Target="https://www.sec.gov/Archives/edgar/data/1667011/000119312521300473/d52087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59293</Words>
  <Characters>332186</Characters>
  <CharactersWithSpaces>389286</CharactersWithSpaces>
  <Paragraphs>3445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