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Bayview Legacy,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2"/>
        <w:gridCol w:w="912"/>
        <w:gridCol w:w="783"/>
        <w:gridCol w:w="661"/>
        <w:gridCol w:w="282"/>
        <w:gridCol w:w="902"/>
        <w:gridCol w:w="418"/>
        <w:gridCol w:w="984"/>
        <w:gridCol w:w="1240"/>
        <w:gridCol w:w="958"/>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29,490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37.0705</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8,525,557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19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27,908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36.2365</w:t>
            </w:r>
            <w:r>
              <w:rPr>
                <w:rFonts w:ascii="Times;serif" w:hAnsi="Times;serif"/>
                <w:color w:val="008000"/>
                <w:position w:val="7"/>
                <w:sz w:val="16"/>
                <w:sz w:val="20"/>
                <w:shd w:fill="FFFFFF" w:val="clear"/>
              </w:rPr>
              <w:t>(5)</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8,497,649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r>
        <w:trPr/>
        <w:tc>
          <w:tcPr>
            <w:tcW w:w="19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68,578</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35.065</w:t>
            </w:r>
            <w:r>
              <w:rPr>
                <w:rFonts w:ascii="Times;serif" w:hAnsi="Times;serif"/>
                <w:color w:val="008000"/>
                <w:position w:val="7"/>
                <w:sz w:val="16"/>
                <w:sz w:val="20"/>
                <w:shd w:fill="FFFFFF" w:val="clear"/>
              </w:rPr>
              <w:t>(6)</w:t>
            </w:r>
            <w:r>
              <w:rPr/>
              <w:t xml:space="preserve"> </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8,429,071</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K. Charles Janac, as the manager of Bayview Legacy, LLC,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K. Charles Janac, in his individual capacity, has separately filed a Form 4 on the date hereof reporting the same transaction given his beneficial ownership of the reported security through Bayview Legacy, LLC, which he controls as its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$36.66 to $37.58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K. Charles Janac is the manager of Bayview Legacy, LLC and as such is deemed to have voting and dispositive power over the shares beneficially owned by Bayview Legacy,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These shares were sold in multiple transactions at prices ranging from $35.66 to $36.655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sale price. These shares were sold in multiple transactions at prices ranging from $34.64 to $35.63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 Charles Janac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86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903</Words>
  <Characters>4808</Characters>
  <CharactersWithSpaces>5632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