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413385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438785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3" w:lineRule="exact"/>
        <w:rPr>
          <w:sz w:val="24"/>
          <w:szCs w:val="24"/>
          <w:color w:val="auto"/>
        </w:rPr>
      </w:pPr>
    </w:p>
    <w:p>
      <w:pPr>
        <w:jc w:val="center"/>
        <w:spacing w:after="0"/>
        <w:rPr>
          <w:sz w:val="20"/>
          <w:szCs w:val="20"/>
          <w:color w:val="auto"/>
        </w:rPr>
      </w:pPr>
      <w:r>
        <w:rPr>
          <w:rFonts w:ascii="Verdana" w:cs="Verdana" w:eastAsia="Verdana" w:hAnsi="Verdana"/>
          <w:sz w:val="32"/>
          <w:szCs w:val="32"/>
          <w:b w:val="1"/>
          <w:bCs w:val="1"/>
          <w:color w:val="auto"/>
        </w:rPr>
        <w:t>UNITED STATES</w:t>
      </w:r>
    </w:p>
    <w:p>
      <w:pPr>
        <w:spacing w:after="0" w:line="5" w:lineRule="exact"/>
        <w:rPr>
          <w:sz w:val="24"/>
          <w:szCs w:val="24"/>
          <w:color w:val="auto"/>
        </w:rPr>
      </w:pPr>
    </w:p>
    <w:p>
      <w:pPr>
        <w:jc w:val="center"/>
        <w:spacing w:after="0"/>
        <w:rPr>
          <w:sz w:val="20"/>
          <w:szCs w:val="20"/>
          <w:color w:val="auto"/>
        </w:rPr>
      </w:pPr>
      <w:r>
        <w:rPr>
          <w:rFonts w:ascii="Verdana" w:cs="Verdana" w:eastAsia="Verdana" w:hAnsi="Verdana"/>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Verdana" w:cs="Verdana" w:eastAsia="Verdana" w:hAnsi="Verdana"/>
          <w:sz w:val="18"/>
          <w:szCs w:val="18"/>
          <w:b w:val="1"/>
          <w:bCs w:val="1"/>
          <w:color w:val="auto"/>
        </w:rPr>
        <w:t>Washington, D.C. 20549</w:t>
      </w:r>
    </w:p>
    <w:p>
      <w:pPr>
        <w:spacing w:after="0" w:line="249" w:lineRule="exact"/>
        <w:rPr>
          <w:sz w:val="24"/>
          <w:szCs w:val="24"/>
          <w:color w:val="auto"/>
        </w:rPr>
      </w:pPr>
    </w:p>
    <w:p>
      <w:pPr>
        <w:jc w:val="center"/>
        <w:ind w:right="20"/>
        <w:spacing w:after="0"/>
        <w:rPr>
          <w:sz w:val="20"/>
          <w:szCs w:val="20"/>
          <w:color w:val="auto"/>
        </w:rPr>
      </w:pPr>
      <w:r>
        <w:rPr>
          <w:rFonts w:ascii="Verdana" w:cs="Verdana" w:eastAsia="Verdana" w:hAnsi="Verdana"/>
          <w:sz w:val="20"/>
          <w:szCs w:val="20"/>
          <w:b w:val="1"/>
          <w:bCs w:val="1"/>
          <w:color w:val="auto"/>
        </w:rPr>
        <w:t>FORM 10-Q</w:t>
      </w:r>
    </w:p>
    <w:p>
      <w:pPr>
        <w:spacing w:after="0"/>
        <w:rPr>
          <w:sz w:val="20"/>
          <w:szCs w:val="20"/>
          <w:color w:val="auto"/>
        </w:rPr>
      </w:pPr>
      <w:r>
        <w:rPr>
          <w:rFonts w:ascii="Verdana" w:cs="Verdana" w:eastAsia="Verdana" w:hAnsi="Verdana"/>
          <w:sz w:val="14"/>
          <w:szCs w:val="14"/>
          <w:b w:val="1"/>
          <w:bCs w:val="1"/>
          <w:color w:val="auto"/>
        </w:rPr>
        <w:t>(Mark One)</w:t>
      </w:r>
    </w:p>
    <w:p>
      <w:pPr>
        <w:spacing w:after="0" w:line="86" w:lineRule="exact"/>
        <w:rPr>
          <w:sz w:val="24"/>
          <w:szCs w:val="24"/>
          <w:color w:val="auto"/>
        </w:rPr>
      </w:pPr>
    </w:p>
    <w:p>
      <w:pPr>
        <w:ind w:left="540" w:hanging="379"/>
        <w:spacing w:after="0"/>
        <w:tabs>
          <w:tab w:leader="none" w:pos="540" w:val="left"/>
        </w:tabs>
        <w:numPr>
          <w:ilvl w:val="0"/>
          <w:numId w:val="1"/>
        </w:numPr>
        <w:rPr>
          <w:rFonts w:ascii="Wingdings" w:cs="Wingdings" w:eastAsia="Wingdings" w:hAnsi="Wingdings"/>
          <w:sz w:val="14"/>
          <w:szCs w:val="14"/>
          <w:b w:val="1"/>
          <w:bCs w:val="1"/>
          <w:color w:val="auto"/>
          <w:highlight w:val="black"/>
        </w:rPr>
      </w:pPr>
      <w:r>
        <w:rPr>
          <w:rFonts w:ascii="Verdana" w:cs="Verdana" w:eastAsia="Verdana" w:hAnsi="Verdana"/>
          <w:sz w:val="14"/>
          <w:szCs w:val="14"/>
          <w:color w:val="auto"/>
        </w:rPr>
        <w:t>QUARTERLY REPORT PURSUANT TO SECTION 13 OR 15(d) OF THE SECURITIES EXCHANGE ACT OF 1934</w:t>
      </w:r>
    </w:p>
    <w:p>
      <w:pPr>
        <w:spacing w:after="0" w:line="325" w:lineRule="exact"/>
        <w:rPr>
          <w:sz w:val="24"/>
          <w:szCs w:val="24"/>
          <w:color w:val="auto"/>
        </w:rPr>
      </w:pPr>
    </w:p>
    <w:p>
      <w:pPr>
        <w:jc w:val="center"/>
        <w:ind w:right="20"/>
        <w:spacing w:after="0"/>
        <w:rPr>
          <w:sz w:val="20"/>
          <w:szCs w:val="20"/>
          <w:color w:val="auto"/>
        </w:rPr>
      </w:pPr>
      <w:r>
        <w:rPr>
          <w:rFonts w:ascii="Verdana" w:cs="Verdana" w:eastAsia="Verdana" w:hAnsi="Verdana"/>
          <w:sz w:val="16"/>
          <w:szCs w:val="16"/>
          <w:b w:val="1"/>
          <w:bCs w:val="1"/>
          <w:color w:val="auto"/>
        </w:rPr>
        <w:t>For the quarterly period ended September 30, 2024</w:t>
      </w:r>
    </w:p>
    <w:p>
      <w:pPr>
        <w:spacing w:after="0" w:line="67" w:lineRule="exact"/>
        <w:rPr>
          <w:sz w:val="24"/>
          <w:szCs w:val="24"/>
          <w:color w:val="auto"/>
        </w:rPr>
      </w:pPr>
    </w:p>
    <w:p>
      <w:pPr>
        <w:jc w:val="center"/>
        <w:ind w:right="20"/>
        <w:spacing w:after="0"/>
        <w:rPr>
          <w:sz w:val="20"/>
          <w:szCs w:val="20"/>
          <w:color w:val="auto"/>
        </w:rPr>
      </w:pPr>
      <w:r>
        <w:rPr>
          <w:rFonts w:ascii="Verdana" w:cs="Verdana" w:eastAsia="Verdana" w:hAnsi="Verdana"/>
          <w:sz w:val="14"/>
          <w:szCs w:val="14"/>
          <w:b w:val="1"/>
          <w:bCs w:val="1"/>
          <w:color w:val="auto"/>
        </w:rPr>
        <w:t>OR</w:t>
      </w:r>
    </w:p>
    <w:p>
      <w:pPr>
        <w:spacing w:after="0" w:line="262" w:lineRule="exact"/>
        <w:rPr>
          <w:sz w:val="24"/>
          <w:szCs w:val="24"/>
          <w:color w:val="auto"/>
        </w:rPr>
      </w:pPr>
    </w:p>
    <w:p>
      <w:pPr>
        <w:ind w:left="540" w:hanging="367"/>
        <w:spacing w:after="0"/>
        <w:tabs>
          <w:tab w:leader="none" w:pos="540" w:val="left"/>
        </w:tabs>
        <w:numPr>
          <w:ilvl w:val="0"/>
          <w:numId w:val="2"/>
        </w:numPr>
        <w:rPr>
          <w:rFonts w:ascii="Wingdings" w:cs="Wingdings" w:eastAsia="Wingdings" w:hAnsi="Wingdings"/>
          <w:sz w:val="14"/>
          <w:szCs w:val="14"/>
          <w:b w:val="1"/>
          <w:bCs w:val="1"/>
          <w:color w:val="auto"/>
        </w:rPr>
      </w:pPr>
      <w:r>
        <w:rPr>
          <w:rFonts w:ascii="Verdana" w:cs="Verdana" w:eastAsia="Verdana" w:hAnsi="Verdana"/>
          <w:sz w:val="14"/>
          <w:szCs w:val="14"/>
          <w:color w:val="auto"/>
        </w:rPr>
        <w:t>TRANSITION REPORT PURSUANT TO SECTION 13 OR 15(d) OF THE SECURITIES EXCHANGE ACT OF 1934</w:t>
      </w:r>
    </w:p>
    <w:p>
      <w:pPr>
        <w:spacing w:after="0" w:line="343" w:lineRule="exact"/>
        <w:rPr>
          <w:sz w:val="24"/>
          <w:szCs w:val="24"/>
          <w:color w:val="auto"/>
        </w:rPr>
      </w:pPr>
    </w:p>
    <w:p>
      <w:pPr>
        <w:jc w:val="center"/>
        <w:spacing w:after="0"/>
        <w:rPr>
          <w:sz w:val="20"/>
          <w:szCs w:val="20"/>
          <w:color w:val="auto"/>
        </w:rPr>
      </w:pPr>
      <w:r>
        <w:rPr>
          <w:rFonts w:ascii="Verdana" w:cs="Verdana" w:eastAsia="Verdana" w:hAnsi="Verdana"/>
          <w:sz w:val="14"/>
          <w:szCs w:val="14"/>
          <w:b w:val="1"/>
          <w:bCs w:val="1"/>
          <w:color w:val="auto"/>
        </w:rPr>
        <w:t>For the transition period from to</w:t>
      </w:r>
    </w:p>
    <w:p>
      <w:pPr>
        <w:spacing w:after="0" w:line="185" w:lineRule="exact"/>
        <w:rPr>
          <w:sz w:val="24"/>
          <w:szCs w:val="24"/>
          <w:color w:val="auto"/>
        </w:rPr>
      </w:pPr>
    </w:p>
    <w:p>
      <w:pPr>
        <w:jc w:val="center"/>
        <w:spacing w:after="0"/>
        <w:rPr>
          <w:sz w:val="20"/>
          <w:szCs w:val="20"/>
          <w:color w:val="auto"/>
        </w:rPr>
      </w:pPr>
      <w:r>
        <w:rPr>
          <w:rFonts w:ascii="Verdana" w:cs="Verdana" w:eastAsia="Verdana" w:hAnsi="Verdana"/>
          <w:sz w:val="18"/>
          <w:szCs w:val="18"/>
          <w:b w:val="1"/>
          <w:bCs w:val="1"/>
          <w:color w:val="auto"/>
        </w:rPr>
        <w:t>Commission file number 001-40960</w:t>
      </w:r>
    </w:p>
    <w:p>
      <w:pPr>
        <w:spacing w:after="0" w:line="161" w:lineRule="exact"/>
        <w:rPr>
          <w:sz w:val="24"/>
          <w:szCs w:val="24"/>
          <w:color w:val="auto"/>
        </w:rPr>
      </w:pPr>
    </w:p>
    <w:p>
      <w:pPr>
        <w:jc w:val="center"/>
        <w:ind w:right="20"/>
        <w:spacing w:after="0"/>
        <w:rPr>
          <w:sz w:val="20"/>
          <w:szCs w:val="20"/>
          <w:color w:val="auto"/>
        </w:rPr>
      </w:pPr>
      <w:r>
        <w:rPr>
          <w:rFonts w:ascii="Verdana" w:cs="Verdana" w:eastAsia="Verdana" w:hAnsi="Verdana"/>
          <w:sz w:val="32"/>
          <w:szCs w:val="32"/>
          <w:b w:val="1"/>
          <w:bCs w:val="1"/>
          <w:color w:val="auto"/>
        </w:rPr>
        <w:t>Arteris, Inc.</w:t>
      </w:r>
    </w:p>
    <w:p>
      <w:pPr>
        <w:sectPr>
          <w:pgSz w:w="11900" w:h="16838" w:orient="portrait"/>
          <w:cols w:equalWidth="0" w:num="1">
            <w:col w:w="11260"/>
          </w:cols>
          <w:pgMar w:left="320" w:top="242" w:right="319" w:bottom="1440" w:gutter="0" w:footer="0" w:header="0"/>
        </w:sectPr>
      </w:pPr>
    </w:p>
    <w:p>
      <w:pPr>
        <w:spacing w:after="0" w:line="5" w:lineRule="exact"/>
        <w:rPr>
          <w:sz w:val="24"/>
          <w:szCs w:val="24"/>
          <w:color w:val="auto"/>
        </w:rPr>
      </w:pPr>
    </w:p>
    <w:p>
      <w:pPr>
        <w:ind w:left="3500"/>
        <w:spacing w:after="0"/>
        <w:rPr>
          <w:sz w:val="20"/>
          <w:szCs w:val="20"/>
          <w:color w:val="auto"/>
        </w:rPr>
      </w:pPr>
      <w:r>
        <w:rPr>
          <w:rFonts w:ascii="Verdana" w:cs="Verdana" w:eastAsia="Verdana" w:hAnsi="Verdana"/>
          <w:sz w:val="16"/>
          <w:szCs w:val="16"/>
          <w:color w:val="auto"/>
        </w:rPr>
        <w:t>(Exact name of registrant as specified in its charter)</w:t>
      </w:r>
    </w:p>
    <w:p>
      <w:pPr>
        <w:spacing w:after="0" w:line="269" w:lineRule="exact"/>
        <w:rPr>
          <w:sz w:val="24"/>
          <w:szCs w:val="24"/>
          <w:color w:val="auto"/>
        </w:rPr>
      </w:pPr>
    </w:p>
    <w:p>
      <w:pPr>
        <w:ind w:left="1380"/>
        <w:spacing w:after="0"/>
        <w:rPr>
          <w:sz w:val="20"/>
          <w:szCs w:val="20"/>
          <w:color w:val="auto"/>
        </w:rPr>
      </w:pPr>
      <w:r>
        <w:rPr>
          <w:rFonts w:ascii="Verdana" w:cs="Verdana" w:eastAsia="Verdana" w:hAnsi="Verdana"/>
          <w:sz w:val="14"/>
          <w:szCs w:val="14"/>
          <w:b w:val="1"/>
          <w:bCs w:val="1"/>
          <w:color w:val="auto"/>
        </w:rPr>
        <w:t>Delaware</w:t>
      </w:r>
    </w:p>
    <w:p>
      <w:pPr>
        <w:spacing w:after="0" w:line="127" w:lineRule="exact"/>
        <w:rPr>
          <w:sz w:val="24"/>
          <w:szCs w:val="24"/>
          <w:color w:val="auto"/>
        </w:rPr>
      </w:pPr>
    </w:p>
    <w:p>
      <w:pPr>
        <w:ind w:left="100"/>
        <w:spacing w:after="0"/>
        <w:rPr>
          <w:sz w:val="20"/>
          <w:szCs w:val="20"/>
          <w:color w:val="auto"/>
        </w:rPr>
      </w:pPr>
      <w:r>
        <w:rPr>
          <w:rFonts w:ascii="Verdana" w:cs="Verdana" w:eastAsia="Verdana" w:hAnsi="Verdana"/>
          <w:sz w:val="14"/>
          <w:szCs w:val="14"/>
          <w:color w:val="auto"/>
        </w:rPr>
        <w:t>(State or other jurisdiction of incorporation or</w:t>
      </w:r>
    </w:p>
    <w:p>
      <w:pPr>
        <w:spacing w:after="0" w:line="5" w:lineRule="exact"/>
        <w:rPr>
          <w:sz w:val="24"/>
          <w:szCs w:val="24"/>
          <w:color w:val="auto"/>
        </w:rPr>
      </w:pPr>
    </w:p>
    <w:p>
      <w:pPr>
        <w:jc w:val="center"/>
        <w:ind w:right="5240"/>
        <w:spacing w:after="0"/>
        <w:rPr>
          <w:sz w:val="20"/>
          <w:szCs w:val="20"/>
          <w:color w:val="auto"/>
        </w:rPr>
      </w:pPr>
      <w:r>
        <w:rPr>
          <w:rFonts w:ascii="Verdana" w:cs="Verdana" w:eastAsia="Verdana" w:hAnsi="Verdana"/>
          <w:sz w:val="14"/>
          <w:szCs w:val="14"/>
          <w:color w:val="auto"/>
        </w:rPr>
        <w:t>organization)</w:t>
      </w:r>
    </w:p>
    <w:p>
      <w:pPr>
        <w:spacing w:after="0" w:line="173" w:lineRule="exact"/>
        <w:rPr>
          <w:sz w:val="24"/>
          <w:szCs w:val="24"/>
          <w:color w:val="auto"/>
        </w:rPr>
      </w:pPr>
    </w:p>
    <w:p>
      <w:pPr>
        <w:jc w:val="center"/>
        <w:ind w:right="5240"/>
        <w:spacing w:after="0"/>
        <w:rPr>
          <w:sz w:val="20"/>
          <w:szCs w:val="20"/>
          <w:color w:val="auto"/>
        </w:rPr>
      </w:pPr>
      <w:r>
        <w:rPr>
          <w:rFonts w:ascii="Verdana" w:cs="Verdana" w:eastAsia="Verdana" w:hAnsi="Verdana"/>
          <w:sz w:val="14"/>
          <w:szCs w:val="14"/>
          <w:b w:val="1"/>
          <w:bCs w:val="1"/>
          <w:color w:val="auto"/>
        </w:rPr>
        <w:t>900 E. Hamilton Ave., Suite 300</w:t>
      </w:r>
    </w:p>
    <w:p>
      <w:pPr>
        <w:jc w:val="center"/>
        <w:ind w:right="5240"/>
        <w:spacing w:after="0"/>
        <w:rPr>
          <w:sz w:val="20"/>
          <w:szCs w:val="20"/>
          <w:color w:val="auto"/>
        </w:rPr>
      </w:pPr>
      <w:r>
        <w:rPr>
          <w:rFonts w:ascii="Verdana" w:cs="Verdana" w:eastAsia="Verdana" w:hAnsi="Verdana"/>
          <w:sz w:val="14"/>
          <w:szCs w:val="14"/>
          <w:b w:val="1"/>
          <w:bCs w:val="1"/>
          <w:color w:val="auto"/>
        </w:rPr>
        <w:t>Campbell, CA</w:t>
      </w:r>
    </w:p>
    <w:p>
      <w:pPr>
        <w:spacing w:after="0" w:line="19" w:lineRule="exact"/>
        <w:rPr>
          <w:sz w:val="24"/>
          <w:szCs w:val="24"/>
          <w:color w:val="auto"/>
        </w:rPr>
      </w:pPr>
    </w:p>
    <w:p>
      <w:pPr>
        <w:ind w:left="360"/>
        <w:spacing w:after="0"/>
        <w:rPr>
          <w:sz w:val="20"/>
          <w:szCs w:val="20"/>
          <w:color w:val="auto"/>
        </w:rPr>
      </w:pPr>
      <w:r>
        <w:rPr>
          <w:rFonts w:ascii="Verdana" w:cs="Verdana" w:eastAsia="Verdana" w:hAnsi="Verdana"/>
          <w:sz w:val="14"/>
          <w:szCs w:val="14"/>
          <w:color w:val="auto"/>
        </w:rPr>
        <w:t>(Address of principal executive offices)</w:t>
      </w:r>
    </w:p>
    <w:p>
      <w:pPr>
        <w:spacing w:after="0" w:line="41" w:lineRule="exact"/>
        <w:rPr>
          <w:sz w:val="24"/>
          <w:szCs w:val="24"/>
          <w:color w:val="auto"/>
        </w:rPr>
      </w:pPr>
    </w:p>
    <w:p>
      <w:pPr>
        <w:jc w:val="center"/>
        <w:ind w:left="2480"/>
        <w:spacing w:after="0"/>
        <w:rPr>
          <w:sz w:val="20"/>
          <w:szCs w:val="20"/>
          <w:color w:val="auto"/>
        </w:rPr>
      </w:pPr>
      <w:r>
        <w:rPr>
          <w:rFonts w:ascii="Verdana" w:cs="Verdana" w:eastAsia="Verdana" w:hAnsi="Verdana"/>
          <w:sz w:val="13"/>
          <w:szCs w:val="13"/>
          <w:b w:val="1"/>
          <w:bCs w:val="1"/>
          <w:color w:val="auto"/>
        </w:rPr>
        <w:t>(408) 470-7300</w:t>
      </w:r>
    </w:p>
    <w:p>
      <w:pPr>
        <w:spacing w:after="0" w:line="31" w:lineRule="exact"/>
        <w:rPr>
          <w:sz w:val="24"/>
          <w:szCs w:val="24"/>
          <w:color w:val="auto"/>
        </w:rPr>
      </w:pPr>
    </w:p>
    <w:p>
      <w:pPr>
        <w:jc w:val="center"/>
        <w:ind w:left="2480"/>
        <w:spacing w:after="0"/>
        <w:rPr>
          <w:sz w:val="20"/>
          <w:szCs w:val="20"/>
          <w:color w:val="auto"/>
        </w:rPr>
      </w:pPr>
      <w:r>
        <w:rPr>
          <w:rFonts w:ascii="Verdana" w:cs="Verdana" w:eastAsia="Verdana" w:hAnsi="Verdana"/>
          <w:sz w:val="13"/>
          <w:szCs w:val="13"/>
          <w:b w:val="1"/>
          <w:bCs w:val="1"/>
          <w:color w:val="auto"/>
        </w:rPr>
        <w:t>(Registrant’s telephone number, including area code)</w:t>
      </w:r>
    </w:p>
    <w:p>
      <w:pPr>
        <w:spacing w:after="0" w:line="31" w:lineRule="exact"/>
        <w:rPr>
          <w:sz w:val="24"/>
          <w:szCs w:val="24"/>
          <w:color w:val="auto"/>
        </w:rPr>
      </w:pPr>
    </w:p>
    <w:p>
      <w:pPr>
        <w:jc w:val="center"/>
        <w:ind w:left="2480"/>
        <w:spacing w:after="0"/>
        <w:rPr>
          <w:sz w:val="20"/>
          <w:szCs w:val="20"/>
          <w:color w:val="auto"/>
        </w:rPr>
      </w:pPr>
      <w:r>
        <w:rPr>
          <w:rFonts w:ascii="Verdana" w:cs="Verdana" w:eastAsia="Verdana" w:hAnsi="Verdana"/>
          <w:sz w:val="13"/>
          <w:szCs w:val="13"/>
          <w:b w:val="1"/>
          <w:bCs w:val="1"/>
          <w:color w:val="auto"/>
        </w:rPr>
        <w:t>N/A</w:t>
      </w:r>
    </w:p>
    <w:p>
      <w:pPr>
        <w:spacing w:after="0" w:line="31" w:lineRule="exact"/>
        <w:rPr>
          <w:sz w:val="24"/>
          <w:szCs w:val="24"/>
          <w:color w:val="auto"/>
        </w:rPr>
      </w:pPr>
    </w:p>
    <w:p>
      <w:pPr>
        <w:jc w:val="center"/>
        <w:ind w:left="2480"/>
        <w:spacing w:after="0"/>
        <w:rPr>
          <w:sz w:val="20"/>
          <w:szCs w:val="20"/>
          <w:color w:val="auto"/>
        </w:rPr>
      </w:pPr>
      <w:r>
        <w:rPr>
          <w:rFonts w:ascii="Verdana" w:cs="Verdana" w:eastAsia="Verdana" w:hAnsi="Verdana"/>
          <w:sz w:val="13"/>
          <w:szCs w:val="13"/>
          <w:b w:val="1"/>
          <w:bCs w:val="1"/>
          <w:color w:val="auto"/>
        </w:rPr>
        <w:t>(Former name, former address and former fiscal year, if changed since last report)</w:t>
      </w:r>
    </w:p>
    <w:p>
      <w:pPr>
        <w:spacing w:after="0" w:line="171" w:lineRule="exact"/>
        <w:rPr>
          <w:sz w:val="24"/>
          <w:szCs w:val="24"/>
          <w:color w:val="auto"/>
        </w:rPr>
      </w:pPr>
    </w:p>
    <w:p>
      <w:pPr>
        <w:spacing w:after="0"/>
        <w:rPr>
          <w:sz w:val="20"/>
          <w:szCs w:val="20"/>
          <w:color w:val="auto"/>
        </w:rPr>
      </w:pPr>
      <w:r>
        <w:rPr>
          <w:rFonts w:ascii="Verdana" w:cs="Verdana" w:eastAsia="Verdana" w:hAnsi="Verdana"/>
          <w:sz w:val="14"/>
          <w:szCs w:val="14"/>
          <w:color w:val="auto"/>
        </w:rPr>
        <w:t>Securities registered pursuant to Section 12(b) of the Act: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9" w:lineRule="exact"/>
        <w:rPr>
          <w:sz w:val="24"/>
          <w:szCs w:val="24"/>
          <w:color w:val="auto"/>
        </w:rPr>
      </w:pPr>
    </w:p>
    <w:p>
      <w:pPr>
        <w:jc w:val="center"/>
        <w:ind w:right="800"/>
        <w:spacing w:after="0"/>
        <w:rPr>
          <w:sz w:val="20"/>
          <w:szCs w:val="20"/>
          <w:color w:val="auto"/>
        </w:rPr>
      </w:pPr>
      <w:r>
        <w:rPr>
          <w:rFonts w:ascii="Verdana" w:cs="Verdana" w:eastAsia="Verdana" w:hAnsi="Verdana"/>
          <w:sz w:val="14"/>
          <w:szCs w:val="14"/>
          <w:b w:val="1"/>
          <w:bCs w:val="1"/>
          <w:color w:val="auto"/>
        </w:rPr>
        <w:t>27-0117058</w:t>
      </w:r>
    </w:p>
    <w:p>
      <w:pPr>
        <w:spacing w:after="0" w:line="167" w:lineRule="exact"/>
        <w:rPr>
          <w:sz w:val="24"/>
          <w:szCs w:val="24"/>
          <w:color w:val="auto"/>
        </w:rPr>
      </w:pPr>
    </w:p>
    <w:p>
      <w:pPr>
        <w:jc w:val="both"/>
        <w:ind w:right="800" w:firstLine="51"/>
        <w:spacing w:after="0" w:line="327" w:lineRule="auto"/>
        <w:rPr>
          <w:sz w:val="20"/>
          <w:szCs w:val="20"/>
          <w:color w:val="auto"/>
        </w:rPr>
      </w:pPr>
      <w:r>
        <w:rPr>
          <w:rFonts w:ascii="Verdana" w:cs="Verdana" w:eastAsia="Verdana" w:hAnsi="Verdana"/>
          <w:sz w:val="14"/>
          <w:szCs w:val="14"/>
          <w:color w:val="auto"/>
        </w:rPr>
        <w:t>(I.R.S. Employer Identification No.)</w:t>
      </w:r>
    </w:p>
    <w:p>
      <w:pPr>
        <w:spacing w:after="0" w:line="76" w:lineRule="exact"/>
        <w:rPr>
          <w:sz w:val="24"/>
          <w:szCs w:val="24"/>
          <w:color w:val="auto"/>
        </w:rPr>
      </w:pPr>
    </w:p>
    <w:p>
      <w:pPr>
        <w:jc w:val="center"/>
        <w:ind w:right="800"/>
        <w:spacing w:after="0"/>
        <w:rPr>
          <w:sz w:val="20"/>
          <w:szCs w:val="20"/>
          <w:color w:val="auto"/>
        </w:rPr>
      </w:pPr>
      <w:r>
        <w:rPr>
          <w:rFonts w:ascii="Verdana" w:cs="Verdana" w:eastAsia="Verdana" w:hAnsi="Verdana"/>
          <w:sz w:val="14"/>
          <w:szCs w:val="14"/>
          <w:b w:val="1"/>
          <w:bCs w:val="1"/>
          <w:color w:val="auto"/>
        </w:rPr>
        <w:t>95008</w:t>
      </w:r>
    </w:p>
    <w:p>
      <w:pPr>
        <w:spacing w:after="0" w:line="167" w:lineRule="exact"/>
        <w:rPr>
          <w:sz w:val="24"/>
          <w:szCs w:val="24"/>
          <w:color w:val="auto"/>
        </w:rPr>
      </w:pPr>
    </w:p>
    <w:p>
      <w:pPr>
        <w:jc w:val="center"/>
        <w:ind w:right="800"/>
        <w:spacing w:after="0"/>
        <w:rPr>
          <w:sz w:val="20"/>
          <w:szCs w:val="20"/>
          <w:color w:val="auto"/>
        </w:rPr>
      </w:pPr>
      <w:r>
        <w:rPr>
          <w:rFonts w:ascii="Verdana" w:cs="Verdana" w:eastAsia="Verdana" w:hAnsi="Verdana"/>
          <w:sz w:val="14"/>
          <w:szCs w:val="14"/>
          <w:color w:val="auto"/>
        </w:rPr>
        <w:t>(Zip Code)</w:t>
      </w:r>
    </w:p>
    <w:p>
      <w:pPr>
        <w:spacing w:after="0" w:line="1306" w:lineRule="exact"/>
        <w:rPr>
          <w:sz w:val="24"/>
          <w:szCs w:val="24"/>
          <w:color w:val="auto"/>
        </w:rPr>
      </w:pPr>
    </w:p>
    <w:p>
      <w:pPr>
        <w:sectPr>
          <w:pgSz w:w="11900" w:h="16838" w:orient="portrait"/>
          <w:cols w:equalWidth="0" w:num="2">
            <w:col w:w="8760" w:space="400"/>
            <w:col w:w="2100"/>
          </w:cols>
          <w:pgMar w:left="320" w:top="242" w:right="319" w:bottom="1440" w:gutter="0" w:footer="0" w:header="0"/>
          <w:type w:val="continuous"/>
        </w:sectPr>
      </w:pPr>
    </w:p>
    <w:p>
      <w:pPr>
        <w:spacing w:after="0" w:line="11" w:lineRule="exact"/>
        <w:rPr>
          <w:sz w:val="24"/>
          <w:szCs w:val="24"/>
          <w:color w:val="auto"/>
        </w:rPr>
      </w:pPr>
    </w:p>
    <w:tbl>
      <w:tblPr>
        <w:tblLayout w:type="fixed"/>
        <w:tblInd w:w="10" w:type="dxa"/>
        <w:tblCellMar>
          <w:top w:w="0" w:type="dxa"/>
          <w:left w:w="0" w:type="dxa"/>
          <w:bottom w:w="0" w:type="dxa"/>
          <w:right w:w="0" w:type="dxa"/>
        </w:tblCellMar>
      </w:tblPr>
      <w:tr>
        <w:trPr>
          <w:trHeight w:val="188"/>
        </w:trPr>
        <w:tc>
          <w:tcPr>
            <w:tcW w:w="39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Verdana" w:cs="Verdana" w:eastAsia="Verdana" w:hAnsi="Verdana"/>
                <w:sz w:val="13"/>
                <w:szCs w:val="13"/>
                <w:b w:val="1"/>
                <w:bCs w:val="1"/>
                <w:color w:val="auto"/>
                <w:w w:val="96"/>
              </w:rPr>
              <w:t>Title of each class</w:t>
            </w:r>
          </w:p>
        </w:tc>
        <w:tc>
          <w:tcPr>
            <w:tcW w:w="2920" w:type="dxa"/>
            <w:vAlign w:val="bottom"/>
            <w:tcBorders>
              <w:top w:val="single" w:sz="8" w:color="auto"/>
              <w:bottom w:val="single" w:sz="8" w:color="auto"/>
              <w:right w:val="single" w:sz="8" w:color="auto"/>
            </w:tcBorders>
          </w:tcPr>
          <w:p>
            <w:pPr>
              <w:jc w:val="center"/>
              <w:spacing w:after="0"/>
              <w:rPr>
                <w:sz w:val="20"/>
                <w:szCs w:val="20"/>
                <w:color w:val="auto"/>
              </w:rPr>
            </w:pPr>
            <w:r>
              <w:rPr>
                <w:rFonts w:ascii="Verdana" w:cs="Verdana" w:eastAsia="Verdana" w:hAnsi="Verdana"/>
                <w:sz w:val="13"/>
                <w:szCs w:val="13"/>
                <w:b w:val="1"/>
                <w:bCs w:val="1"/>
                <w:color w:val="auto"/>
                <w:w w:val="96"/>
              </w:rPr>
              <w:t>Trading Symbol(s)</w:t>
            </w:r>
          </w:p>
        </w:tc>
        <w:tc>
          <w:tcPr>
            <w:tcW w:w="4360" w:type="dxa"/>
            <w:vAlign w:val="bottom"/>
            <w:tcBorders>
              <w:top w:val="single" w:sz="8" w:color="auto"/>
              <w:bottom w:val="single" w:sz="8" w:color="auto"/>
              <w:right w:val="single" w:sz="8" w:color="auto"/>
            </w:tcBorders>
          </w:tcPr>
          <w:p>
            <w:pPr>
              <w:jc w:val="center"/>
              <w:spacing w:after="0"/>
              <w:rPr>
                <w:sz w:val="20"/>
                <w:szCs w:val="20"/>
                <w:color w:val="auto"/>
              </w:rPr>
            </w:pPr>
            <w:r>
              <w:rPr>
                <w:rFonts w:ascii="Verdana" w:cs="Verdana" w:eastAsia="Verdana" w:hAnsi="Verdana"/>
                <w:sz w:val="13"/>
                <w:szCs w:val="13"/>
                <w:b w:val="1"/>
                <w:bCs w:val="1"/>
                <w:color w:val="auto"/>
                <w:w w:val="96"/>
              </w:rPr>
              <w:t>Name of each exchange on which registered</w:t>
            </w:r>
          </w:p>
        </w:tc>
      </w:tr>
      <w:tr>
        <w:trPr>
          <w:trHeight w:val="169"/>
        </w:trPr>
        <w:tc>
          <w:tcPr>
            <w:tcW w:w="3980" w:type="dxa"/>
            <w:vAlign w:val="bottom"/>
            <w:tcBorders>
              <w:left w:val="single" w:sz="8" w:color="auto"/>
              <w:bottom w:val="single" w:sz="8" w:color="auto"/>
              <w:right w:val="single" w:sz="8" w:color="auto"/>
            </w:tcBorders>
          </w:tcPr>
          <w:p>
            <w:pPr>
              <w:jc w:val="center"/>
              <w:spacing w:after="0"/>
              <w:rPr>
                <w:sz w:val="20"/>
                <w:szCs w:val="20"/>
                <w:color w:val="auto"/>
              </w:rPr>
            </w:pPr>
            <w:r>
              <w:rPr>
                <w:rFonts w:ascii="Verdana" w:cs="Verdana" w:eastAsia="Verdana" w:hAnsi="Verdana"/>
                <w:sz w:val="13"/>
                <w:szCs w:val="13"/>
                <w:color w:val="auto"/>
                <w:w w:val="96"/>
              </w:rPr>
              <w:t>Common stock, $0.001 par value</w:t>
            </w:r>
          </w:p>
        </w:tc>
        <w:tc>
          <w:tcPr>
            <w:tcW w:w="2920" w:type="dxa"/>
            <w:vAlign w:val="bottom"/>
            <w:tcBorders>
              <w:bottom w:val="single" w:sz="8" w:color="auto"/>
              <w:right w:val="single" w:sz="8" w:color="auto"/>
            </w:tcBorders>
          </w:tcPr>
          <w:p>
            <w:pPr>
              <w:jc w:val="center"/>
              <w:spacing w:after="0"/>
              <w:rPr>
                <w:sz w:val="20"/>
                <w:szCs w:val="20"/>
                <w:color w:val="auto"/>
              </w:rPr>
            </w:pPr>
            <w:r>
              <w:rPr>
                <w:rFonts w:ascii="Verdana" w:cs="Verdana" w:eastAsia="Verdana" w:hAnsi="Verdana"/>
                <w:sz w:val="13"/>
                <w:szCs w:val="13"/>
                <w:color w:val="auto"/>
                <w:w w:val="98"/>
              </w:rPr>
              <w:t>AIP</w:t>
            </w:r>
          </w:p>
        </w:tc>
        <w:tc>
          <w:tcPr>
            <w:tcW w:w="4360" w:type="dxa"/>
            <w:vAlign w:val="bottom"/>
            <w:tcBorders>
              <w:bottom w:val="single" w:sz="8" w:color="auto"/>
              <w:right w:val="single" w:sz="8" w:color="auto"/>
            </w:tcBorders>
          </w:tcPr>
          <w:p>
            <w:pPr>
              <w:jc w:val="center"/>
              <w:spacing w:after="0"/>
              <w:rPr>
                <w:sz w:val="20"/>
                <w:szCs w:val="20"/>
                <w:color w:val="auto"/>
              </w:rPr>
            </w:pPr>
            <w:r>
              <w:rPr>
                <w:rFonts w:ascii="Verdana" w:cs="Verdana" w:eastAsia="Verdana" w:hAnsi="Verdana"/>
                <w:sz w:val="13"/>
                <w:szCs w:val="13"/>
                <w:color w:val="auto"/>
                <w:w w:val="97"/>
              </w:rPr>
              <w:t>The Nasdaq Stock Market LLC</w:t>
            </w:r>
          </w:p>
        </w:tc>
      </w:tr>
    </w:tbl>
    <w:p>
      <w:pPr>
        <w:spacing w:after="0" w:line="157" w:lineRule="exact"/>
        <w:rPr>
          <w:sz w:val="24"/>
          <w:szCs w:val="24"/>
          <w:color w:val="auto"/>
        </w:rPr>
      </w:pPr>
    </w:p>
    <w:p>
      <w:pPr>
        <w:ind w:right="140"/>
        <w:spacing w:after="0" w:line="233" w:lineRule="auto"/>
        <w:rPr>
          <w:sz w:val="20"/>
          <w:szCs w:val="20"/>
          <w:color w:val="auto"/>
        </w:rPr>
      </w:pPr>
      <w:r>
        <w:rPr>
          <w:rFonts w:ascii="Verdana" w:cs="Verdana" w:eastAsia="Verdana" w:hAnsi="Verdana"/>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3"/>
          <w:szCs w:val="13"/>
          <w:b w:val="1"/>
          <w:bCs w:val="1"/>
          <w:color w:val="auto"/>
        </w:rPr>
        <w:t>x</w:t>
      </w:r>
      <w:r>
        <w:rPr>
          <w:rFonts w:ascii="Verdana" w:cs="Verdana" w:eastAsia="Verdana" w:hAnsi="Verdana"/>
          <w:sz w:val="13"/>
          <w:szCs w:val="13"/>
          <w:color w:val="auto"/>
        </w:rPr>
        <w:t xml:space="preserve"> No </w:t>
      </w:r>
      <w:r>
        <w:rPr>
          <w:rFonts w:ascii="Wingdings" w:cs="Wingdings" w:eastAsia="Wingdings" w:hAnsi="Wingdings"/>
          <w:sz w:val="13"/>
          <w:szCs w:val="13"/>
          <w:b w:val="1"/>
          <w:bCs w:val="1"/>
          <w:color w:val="auto"/>
        </w:rPr>
        <w:t>o</w:t>
      </w:r>
    </w:p>
    <w:p>
      <w:pPr>
        <w:spacing w:after="0" w:line="174" w:lineRule="exact"/>
        <w:rPr>
          <w:sz w:val="24"/>
          <w:szCs w:val="24"/>
          <w:color w:val="auto"/>
        </w:rPr>
      </w:pPr>
    </w:p>
    <w:p>
      <w:pPr>
        <w:spacing w:after="0"/>
        <w:rPr>
          <w:sz w:val="20"/>
          <w:szCs w:val="20"/>
          <w:color w:val="auto"/>
        </w:rPr>
      </w:pPr>
      <w:r>
        <w:rPr>
          <w:rFonts w:ascii="Verdana" w:cs="Verdana" w:eastAsia="Verdana" w:hAnsi="Verdana"/>
          <w:sz w:val="12"/>
          <w:szCs w:val="12"/>
          <w:color w:val="auto"/>
        </w:rPr>
        <w:t>Indicate by check mark whether the registrant has submitted electronically and posted on its corporate web site, if any, every Interactive Data File required to be submitted and</w:t>
      </w:r>
    </w:p>
    <w:p>
      <w:pPr>
        <w:spacing w:after="0" w:line="16" w:lineRule="exact"/>
        <w:rPr>
          <w:sz w:val="24"/>
          <w:szCs w:val="24"/>
          <w:color w:val="auto"/>
        </w:rPr>
      </w:pPr>
    </w:p>
    <w:p>
      <w:pPr>
        <w:ind w:right="80"/>
        <w:spacing w:after="0" w:line="237" w:lineRule="auto"/>
        <w:rPr>
          <w:sz w:val="20"/>
          <w:szCs w:val="20"/>
          <w:color w:val="auto"/>
        </w:rPr>
      </w:pPr>
      <w:r>
        <w:rPr>
          <w:rFonts w:ascii="Verdana" w:cs="Verdana" w:eastAsia="Verdana" w:hAnsi="Verdana"/>
          <w:sz w:val="13"/>
          <w:szCs w:val="13"/>
          <w:color w:val="auto"/>
        </w:rPr>
        <w:t xml:space="preserve">posted pursuant to Rule 405 of Regulation S-T (§232.405 of this chapter) during the preceding 12 months (or for such shorter period that the registrant was required to submit and post such files). Yes </w:t>
      </w:r>
      <w:r>
        <w:rPr>
          <w:rFonts w:ascii="Wingdings" w:cs="Wingdings" w:eastAsia="Wingdings" w:hAnsi="Wingdings"/>
          <w:sz w:val="13"/>
          <w:szCs w:val="13"/>
          <w:b w:val="1"/>
          <w:bCs w:val="1"/>
          <w:color w:val="auto"/>
        </w:rPr>
        <w:t>x</w:t>
      </w:r>
      <w:r>
        <w:rPr>
          <w:rFonts w:ascii="Verdana" w:cs="Verdana" w:eastAsia="Verdana" w:hAnsi="Verdana"/>
          <w:sz w:val="13"/>
          <w:szCs w:val="13"/>
          <w:color w:val="auto"/>
        </w:rPr>
        <w:t xml:space="preserve"> No </w:t>
      </w:r>
      <w:r>
        <w:rPr>
          <w:rFonts w:ascii="Wingdings" w:cs="Wingdings" w:eastAsia="Wingdings" w:hAnsi="Wingdings"/>
          <w:sz w:val="13"/>
          <w:szCs w:val="13"/>
          <w:b w:val="1"/>
          <w:bCs w:val="1"/>
          <w:color w:val="auto"/>
        </w:rPr>
        <w:t>o</w:t>
      </w:r>
    </w:p>
    <w:p>
      <w:pPr>
        <w:spacing w:after="0" w:line="174" w:lineRule="exact"/>
        <w:rPr>
          <w:sz w:val="24"/>
          <w:szCs w:val="24"/>
          <w:color w:val="auto"/>
        </w:rPr>
      </w:pPr>
    </w:p>
    <w:p>
      <w:pPr>
        <w:ind w:right="360"/>
        <w:spacing w:after="0" w:line="237" w:lineRule="auto"/>
        <w:rPr>
          <w:sz w:val="20"/>
          <w:szCs w:val="20"/>
          <w:color w:val="auto"/>
        </w:rPr>
      </w:pPr>
      <w:r>
        <w:rPr>
          <w:rFonts w:ascii="Verdana" w:cs="Verdana" w:eastAsia="Verdana" w:hAnsi="Verdana"/>
          <w:sz w:val="13"/>
          <w:szCs w:val="13"/>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209" w:lineRule="exact"/>
        <w:rPr>
          <w:sz w:val="24"/>
          <w:szCs w:val="24"/>
          <w:color w:val="auto"/>
        </w:rPr>
      </w:pPr>
    </w:p>
    <w:tbl>
      <w:tblPr>
        <w:tblLayout w:type="fixed"/>
        <w:tblInd w:w="20" w:type="dxa"/>
        <w:tblCellMar>
          <w:top w:w="0" w:type="dxa"/>
          <w:left w:w="0" w:type="dxa"/>
          <w:bottom w:w="0" w:type="dxa"/>
          <w:right w:w="0" w:type="dxa"/>
        </w:tblCellMar>
      </w:tblPr>
      <w:tr>
        <w:trPr>
          <w:trHeight w:val="170"/>
        </w:trPr>
        <w:tc>
          <w:tcPr>
            <w:tcW w:w="2240" w:type="dxa"/>
            <w:vAlign w:val="bottom"/>
          </w:tcPr>
          <w:p>
            <w:pPr>
              <w:spacing w:after="0"/>
              <w:rPr>
                <w:sz w:val="20"/>
                <w:szCs w:val="20"/>
                <w:color w:val="auto"/>
              </w:rPr>
            </w:pPr>
            <w:r>
              <w:rPr>
                <w:rFonts w:ascii="Verdana" w:cs="Verdana" w:eastAsia="Verdana" w:hAnsi="Verdana"/>
                <w:sz w:val="13"/>
                <w:szCs w:val="13"/>
                <w:color w:val="auto"/>
              </w:rPr>
              <w:t>Large accelerated filer</w:t>
            </w:r>
          </w:p>
        </w:tc>
        <w:tc>
          <w:tcPr>
            <w:tcW w:w="2960" w:type="dxa"/>
            <w:vAlign w:val="bottom"/>
          </w:tcPr>
          <w:p>
            <w:pPr>
              <w:ind w:left="820"/>
              <w:spacing w:after="0"/>
              <w:rPr>
                <w:sz w:val="20"/>
                <w:szCs w:val="20"/>
                <w:color w:val="auto"/>
              </w:rPr>
            </w:pPr>
            <w:r>
              <w:rPr>
                <w:rFonts w:ascii="Wingdings" w:cs="Wingdings" w:eastAsia="Wingdings" w:hAnsi="Wingdings"/>
                <w:sz w:val="13"/>
                <w:szCs w:val="13"/>
                <w:b w:val="1"/>
                <w:bCs w:val="1"/>
                <w:color w:val="auto"/>
              </w:rPr>
              <w:t>o</w:t>
            </w:r>
          </w:p>
        </w:tc>
        <w:tc>
          <w:tcPr>
            <w:tcW w:w="4800" w:type="dxa"/>
            <w:vAlign w:val="bottom"/>
          </w:tcPr>
          <w:p>
            <w:pPr>
              <w:ind w:left="2000"/>
              <w:spacing w:after="0"/>
              <w:rPr>
                <w:sz w:val="20"/>
                <w:szCs w:val="20"/>
                <w:color w:val="auto"/>
              </w:rPr>
            </w:pPr>
            <w:r>
              <w:rPr>
                <w:rFonts w:ascii="Verdana" w:cs="Verdana" w:eastAsia="Verdana" w:hAnsi="Verdana"/>
                <w:sz w:val="13"/>
                <w:szCs w:val="13"/>
                <w:color w:val="auto"/>
              </w:rPr>
              <w:t>Accelerated filer</w:t>
            </w:r>
          </w:p>
        </w:tc>
        <w:tc>
          <w:tcPr>
            <w:tcW w:w="1200" w:type="dxa"/>
            <w:vAlign w:val="bottom"/>
          </w:tcPr>
          <w:p>
            <w:pPr>
              <w:jc w:val="right"/>
              <w:spacing w:after="0"/>
              <w:rPr>
                <w:sz w:val="20"/>
                <w:szCs w:val="20"/>
                <w:color w:val="auto"/>
              </w:rPr>
            </w:pPr>
            <w:r>
              <w:rPr>
                <w:rFonts w:ascii="Wingdings" w:cs="Wingdings" w:eastAsia="Wingdings" w:hAnsi="Wingdings"/>
                <w:sz w:val="13"/>
                <w:szCs w:val="13"/>
                <w:b w:val="1"/>
                <w:bCs w:val="1"/>
                <w:color w:val="auto"/>
              </w:rPr>
              <w:t>o</w:t>
            </w:r>
          </w:p>
        </w:tc>
        <w:tc>
          <w:tcPr>
            <w:tcW w:w="0" w:type="dxa"/>
            <w:vAlign w:val="bottom"/>
          </w:tcPr>
          <w:p>
            <w:pPr>
              <w:spacing w:after="0"/>
              <w:rPr>
                <w:sz w:val="1"/>
                <w:szCs w:val="1"/>
                <w:color w:val="auto"/>
              </w:rPr>
            </w:pPr>
          </w:p>
        </w:tc>
      </w:tr>
      <w:tr>
        <w:trPr>
          <w:trHeight w:val="284"/>
        </w:trPr>
        <w:tc>
          <w:tcPr>
            <w:tcW w:w="2240" w:type="dxa"/>
            <w:vAlign w:val="bottom"/>
          </w:tcPr>
          <w:p>
            <w:pPr>
              <w:spacing w:after="0"/>
              <w:rPr>
                <w:sz w:val="20"/>
                <w:szCs w:val="20"/>
                <w:color w:val="auto"/>
              </w:rPr>
            </w:pPr>
            <w:r>
              <w:rPr>
                <w:rFonts w:ascii="Verdana" w:cs="Verdana" w:eastAsia="Verdana" w:hAnsi="Verdana"/>
                <w:sz w:val="13"/>
                <w:szCs w:val="13"/>
                <w:color w:val="auto"/>
              </w:rPr>
              <w:t>Non-accelerated filer</w:t>
            </w:r>
          </w:p>
        </w:tc>
        <w:tc>
          <w:tcPr>
            <w:tcW w:w="2960" w:type="dxa"/>
            <w:vAlign w:val="bottom"/>
          </w:tcPr>
          <w:p>
            <w:pPr>
              <w:ind w:left="820"/>
              <w:spacing w:after="0"/>
              <w:rPr>
                <w:sz w:val="20"/>
                <w:szCs w:val="20"/>
                <w:color w:val="auto"/>
              </w:rPr>
            </w:pPr>
            <w:r>
              <w:rPr>
                <w:rFonts w:ascii="Wingdings" w:cs="Wingdings" w:eastAsia="Wingdings" w:hAnsi="Wingdings"/>
                <w:sz w:val="13"/>
                <w:szCs w:val="13"/>
                <w:b w:val="1"/>
                <w:bCs w:val="1"/>
                <w:color w:val="auto"/>
              </w:rPr>
              <w:t>x</w:t>
            </w:r>
          </w:p>
        </w:tc>
        <w:tc>
          <w:tcPr>
            <w:tcW w:w="4800" w:type="dxa"/>
            <w:vAlign w:val="bottom"/>
          </w:tcPr>
          <w:p>
            <w:pPr>
              <w:ind w:left="2000"/>
              <w:spacing w:after="0"/>
              <w:rPr>
                <w:sz w:val="20"/>
                <w:szCs w:val="20"/>
                <w:color w:val="auto"/>
              </w:rPr>
            </w:pPr>
            <w:r>
              <w:rPr>
                <w:rFonts w:ascii="Verdana" w:cs="Verdana" w:eastAsia="Verdana" w:hAnsi="Verdana"/>
                <w:sz w:val="13"/>
                <w:szCs w:val="13"/>
                <w:color w:val="auto"/>
              </w:rPr>
              <w:t>Smaller reporting company</w:t>
            </w:r>
          </w:p>
        </w:tc>
        <w:tc>
          <w:tcPr>
            <w:tcW w:w="1200" w:type="dxa"/>
            <w:vAlign w:val="bottom"/>
            <w:vMerge w:val="restart"/>
          </w:tcPr>
          <w:p>
            <w:pPr>
              <w:jc w:val="right"/>
              <w:spacing w:after="0"/>
              <w:rPr>
                <w:sz w:val="20"/>
                <w:szCs w:val="20"/>
                <w:color w:val="auto"/>
              </w:rPr>
            </w:pPr>
            <w:r>
              <w:rPr>
                <w:rFonts w:ascii="Wingdings" w:cs="Wingdings" w:eastAsia="Wingdings" w:hAnsi="Wingdings"/>
                <w:sz w:val="13"/>
                <w:szCs w:val="13"/>
                <w:b w:val="1"/>
                <w:bCs w:val="1"/>
                <w:color w:val="auto"/>
              </w:rPr>
              <w:t>x</w:t>
            </w:r>
          </w:p>
        </w:tc>
        <w:tc>
          <w:tcPr>
            <w:tcW w:w="0" w:type="dxa"/>
            <w:vAlign w:val="bottom"/>
          </w:tcPr>
          <w:p>
            <w:pPr>
              <w:spacing w:after="0"/>
              <w:rPr>
                <w:sz w:val="1"/>
                <w:szCs w:val="1"/>
                <w:color w:val="auto"/>
              </w:rPr>
            </w:pPr>
          </w:p>
        </w:tc>
      </w:tr>
      <w:tr>
        <w:trPr>
          <w:trHeight w:val="56"/>
        </w:trPr>
        <w:tc>
          <w:tcPr>
            <w:tcW w:w="2240" w:type="dxa"/>
            <w:vAlign w:val="bottom"/>
          </w:tcPr>
          <w:p>
            <w:pPr>
              <w:spacing w:after="0"/>
              <w:rPr>
                <w:sz w:val="4"/>
                <w:szCs w:val="4"/>
                <w:color w:val="auto"/>
              </w:rPr>
            </w:pPr>
          </w:p>
        </w:tc>
        <w:tc>
          <w:tcPr>
            <w:tcW w:w="2960" w:type="dxa"/>
            <w:vAlign w:val="bottom"/>
          </w:tcPr>
          <w:p>
            <w:pPr>
              <w:spacing w:after="0"/>
              <w:rPr>
                <w:sz w:val="4"/>
                <w:szCs w:val="4"/>
                <w:color w:val="auto"/>
              </w:rPr>
            </w:pPr>
          </w:p>
        </w:tc>
        <w:tc>
          <w:tcPr>
            <w:tcW w:w="480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36"/>
        </w:trPr>
        <w:tc>
          <w:tcPr>
            <w:tcW w:w="22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4800" w:type="dxa"/>
            <w:vAlign w:val="bottom"/>
          </w:tcPr>
          <w:p>
            <w:pPr>
              <w:ind w:left="2000"/>
              <w:spacing w:after="0"/>
              <w:rPr>
                <w:sz w:val="20"/>
                <w:szCs w:val="20"/>
                <w:color w:val="auto"/>
              </w:rPr>
            </w:pPr>
            <w:r>
              <w:rPr>
                <w:rFonts w:ascii="Verdana" w:cs="Verdana" w:eastAsia="Verdana" w:hAnsi="Verdana"/>
                <w:sz w:val="13"/>
                <w:szCs w:val="13"/>
                <w:color w:val="auto"/>
              </w:rPr>
              <w:t>Emerging growth company</w:t>
            </w:r>
          </w:p>
        </w:tc>
        <w:tc>
          <w:tcPr>
            <w:tcW w:w="1200" w:type="dxa"/>
            <w:vAlign w:val="bottom"/>
            <w:vMerge w:val="restart"/>
          </w:tcPr>
          <w:p>
            <w:pPr>
              <w:jc w:val="right"/>
              <w:spacing w:after="0"/>
              <w:rPr>
                <w:sz w:val="20"/>
                <w:szCs w:val="20"/>
                <w:color w:val="auto"/>
              </w:rPr>
            </w:pPr>
            <w:r>
              <w:rPr>
                <w:rFonts w:ascii="Wingdings" w:cs="Wingdings" w:eastAsia="Wingdings" w:hAnsi="Wingdings"/>
                <w:sz w:val="13"/>
                <w:szCs w:val="13"/>
                <w:b w:val="1"/>
                <w:bCs w:val="1"/>
                <w:color w:val="auto"/>
              </w:rPr>
              <w:t>x</w:t>
            </w:r>
          </w:p>
        </w:tc>
        <w:tc>
          <w:tcPr>
            <w:tcW w:w="0" w:type="dxa"/>
            <w:vAlign w:val="bottom"/>
          </w:tcPr>
          <w:p>
            <w:pPr>
              <w:spacing w:after="0"/>
              <w:rPr>
                <w:sz w:val="1"/>
                <w:szCs w:val="1"/>
                <w:color w:val="auto"/>
              </w:rPr>
            </w:pPr>
          </w:p>
        </w:tc>
      </w:tr>
      <w:tr>
        <w:trPr>
          <w:trHeight w:val="56"/>
        </w:trPr>
        <w:tc>
          <w:tcPr>
            <w:tcW w:w="2240" w:type="dxa"/>
            <w:vAlign w:val="bottom"/>
          </w:tcPr>
          <w:p>
            <w:pPr>
              <w:spacing w:after="0"/>
              <w:rPr>
                <w:sz w:val="4"/>
                <w:szCs w:val="4"/>
                <w:color w:val="auto"/>
              </w:rPr>
            </w:pPr>
          </w:p>
        </w:tc>
        <w:tc>
          <w:tcPr>
            <w:tcW w:w="2960" w:type="dxa"/>
            <w:vAlign w:val="bottom"/>
          </w:tcPr>
          <w:p>
            <w:pPr>
              <w:spacing w:after="0"/>
              <w:rPr>
                <w:sz w:val="4"/>
                <w:szCs w:val="4"/>
                <w:color w:val="auto"/>
              </w:rPr>
            </w:pPr>
          </w:p>
        </w:tc>
        <w:tc>
          <w:tcPr>
            <w:tcW w:w="480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0" w:lineRule="exact"/>
        <w:rPr>
          <w:sz w:val="24"/>
          <w:szCs w:val="24"/>
          <w:color w:val="auto"/>
        </w:rPr>
      </w:pPr>
    </w:p>
    <w:p>
      <w:pPr>
        <w:ind w:right="200"/>
        <w:spacing w:after="0" w:line="237" w:lineRule="auto"/>
        <w:rPr>
          <w:sz w:val="20"/>
          <w:szCs w:val="20"/>
          <w:color w:val="auto"/>
        </w:rPr>
      </w:pPr>
      <w:r>
        <w:rPr>
          <w:rFonts w:ascii="Verdana" w:cs="Verdana" w:eastAsia="Verdana" w:hAnsi="Verdana"/>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3"/>
          <w:szCs w:val="13"/>
          <w:b w:val="1"/>
          <w:bCs w:val="1"/>
          <w:color w:val="auto"/>
        </w:rPr>
        <w:t>o</w:t>
      </w:r>
    </w:p>
    <w:p>
      <w:pPr>
        <w:spacing w:after="0" w:line="187" w:lineRule="exact"/>
        <w:rPr>
          <w:sz w:val="24"/>
          <w:szCs w:val="24"/>
          <w:color w:val="auto"/>
        </w:rPr>
      </w:pPr>
    </w:p>
    <w:p>
      <w:pPr>
        <w:spacing w:after="0"/>
        <w:tabs>
          <w:tab w:leader="none" w:pos="6740" w:val="left"/>
          <w:tab w:leader="none" w:pos="7300" w:val="left"/>
        </w:tabs>
        <w:rPr>
          <w:sz w:val="20"/>
          <w:szCs w:val="20"/>
          <w:color w:val="auto"/>
        </w:rPr>
      </w:pPr>
      <w:r>
        <w:rPr>
          <w:rFonts w:ascii="Verdana" w:cs="Verdana" w:eastAsia="Verdana" w:hAnsi="Verdana"/>
          <w:sz w:val="13"/>
          <w:szCs w:val="13"/>
          <w:color w:val="auto"/>
        </w:rPr>
        <w:t>Indicate by check mark whether the registrant is a shell company (as defined in Rule 12b-2 of the Act).</w:t>
        <w:tab/>
        <w:t xml:space="preserve">Yes  </w:t>
      </w:r>
      <w:r>
        <w:rPr>
          <w:rFonts w:ascii="Wingdings" w:cs="Wingdings" w:eastAsia="Wingdings" w:hAnsi="Wingdings"/>
          <w:sz w:val="13"/>
          <w:szCs w:val="13"/>
          <w:b w:val="1"/>
          <w:bCs w:val="1"/>
          <w:color w:val="auto"/>
        </w:rPr>
        <w:t>o</w:t>
      </w:r>
      <w:r>
        <w:rPr>
          <w:rFonts w:ascii="Verdana" w:cs="Verdana" w:eastAsia="Verdana" w:hAnsi="Verdana"/>
          <w:sz w:val="13"/>
          <w:szCs w:val="13"/>
          <w:color w:val="auto"/>
        </w:rPr>
        <w:tab/>
        <w:t xml:space="preserve">No </w:t>
      </w:r>
      <w:r>
        <w:rPr>
          <w:rFonts w:ascii="Wingdings" w:cs="Wingdings" w:eastAsia="Wingdings" w:hAnsi="Wingdings"/>
          <w:sz w:val="13"/>
          <w:szCs w:val="13"/>
          <w:b w:val="1"/>
          <w:bCs w:val="1"/>
          <w:color w:val="auto"/>
        </w:rPr>
        <w:t>x</w:t>
      </w:r>
    </w:p>
    <w:p>
      <w:pPr>
        <w:spacing w:after="0" w:line="179" w:lineRule="exact"/>
        <w:rPr>
          <w:sz w:val="24"/>
          <w:szCs w:val="24"/>
          <w:color w:val="auto"/>
        </w:rPr>
      </w:pPr>
    </w:p>
    <w:p>
      <w:pPr>
        <w:spacing w:after="0"/>
        <w:rPr>
          <w:sz w:val="20"/>
          <w:szCs w:val="20"/>
          <w:color w:val="auto"/>
        </w:rPr>
      </w:pPr>
      <w:r>
        <w:rPr>
          <w:rFonts w:ascii="Verdana" w:cs="Verdana" w:eastAsia="Verdana" w:hAnsi="Verdana"/>
          <w:sz w:val="13"/>
          <w:szCs w:val="13"/>
          <w:color w:val="auto"/>
        </w:rPr>
        <w:t>As of October 29, 2024, there were 40,177,393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807720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242" w:right="319" w:bottom="1440" w:gutter="0" w:footer="0" w:header="0"/>
          <w:type w:val="continuous"/>
        </w:sectPr>
      </w:pPr>
    </w:p>
    <w:bookmarkStart w:id="1" w:name="page2"/>
    <w:bookmarkEnd w:id="1"/>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397" w:lineRule="exact"/>
        <w:rPr>
          <w:sz w:val="20"/>
          <w:szCs w:val="20"/>
          <w:color w:val="auto"/>
        </w:rPr>
      </w:pPr>
    </w:p>
    <w:tbl>
      <w:tblPr>
        <w:tblLayout w:type="fixed"/>
        <w:tblInd w:w="140" w:type="dxa"/>
        <w:tblCellMar>
          <w:top w:w="0" w:type="dxa"/>
          <w:left w:w="0" w:type="dxa"/>
          <w:bottom w:w="0" w:type="dxa"/>
          <w:right w:w="0" w:type="dxa"/>
        </w:tblCellMar>
      </w:tblPr>
      <w:tr>
        <w:trPr>
          <w:trHeight w:val="196"/>
        </w:trPr>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b w:val="1"/>
                <w:bCs w:val="1"/>
                <w:color w:val="auto"/>
              </w:rPr>
              <w:t>Page</w:t>
            </w:r>
          </w:p>
        </w:tc>
      </w:tr>
      <w:tr>
        <w:trPr>
          <w:trHeight w:val="178"/>
        </w:trPr>
        <w:tc>
          <w:tcPr>
            <w:tcW w:w="9820" w:type="dxa"/>
            <w:vAlign w:val="bottom"/>
            <w:gridSpan w:val="23"/>
          </w:tcPr>
          <w:p>
            <w:pPr>
              <w:spacing w:after="0"/>
              <w:rPr>
                <w:sz w:val="20"/>
                <w:szCs w:val="20"/>
                <w:color w:val="auto"/>
              </w:rPr>
            </w:pPr>
            <w:r>
              <w:rPr>
                <w:rFonts w:ascii="Arial" w:cs="Arial" w:eastAsia="Arial" w:hAnsi="Arial"/>
                <w:sz w:val="14"/>
                <w:szCs w:val="14"/>
                <w:b w:val="1"/>
                <w:bCs w:val="1"/>
                <w:color w:val="0000FF"/>
              </w:rPr>
              <w:t>Part I. Financial Information</w:t>
            </w:r>
          </w:p>
        </w:tc>
        <w:tc>
          <w:tcPr>
            <w:tcW w:w="114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20"/>
        </w:trPr>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800" w:type="dxa"/>
            <w:vAlign w:val="bottom"/>
            <w:gridSpan w:val="4"/>
          </w:tcPr>
          <w:p>
            <w:pPr>
              <w:spacing w:after="0"/>
              <w:rPr>
                <w:sz w:val="20"/>
                <w:szCs w:val="20"/>
                <w:color w:val="auto"/>
              </w:rPr>
            </w:pPr>
            <w:r>
              <w:rPr>
                <w:rFonts w:ascii="Arial" w:cs="Arial" w:eastAsia="Arial" w:hAnsi="Arial"/>
                <w:sz w:val="14"/>
                <w:szCs w:val="14"/>
                <w:color w:val="0000FF"/>
              </w:rPr>
              <w:t>Item 1.</w:t>
            </w:r>
          </w:p>
        </w:tc>
        <w:tc>
          <w:tcPr>
            <w:tcW w:w="9020" w:type="dxa"/>
            <w:vAlign w:val="bottom"/>
            <w:gridSpan w:val="19"/>
          </w:tcPr>
          <w:p>
            <w:pPr>
              <w:spacing w:after="0"/>
              <w:rPr>
                <w:sz w:val="20"/>
                <w:szCs w:val="20"/>
                <w:color w:val="auto"/>
              </w:rPr>
            </w:pPr>
            <w:r>
              <w:rPr>
                <w:rFonts w:ascii="Arial" w:cs="Arial" w:eastAsia="Arial" w:hAnsi="Arial"/>
                <w:sz w:val="14"/>
                <w:szCs w:val="14"/>
                <w:color w:val="0000FF"/>
              </w:rPr>
              <w:t>Financial Statements (unaudited)</w:t>
            </w:r>
          </w:p>
        </w:tc>
        <w:tc>
          <w:tcPr>
            <w:tcW w:w="114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20"/>
        </w:trPr>
        <w:tc>
          <w:tcPr>
            <w:tcW w:w="4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20" w:type="dxa"/>
            <w:vAlign w:val="bottom"/>
            <w:gridSpan w:val="19"/>
          </w:tcPr>
          <w:p>
            <w:pPr>
              <w:spacing w:after="0"/>
              <w:rPr>
                <w:sz w:val="20"/>
                <w:szCs w:val="20"/>
                <w:color w:val="auto"/>
              </w:rPr>
            </w:pPr>
            <w:r>
              <w:rPr>
                <w:rFonts w:ascii="Arial" w:cs="Arial" w:eastAsia="Arial" w:hAnsi="Arial"/>
                <w:sz w:val="14"/>
                <w:szCs w:val="14"/>
                <w:color w:val="0000FF"/>
              </w:rPr>
              <w:t>Condensed Consolidated Balance Sheets as of September 30, 2024 and December 31, 2023</w:t>
            </w:r>
          </w:p>
        </w:tc>
        <w:tc>
          <w:tcPr>
            <w:tcW w:w="114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20"/>
        </w:trPr>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172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20" w:type="dxa"/>
            <w:vAlign w:val="bottom"/>
            <w:gridSpan w:val="19"/>
          </w:tcPr>
          <w:p>
            <w:pPr>
              <w:spacing w:after="0"/>
              <w:rPr>
                <w:sz w:val="20"/>
                <w:szCs w:val="20"/>
                <w:color w:val="auto"/>
              </w:rPr>
            </w:pPr>
            <w:r>
              <w:rPr>
                <w:rFonts w:ascii="Arial" w:cs="Arial" w:eastAsia="Arial" w:hAnsi="Arial"/>
                <w:sz w:val="14"/>
                <w:szCs w:val="14"/>
                <w:color w:val="0000FF"/>
              </w:rPr>
              <w:t>Condensed Consolidated Statements of Operations for the Three and Nine Months Ended September 30, 2024 and 2023</w:t>
            </w:r>
          </w:p>
        </w:tc>
        <w:tc>
          <w:tcPr>
            <w:tcW w:w="114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20"/>
        </w:trPr>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172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20" w:type="dxa"/>
            <w:vAlign w:val="bottom"/>
            <w:gridSpan w:val="19"/>
          </w:tcPr>
          <w:p>
            <w:pPr>
              <w:spacing w:after="0"/>
              <w:rPr>
                <w:sz w:val="20"/>
                <w:szCs w:val="20"/>
                <w:color w:val="auto"/>
              </w:rPr>
            </w:pPr>
            <w:r>
              <w:rPr>
                <w:rFonts w:ascii="Arial" w:cs="Arial" w:eastAsia="Arial" w:hAnsi="Arial"/>
                <w:sz w:val="14"/>
                <w:szCs w:val="14"/>
                <w:color w:val="0000FF"/>
              </w:rPr>
              <w:t>Condensed Consolidated Statements of Comprehensive Loss for the Three and Nine Months Ended September 30, 2024 and 2023</w:t>
            </w:r>
          </w:p>
        </w:tc>
        <w:tc>
          <w:tcPr>
            <w:tcW w:w="114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196"/>
        </w:trPr>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320" w:type="dxa"/>
            <w:vAlign w:val="bottom"/>
            <w:tcBorders>
              <w:top w:val="single" w:sz="8" w:color="0000FF"/>
              <w:bottom w:val="single" w:sz="8" w:color="0000FF"/>
            </w:tcBorders>
            <w:gridSpan w:val="17"/>
          </w:tcPr>
          <w:p>
            <w:pPr>
              <w:spacing w:after="0"/>
              <w:rPr>
                <w:sz w:val="20"/>
                <w:szCs w:val="20"/>
                <w:color w:val="auto"/>
              </w:rPr>
            </w:pPr>
            <w:r>
              <w:rPr>
                <w:rFonts w:ascii="Arial" w:cs="Arial" w:eastAsia="Arial" w:hAnsi="Arial"/>
                <w:sz w:val="14"/>
                <w:szCs w:val="14"/>
                <w:color w:val="0000FF"/>
              </w:rPr>
              <w:t>Condensed Consolidated Statements of Stockholders' Equity for the Three and Nine Months Ended September 30, 2024 and 2023</w:t>
            </w:r>
          </w:p>
        </w:tc>
        <w:tc>
          <w:tcPr>
            <w:tcW w:w="40" w:type="dxa"/>
            <w:vAlign w:val="bottom"/>
            <w:tcBorders>
              <w:top w:val="single" w:sz="8" w:color="0000FF"/>
            </w:tcBorders>
          </w:tcPr>
          <w:p>
            <w:pPr>
              <w:spacing w:after="0"/>
              <w:rPr>
                <w:sz w:val="17"/>
                <w:szCs w:val="17"/>
                <w:color w:val="auto"/>
              </w:rPr>
            </w:pPr>
          </w:p>
        </w:tc>
        <w:tc>
          <w:tcPr>
            <w:tcW w:w="6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196"/>
        </w:trPr>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80" w:type="dxa"/>
            <w:vAlign w:val="bottom"/>
            <w:tcBorders>
              <w:bottom w:val="single" w:sz="8" w:color="0000FF"/>
            </w:tcBorders>
            <w:gridSpan w:val="15"/>
          </w:tcPr>
          <w:p>
            <w:pPr>
              <w:spacing w:after="0"/>
              <w:rPr>
                <w:sz w:val="20"/>
                <w:szCs w:val="20"/>
                <w:color w:val="auto"/>
              </w:rPr>
            </w:pPr>
            <w:r>
              <w:rPr>
                <w:rFonts w:ascii="Arial" w:cs="Arial" w:eastAsia="Arial" w:hAnsi="Arial"/>
                <w:sz w:val="14"/>
                <w:szCs w:val="14"/>
                <w:color w:val="0000FF"/>
              </w:rPr>
              <w:t>Condensed Consolidated Statements of Cash Flows for the Nine Months Ended September 30, 2024 and 2023</w:t>
            </w:r>
          </w:p>
        </w:tc>
        <w:tc>
          <w:tcPr>
            <w:tcW w:w="1940" w:type="dxa"/>
            <w:vAlign w:val="bottom"/>
            <w:gridSpan w:val="4"/>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w:t>
            </w:r>
          </w:p>
        </w:tc>
      </w:tr>
      <w:tr>
        <w:trPr>
          <w:trHeight w:val="196"/>
        </w:trPr>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80" w:type="dxa"/>
            <w:vAlign w:val="bottom"/>
            <w:tcBorders>
              <w:bottom w:val="single" w:sz="8" w:color="0000FF"/>
            </w:tcBorders>
            <w:gridSpan w:val="12"/>
          </w:tcPr>
          <w:p>
            <w:pPr>
              <w:spacing w:after="0"/>
              <w:rPr>
                <w:sz w:val="20"/>
                <w:szCs w:val="20"/>
                <w:color w:val="auto"/>
              </w:rPr>
            </w:pPr>
            <w:r>
              <w:rPr>
                <w:rFonts w:ascii="Arial" w:cs="Arial" w:eastAsia="Arial" w:hAnsi="Arial"/>
                <w:sz w:val="14"/>
                <w:szCs w:val="14"/>
                <w:color w:val="0000FF"/>
              </w:rPr>
              <w:t>Notes to Unaudited Condensed Consolidated Financial Statements</w:t>
            </w:r>
          </w:p>
        </w:tc>
        <w:tc>
          <w:tcPr>
            <w:tcW w:w="4740" w:type="dxa"/>
            <w:vAlign w:val="bottom"/>
            <w:gridSpan w:val="7"/>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9</w:t>
            </w:r>
          </w:p>
        </w:tc>
      </w:tr>
      <w:tr>
        <w:trPr>
          <w:trHeight w:val="196"/>
        </w:trPr>
        <w:tc>
          <w:tcPr>
            <w:tcW w:w="800" w:type="dxa"/>
            <w:vAlign w:val="bottom"/>
            <w:gridSpan w:val="4"/>
          </w:tcPr>
          <w:p>
            <w:pPr>
              <w:spacing w:after="0"/>
              <w:rPr>
                <w:sz w:val="20"/>
                <w:szCs w:val="20"/>
                <w:color w:val="auto"/>
              </w:rPr>
            </w:pPr>
            <w:r>
              <w:rPr>
                <w:rFonts w:ascii="Arial" w:cs="Arial" w:eastAsia="Arial" w:hAnsi="Arial"/>
                <w:sz w:val="14"/>
                <w:szCs w:val="14"/>
                <w:color w:val="0000FF"/>
              </w:rPr>
              <w:t>Item 2.</w:t>
            </w:r>
          </w:p>
        </w:tc>
        <w:tc>
          <w:tcPr>
            <w:tcW w:w="9020" w:type="dxa"/>
            <w:vAlign w:val="bottom"/>
            <w:gridSpan w:val="19"/>
          </w:tcPr>
          <w:p>
            <w:pPr>
              <w:spacing w:after="0"/>
              <w:rPr>
                <w:sz w:val="20"/>
                <w:szCs w:val="20"/>
                <w:color w:val="auto"/>
              </w:rPr>
            </w:pPr>
            <w:r>
              <w:rPr>
                <w:rFonts w:ascii="Arial" w:cs="Arial" w:eastAsia="Arial" w:hAnsi="Arial"/>
                <w:sz w:val="14"/>
                <w:szCs w:val="14"/>
                <w:color w:val="0000FF"/>
              </w:rPr>
              <w:t>Management's Discussion and Analysis of Financial Condition and Results of Operations</w:t>
            </w:r>
          </w:p>
        </w:tc>
        <w:tc>
          <w:tcPr>
            <w:tcW w:w="1140" w:type="dxa"/>
            <w:vAlign w:val="bottom"/>
          </w:tcPr>
          <w:p>
            <w:pPr>
              <w:jc w:val="right"/>
              <w:spacing w:after="0"/>
              <w:rPr>
                <w:sz w:val="20"/>
                <w:szCs w:val="20"/>
                <w:color w:val="auto"/>
              </w:rPr>
            </w:pPr>
            <w:r>
              <w:rPr>
                <w:rFonts w:ascii="Arial" w:cs="Arial" w:eastAsia="Arial" w:hAnsi="Arial"/>
                <w:sz w:val="14"/>
                <w:szCs w:val="14"/>
                <w:color w:val="auto"/>
              </w:rPr>
              <w:t>20</w:t>
            </w:r>
          </w:p>
        </w:tc>
      </w:tr>
      <w:tr>
        <w:trPr>
          <w:trHeight w:val="20"/>
        </w:trPr>
        <w:tc>
          <w:tcPr>
            <w:tcW w:w="4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172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780" w:type="dxa"/>
            <w:vAlign w:val="bottom"/>
            <w:gridSpan w:val="2"/>
            <w:shd w:val="clear" w:color="auto" w:fill="0000FF"/>
          </w:tcPr>
          <w:p>
            <w:pPr>
              <w:spacing w:after="0" w:line="20" w:lineRule="exact"/>
              <w:rPr>
                <w:sz w:val="1"/>
                <w:szCs w:val="1"/>
                <w:color w:val="auto"/>
              </w:rPr>
            </w:pPr>
          </w:p>
        </w:tc>
        <w:tc>
          <w:tcPr>
            <w:tcW w:w="3360" w:type="dxa"/>
            <w:vAlign w:val="bottom"/>
            <w:gridSpan w:val="6"/>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800" w:type="dxa"/>
            <w:vAlign w:val="bottom"/>
            <w:gridSpan w:val="4"/>
          </w:tcPr>
          <w:p>
            <w:pPr>
              <w:spacing w:after="0"/>
              <w:rPr>
                <w:sz w:val="20"/>
                <w:szCs w:val="20"/>
                <w:color w:val="auto"/>
              </w:rPr>
            </w:pPr>
            <w:r>
              <w:rPr>
                <w:rFonts w:ascii="Arial" w:cs="Arial" w:eastAsia="Arial" w:hAnsi="Arial"/>
                <w:sz w:val="14"/>
                <w:szCs w:val="14"/>
                <w:color w:val="0000FF"/>
              </w:rPr>
              <w:t>Item 3.</w:t>
            </w:r>
          </w:p>
        </w:tc>
        <w:tc>
          <w:tcPr>
            <w:tcW w:w="9020" w:type="dxa"/>
            <w:vAlign w:val="bottom"/>
            <w:gridSpan w:val="19"/>
          </w:tcPr>
          <w:p>
            <w:pPr>
              <w:spacing w:after="0"/>
              <w:rPr>
                <w:sz w:val="20"/>
                <w:szCs w:val="20"/>
                <w:color w:val="auto"/>
              </w:rPr>
            </w:pPr>
            <w:r>
              <w:rPr>
                <w:rFonts w:ascii="Arial" w:cs="Arial" w:eastAsia="Arial" w:hAnsi="Arial"/>
                <w:sz w:val="14"/>
                <w:szCs w:val="14"/>
                <w:color w:val="0000FF"/>
              </w:rPr>
              <w:t>Quantitative and Qualitative Disclosures About Market Risk</w:t>
            </w:r>
          </w:p>
        </w:tc>
        <w:tc>
          <w:tcPr>
            <w:tcW w:w="1140" w:type="dxa"/>
            <w:vAlign w:val="bottom"/>
          </w:tcPr>
          <w:p>
            <w:pPr>
              <w:jc w:val="right"/>
              <w:spacing w:after="0"/>
              <w:rPr>
                <w:sz w:val="20"/>
                <w:szCs w:val="20"/>
                <w:color w:val="auto"/>
              </w:rPr>
            </w:pPr>
            <w:r>
              <w:rPr>
                <w:rFonts w:ascii="Arial" w:cs="Arial" w:eastAsia="Arial" w:hAnsi="Arial"/>
                <w:sz w:val="14"/>
                <w:szCs w:val="14"/>
                <w:color w:val="auto"/>
              </w:rPr>
              <w:t>33</w:t>
            </w:r>
          </w:p>
        </w:tc>
      </w:tr>
      <w:tr>
        <w:trPr>
          <w:trHeight w:val="20"/>
        </w:trPr>
        <w:tc>
          <w:tcPr>
            <w:tcW w:w="4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172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140" w:type="dxa"/>
            <w:vAlign w:val="bottom"/>
            <w:gridSpan w:val="8"/>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800" w:type="dxa"/>
            <w:vAlign w:val="bottom"/>
            <w:gridSpan w:val="4"/>
          </w:tcPr>
          <w:p>
            <w:pPr>
              <w:spacing w:after="0"/>
              <w:rPr>
                <w:sz w:val="20"/>
                <w:szCs w:val="20"/>
                <w:color w:val="auto"/>
              </w:rPr>
            </w:pPr>
            <w:r>
              <w:rPr>
                <w:rFonts w:ascii="Arial" w:cs="Arial" w:eastAsia="Arial" w:hAnsi="Arial"/>
                <w:sz w:val="14"/>
                <w:szCs w:val="14"/>
                <w:color w:val="0000FF"/>
              </w:rPr>
              <w:t>Item 4.</w:t>
            </w:r>
          </w:p>
        </w:tc>
        <w:tc>
          <w:tcPr>
            <w:tcW w:w="9020" w:type="dxa"/>
            <w:vAlign w:val="bottom"/>
            <w:gridSpan w:val="19"/>
          </w:tcPr>
          <w:p>
            <w:pPr>
              <w:spacing w:after="0"/>
              <w:rPr>
                <w:sz w:val="20"/>
                <w:szCs w:val="20"/>
                <w:color w:val="auto"/>
              </w:rPr>
            </w:pPr>
            <w:r>
              <w:rPr>
                <w:rFonts w:ascii="Arial" w:cs="Arial" w:eastAsia="Arial" w:hAnsi="Arial"/>
                <w:sz w:val="14"/>
                <w:szCs w:val="14"/>
                <w:color w:val="0000FF"/>
              </w:rPr>
              <w:t>Controls and Procedures</w:t>
            </w:r>
          </w:p>
        </w:tc>
        <w:tc>
          <w:tcPr>
            <w:tcW w:w="1140" w:type="dxa"/>
            <w:vAlign w:val="bottom"/>
          </w:tcPr>
          <w:p>
            <w:pPr>
              <w:jc w:val="right"/>
              <w:spacing w:after="0"/>
              <w:rPr>
                <w:sz w:val="20"/>
                <w:szCs w:val="20"/>
                <w:color w:val="auto"/>
              </w:rPr>
            </w:pPr>
            <w:r>
              <w:rPr>
                <w:rFonts w:ascii="Arial" w:cs="Arial" w:eastAsia="Arial" w:hAnsi="Arial"/>
                <w:sz w:val="14"/>
                <w:szCs w:val="14"/>
                <w:color w:val="auto"/>
              </w:rPr>
              <w:t>34</w:t>
            </w:r>
          </w:p>
        </w:tc>
      </w:tr>
      <w:tr>
        <w:trPr>
          <w:trHeight w:val="20"/>
        </w:trPr>
        <w:tc>
          <w:tcPr>
            <w:tcW w:w="4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5140" w:type="dxa"/>
            <w:vAlign w:val="bottom"/>
            <w:gridSpan w:val="8"/>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9820" w:type="dxa"/>
            <w:vAlign w:val="bottom"/>
            <w:gridSpan w:val="23"/>
          </w:tcPr>
          <w:p>
            <w:pPr>
              <w:spacing w:after="0"/>
              <w:rPr>
                <w:sz w:val="20"/>
                <w:szCs w:val="20"/>
                <w:color w:val="auto"/>
              </w:rPr>
            </w:pPr>
            <w:r>
              <w:rPr>
                <w:rFonts w:ascii="Arial" w:cs="Arial" w:eastAsia="Arial" w:hAnsi="Arial"/>
                <w:sz w:val="14"/>
                <w:szCs w:val="14"/>
                <w:b w:val="1"/>
                <w:bCs w:val="1"/>
                <w:color w:val="0000FF"/>
              </w:rPr>
              <w:t>Part II. Other Information</w:t>
            </w:r>
          </w:p>
        </w:tc>
        <w:tc>
          <w:tcPr>
            <w:tcW w:w="1140" w:type="dxa"/>
            <w:vAlign w:val="bottom"/>
          </w:tcPr>
          <w:p>
            <w:pPr>
              <w:jc w:val="right"/>
              <w:spacing w:after="0"/>
              <w:rPr>
                <w:sz w:val="20"/>
                <w:szCs w:val="20"/>
                <w:color w:val="auto"/>
              </w:rPr>
            </w:pPr>
            <w:r>
              <w:rPr>
                <w:rFonts w:ascii="Arial" w:cs="Arial" w:eastAsia="Arial" w:hAnsi="Arial"/>
                <w:sz w:val="14"/>
                <w:szCs w:val="14"/>
                <w:color w:val="auto"/>
              </w:rPr>
              <w:t>35</w:t>
            </w: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5140" w:type="dxa"/>
            <w:vAlign w:val="bottom"/>
            <w:gridSpan w:val="8"/>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540" w:type="dxa"/>
            <w:vAlign w:val="bottom"/>
            <w:tcBorders>
              <w:bottom w:val="single" w:sz="8" w:color="0000FF"/>
            </w:tcBorders>
            <w:gridSpan w:val="2"/>
          </w:tcPr>
          <w:p>
            <w:pPr>
              <w:spacing w:after="0"/>
              <w:rPr>
                <w:sz w:val="20"/>
                <w:szCs w:val="20"/>
                <w:color w:val="auto"/>
              </w:rPr>
            </w:pPr>
            <w:r>
              <w:rPr>
                <w:rFonts w:ascii="Arial" w:cs="Arial" w:eastAsia="Arial" w:hAnsi="Arial"/>
                <w:sz w:val="14"/>
                <w:szCs w:val="14"/>
                <w:color w:val="0000FF"/>
              </w:rPr>
              <w:t>Item 1.</w:t>
            </w:r>
          </w:p>
        </w:tc>
        <w:tc>
          <w:tcPr>
            <w:tcW w:w="260" w:type="dxa"/>
            <w:vAlign w:val="bottom"/>
            <w:gridSpan w:val="2"/>
          </w:tcPr>
          <w:p>
            <w:pPr>
              <w:spacing w:after="0"/>
              <w:rPr>
                <w:sz w:val="17"/>
                <w:szCs w:val="17"/>
                <w:color w:val="auto"/>
              </w:rPr>
            </w:pPr>
          </w:p>
        </w:tc>
        <w:tc>
          <w:tcPr>
            <w:tcW w:w="1200" w:type="dxa"/>
            <w:vAlign w:val="bottom"/>
            <w:tcBorders>
              <w:bottom w:val="single" w:sz="8" w:color="0000FF"/>
            </w:tcBorders>
            <w:gridSpan w:val="6"/>
          </w:tcPr>
          <w:p>
            <w:pPr>
              <w:spacing w:after="0"/>
              <w:rPr>
                <w:sz w:val="20"/>
                <w:szCs w:val="20"/>
                <w:color w:val="auto"/>
              </w:rPr>
            </w:pPr>
            <w:r>
              <w:rPr>
                <w:rFonts w:ascii="Arial" w:cs="Arial" w:eastAsia="Arial" w:hAnsi="Arial"/>
                <w:sz w:val="14"/>
                <w:szCs w:val="14"/>
                <w:color w:val="0000FF"/>
              </w:rPr>
              <w:t>Legal Proceedings</w:t>
            </w:r>
          </w:p>
        </w:tc>
        <w:tc>
          <w:tcPr>
            <w:tcW w:w="7820" w:type="dxa"/>
            <w:vAlign w:val="bottom"/>
            <w:gridSpan w:val="13"/>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35</w:t>
            </w:r>
          </w:p>
        </w:tc>
      </w:tr>
      <w:tr>
        <w:trPr>
          <w:trHeight w:val="196"/>
        </w:trPr>
        <w:tc>
          <w:tcPr>
            <w:tcW w:w="800" w:type="dxa"/>
            <w:vAlign w:val="bottom"/>
            <w:gridSpan w:val="4"/>
          </w:tcPr>
          <w:p>
            <w:pPr>
              <w:spacing w:after="0"/>
              <w:rPr>
                <w:sz w:val="20"/>
                <w:szCs w:val="20"/>
                <w:color w:val="auto"/>
              </w:rPr>
            </w:pPr>
            <w:r>
              <w:rPr>
                <w:rFonts w:ascii="Arial" w:cs="Arial" w:eastAsia="Arial" w:hAnsi="Arial"/>
                <w:sz w:val="14"/>
                <w:szCs w:val="14"/>
                <w:color w:val="0000FF"/>
              </w:rPr>
              <w:t>Item 1A.</w:t>
            </w:r>
          </w:p>
        </w:tc>
        <w:tc>
          <w:tcPr>
            <w:tcW w:w="9020" w:type="dxa"/>
            <w:vAlign w:val="bottom"/>
            <w:gridSpan w:val="19"/>
          </w:tcPr>
          <w:p>
            <w:pPr>
              <w:spacing w:after="0"/>
              <w:rPr>
                <w:sz w:val="20"/>
                <w:szCs w:val="20"/>
                <w:color w:val="auto"/>
              </w:rPr>
            </w:pPr>
            <w:r>
              <w:rPr>
                <w:rFonts w:ascii="Arial" w:cs="Arial" w:eastAsia="Arial" w:hAnsi="Arial"/>
                <w:sz w:val="14"/>
                <w:szCs w:val="14"/>
                <w:color w:val="0000FF"/>
              </w:rPr>
              <w:t>Risk Factors</w:t>
            </w:r>
          </w:p>
        </w:tc>
        <w:tc>
          <w:tcPr>
            <w:tcW w:w="1140" w:type="dxa"/>
            <w:vAlign w:val="bottom"/>
          </w:tcPr>
          <w:p>
            <w:pPr>
              <w:jc w:val="right"/>
              <w:spacing w:after="0"/>
              <w:rPr>
                <w:sz w:val="20"/>
                <w:szCs w:val="20"/>
                <w:color w:val="auto"/>
              </w:rPr>
            </w:pPr>
            <w:r>
              <w:rPr>
                <w:rFonts w:ascii="Arial" w:cs="Arial" w:eastAsia="Arial" w:hAnsi="Arial"/>
                <w:sz w:val="14"/>
                <w:szCs w:val="14"/>
                <w:color w:val="auto"/>
              </w:rPr>
              <w:t>35</w:t>
            </w: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5140" w:type="dxa"/>
            <w:vAlign w:val="bottom"/>
            <w:gridSpan w:val="8"/>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540" w:type="dxa"/>
            <w:vAlign w:val="bottom"/>
            <w:gridSpan w:val="2"/>
          </w:tcPr>
          <w:p>
            <w:pPr>
              <w:spacing w:after="0"/>
              <w:rPr>
                <w:sz w:val="20"/>
                <w:szCs w:val="20"/>
                <w:color w:val="auto"/>
              </w:rPr>
            </w:pPr>
            <w:r>
              <w:rPr>
                <w:rFonts w:ascii="Arial" w:cs="Arial" w:eastAsia="Arial" w:hAnsi="Arial"/>
                <w:sz w:val="14"/>
                <w:szCs w:val="14"/>
                <w:color w:val="0000FF"/>
              </w:rPr>
              <w:t>Item 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20" w:type="dxa"/>
            <w:vAlign w:val="bottom"/>
            <w:gridSpan w:val="19"/>
          </w:tcPr>
          <w:p>
            <w:pPr>
              <w:spacing w:after="0"/>
              <w:rPr>
                <w:sz w:val="20"/>
                <w:szCs w:val="20"/>
                <w:color w:val="auto"/>
              </w:rPr>
            </w:pPr>
            <w:r>
              <w:rPr>
                <w:rFonts w:ascii="Arial" w:cs="Arial" w:eastAsia="Arial" w:hAnsi="Arial"/>
                <w:sz w:val="14"/>
                <w:szCs w:val="14"/>
                <w:color w:val="0000FF"/>
              </w:rPr>
              <w:t>Unregistered Sales of Equity Securities and Use of Proceeds</w:t>
            </w:r>
          </w:p>
        </w:tc>
        <w:tc>
          <w:tcPr>
            <w:tcW w:w="1140" w:type="dxa"/>
            <w:vAlign w:val="bottom"/>
          </w:tcPr>
          <w:p>
            <w:pPr>
              <w:jc w:val="right"/>
              <w:spacing w:after="0"/>
              <w:rPr>
                <w:sz w:val="20"/>
                <w:szCs w:val="20"/>
                <w:color w:val="auto"/>
              </w:rPr>
            </w:pPr>
            <w:r>
              <w:rPr>
                <w:rFonts w:ascii="Arial" w:cs="Arial" w:eastAsia="Arial" w:hAnsi="Arial"/>
                <w:sz w:val="14"/>
                <w:szCs w:val="14"/>
                <w:color w:val="auto"/>
              </w:rPr>
              <w:t>72</w:t>
            </w:r>
          </w:p>
        </w:tc>
      </w:tr>
      <w:tr>
        <w:trPr>
          <w:trHeight w:val="196"/>
        </w:trPr>
        <w:tc>
          <w:tcPr>
            <w:tcW w:w="700" w:type="dxa"/>
            <w:vAlign w:val="bottom"/>
            <w:tcBorders>
              <w:top w:val="single" w:sz="8" w:color="0000FF"/>
            </w:tcBorders>
            <w:gridSpan w:val="3"/>
          </w:tcPr>
          <w:p>
            <w:pPr>
              <w:spacing w:after="0"/>
              <w:rPr>
                <w:sz w:val="20"/>
                <w:szCs w:val="20"/>
                <w:color w:val="auto"/>
              </w:rPr>
            </w:pPr>
            <w:r>
              <w:rPr>
                <w:rFonts w:ascii="Arial" w:cs="Arial" w:eastAsia="Arial" w:hAnsi="Arial"/>
                <w:sz w:val="14"/>
                <w:szCs w:val="14"/>
                <w:color w:val="0000FF"/>
              </w:rPr>
              <w:t>Item 3.</w:t>
            </w:r>
          </w:p>
        </w:tc>
        <w:tc>
          <w:tcPr>
            <w:tcW w:w="100" w:type="dxa"/>
            <w:vAlign w:val="bottom"/>
          </w:tcPr>
          <w:p>
            <w:pPr>
              <w:spacing w:after="0"/>
              <w:rPr>
                <w:sz w:val="17"/>
                <w:szCs w:val="17"/>
                <w:color w:val="auto"/>
              </w:rPr>
            </w:pPr>
          </w:p>
        </w:tc>
        <w:tc>
          <w:tcPr>
            <w:tcW w:w="3880" w:type="dxa"/>
            <w:vAlign w:val="bottom"/>
            <w:tcBorders>
              <w:top w:val="single" w:sz="8" w:color="0000FF"/>
            </w:tcBorders>
            <w:gridSpan w:val="11"/>
          </w:tcPr>
          <w:p>
            <w:pPr>
              <w:spacing w:after="0"/>
              <w:rPr>
                <w:sz w:val="20"/>
                <w:szCs w:val="20"/>
                <w:color w:val="auto"/>
              </w:rPr>
            </w:pPr>
            <w:r>
              <w:rPr>
                <w:rFonts w:ascii="Arial" w:cs="Arial" w:eastAsia="Arial" w:hAnsi="Arial"/>
                <w:sz w:val="14"/>
                <w:szCs w:val="14"/>
                <w:color w:val="0000FF"/>
              </w:rPr>
              <w:t>Defaults Upon Senior Securities</w:t>
            </w:r>
          </w:p>
        </w:tc>
        <w:tc>
          <w:tcPr>
            <w:tcW w:w="5140" w:type="dxa"/>
            <w:vAlign w:val="bottom"/>
            <w:gridSpan w:val="8"/>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72</w:t>
            </w:r>
          </w:p>
        </w:tc>
      </w:tr>
      <w:tr>
        <w:trPr>
          <w:trHeight w:val="20"/>
        </w:trPr>
        <w:tc>
          <w:tcPr>
            <w:tcW w:w="440" w:type="dxa"/>
            <w:vAlign w:val="bottom"/>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20" w:type="dxa"/>
            <w:vAlign w:val="bottom"/>
            <w:gridSpan w:val="4"/>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6980" w:type="dxa"/>
            <w:vAlign w:val="bottom"/>
            <w:gridSpan w:val="11"/>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800" w:type="dxa"/>
            <w:vAlign w:val="bottom"/>
            <w:gridSpan w:val="4"/>
          </w:tcPr>
          <w:p>
            <w:pPr>
              <w:spacing w:after="0"/>
              <w:rPr>
                <w:sz w:val="20"/>
                <w:szCs w:val="20"/>
                <w:color w:val="auto"/>
              </w:rPr>
            </w:pPr>
            <w:r>
              <w:rPr>
                <w:rFonts w:ascii="Arial" w:cs="Arial" w:eastAsia="Arial" w:hAnsi="Arial"/>
                <w:sz w:val="14"/>
                <w:szCs w:val="14"/>
                <w:color w:val="0000FF"/>
              </w:rPr>
              <w:t>Item 4.</w:t>
            </w:r>
          </w:p>
        </w:tc>
        <w:tc>
          <w:tcPr>
            <w:tcW w:w="9020" w:type="dxa"/>
            <w:vAlign w:val="bottom"/>
            <w:gridSpan w:val="19"/>
          </w:tcPr>
          <w:p>
            <w:pPr>
              <w:spacing w:after="0"/>
              <w:rPr>
                <w:sz w:val="20"/>
                <w:szCs w:val="20"/>
                <w:color w:val="auto"/>
              </w:rPr>
            </w:pPr>
            <w:r>
              <w:rPr>
                <w:rFonts w:ascii="Arial" w:cs="Arial" w:eastAsia="Arial" w:hAnsi="Arial"/>
                <w:sz w:val="14"/>
                <w:szCs w:val="14"/>
                <w:color w:val="0000FF"/>
              </w:rPr>
              <w:t>Mine Safety Disclosures</w:t>
            </w:r>
          </w:p>
        </w:tc>
        <w:tc>
          <w:tcPr>
            <w:tcW w:w="1140" w:type="dxa"/>
            <w:vAlign w:val="bottom"/>
          </w:tcPr>
          <w:p>
            <w:pPr>
              <w:jc w:val="right"/>
              <w:spacing w:after="0"/>
              <w:rPr>
                <w:sz w:val="20"/>
                <w:szCs w:val="20"/>
                <w:color w:val="auto"/>
              </w:rPr>
            </w:pPr>
            <w:r>
              <w:rPr>
                <w:rFonts w:ascii="Arial" w:cs="Arial" w:eastAsia="Arial" w:hAnsi="Arial"/>
                <w:sz w:val="14"/>
                <w:szCs w:val="14"/>
                <w:color w:val="auto"/>
              </w:rPr>
              <w:t>72</w:t>
            </w:r>
          </w:p>
        </w:tc>
      </w:tr>
      <w:tr>
        <w:trPr>
          <w:trHeight w:val="20"/>
        </w:trPr>
        <w:tc>
          <w:tcPr>
            <w:tcW w:w="440" w:type="dxa"/>
            <w:vAlign w:val="bottom"/>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20" w:type="dxa"/>
            <w:vAlign w:val="bottom"/>
            <w:gridSpan w:val="4"/>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7480" w:type="dxa"/>
            <w:vAlign w:val="bottom"/>
            <w:gridSpan w:val="1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800" w:type="dxa"/>
            <w:vAlign w:val="bottom"/>
            <w:gridSpan w:val="4"/>
          </w:tcPr>
          <w:p>
            <w:pPr>
              <w:spacing w:after="0"/>
              <w:rPr>
                <w:sz w:val="20"/>
                <w:szCs w:val="20"/>
                <w:color w:val="auto"/>
              </w:rPr>
            </w:pPr>
            <w:r>
              <w:rPr>
                <w:rFonts w:ascii="Arial" w:cs="Arial" w:eastAsia="Arial" w:hAnsi="Arial"/>
                <w:sz w:val="14"/>
                <w:szCs w:val="14"/>
                <w:color w:val="0000FF"/>
              </w:rPr>
              <w:t>Item 5.</w:t>
            </w:r>
          </w:p>
        </w:tc>
        <w:tc>
          <w:tcPr>
            <w:tcW w:w="9020" w:type="dxa"/>
            <w:vAlign w:val="bottom"/>
            <w:gridSpan w:val="19"/>
          </w:tcPr>
          <w:p>
            <w:pPr>
              <w:spacing w:after="0"/>
              <w:rPr>
                <w:sz w:val="20"/>
                <w:szCs w:val="20"/>
                <w:color w:val="auto"/>
              </w:rPr>
            </w:pPr>
            <w:r>
              <w:rPr>
                <w:rFonts w:ascii="Arial" w:cs="Arial" w:eastAsia="Arial" w:hAnsi="Arial"/>
                <w:sz w:val="14"/>
                <w:szCs w:val="14"/>
                <w:color w:val="0000FF"/>
              </w:rPr>
              <w:t>Other Information</w:t>
            </w:r>
          </w:p>
        </w:tc>
        <w:tc>
          <w:tcPr>
            <w:tcW w:w="1140" w:type="dxa"/>
            <w:vAlign w:val="bottom"/>
          </w:tcPr>
          <w:p>
            <w:pPr>
              <w:jc w:val="right"/>
              <w:spacing w:after="0"/>
              <w:rPr>
                <w:sz w:val="20"/>
                <w:szCs w:val="20"/>
                <w:color w:val="auto"/>
              </w:rPr>
            </w:pPr>
            <w:r>
              <w:rPr>
                <w:rFonts w:ascii="Arial" w:cs="Arial" w:eastAsia="Arial" w:hAnsi="Arial"/>
                <w:sz w:val="14"/>
                <w:szCs w:val="14"/>
                <w:color w:val="auto"/>
              </w:rPr>
              <w:t>72</w:t>
            </w:r>
          </w:p>
        </w:tc>
      </w:tr>
      <w:tr>
        <w:trPr>
          <w:trHeight w:val="20"/>
        </w:trPr>
        <w:tc>
          <w:tcPr>
            <w:tcW w:w="440" w:type="dxa"/>
            <w:vAlign w:val="bottom"/>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20" w:type="dxa"/>
            <w:vAlign w:val="bottom"/>
            <w:gridSpan w:val="4"/>
            <w:shd w:val="clear" w:color="auto" w:fill="0000FF"/>
          </w:tcPr>
          <w:p>
            <w:pPr>
              <w:spacing w:after="0" w:line="20" w:lineRule="exact"/>
              <w:rPr>
                <w:sz w:val="1"/>
                <w:szCs w:val="1"/>
                <w:color w:val="auto"/>
              </w:rPr>
            </w:pPr>
          </w:p>
        </w:tc>
        <w:tc>
          <w:tcPr>
            <w:tcW w:w="7900" w:type="dxa"/>
            <w:vAlign w:val="bottom"/>
            <w:gridSpan w:val="14"/>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800" w:type="dxa"/>
            <w:vAlign w:val="bottom"/>
            <w:gridSpan w:val="4"/>
          </w:tcPr>
          <w:p>
            <w:pPr>
              <w:spacing w:after="0"/>
              <w:rPr>
                <w:sz w:val="20"/>
                <w:szCs w:val="20"/>
                <w:color w:val="auto"/>
              </w:rPr>
            </w:pPr>
            <w:r>
              <w:rPr>
                <w:rFonts w:ascii="Arial" w:cs="Arial" w:eastAsia="Arial" w:hAnsi="Arial"/>
                <w:sz w:val="14"/>
                <w:szCs w:val="14"/>
                <w:color w:val="0000FF"/>
              </w:rPr>
              <w:t>Item 6.</w:t>
            </w:r>
          </w:p>
        </w:tc>
        <w:tc>
          <w:tcPr>
            <w:tcW w:w="9020" w:type="dxa"/>
            <w:vAlign w:val="bottom"/>
            <w:gridSpan w:val="19"/>
          </w:tcPr>
          <w:p>
            <w:pPr>
              <w:spacing w:after="0"/>
              <w:rPr>
                <w:sz w:val="20"/>
                <w:szCs w:val="20"/>
                <w:color w:val="auto"/>
              </w:rPr>
            </w:pPr>
            <w:r>
              <w:rPr>
                <w:rFonts w:ascii="Arial" w:cs="Arial" w:eastAsia="Arial" w:hAnsi="Arial"/>
                <w:sz w:val="14"/>
                <w:szCs w:val="14"/>
                <w:color w:val="0000FF"/>
              </w:rPr>
              <w:t>Exhibits</w:t>
            </w:r>
          </w:p>
        </w:tc>
        <w:tc>
          <w:tcPr>
            <w:tcW w:w="1140" w:type="dxa"/>
            <w:vAlign w:val="bottom"/>
          </w:tcPr>
          <w:p>
            <w:pPr>
              <w:jc w:val="right"/>
              <w:spacing w:after="0"/>
              <w:rPr>
                <w:sz w:val="20"/>
                <w:szCs w:val="20"/>
                <w:color w:val="auto"/>
              </w:rPr>
            </w:pPr>
            <w:r>
              <w:rPr>
                <w:rFonts w:ascii="Arial" w:cs="Arial" w:eastAsia="Arial" w:hAnsi="Arial"/>
                <w:sz w:val="14"/>
                <w:szCs w:val="14"/>
                <w:color w:val="auto"/>
              </w:rPr>
              <w:t>73</w:t>
            </w:r>
          </w:p>
        </w:tc>
      </w:tr>
      <w:tr>
        <w:trPr>
          <w:trHeight w:val="20"/>
        </w:trPr>
        <w:tc>
          <w:tcPr>
            <w:tcW w:w="440" w:type="dxa"/>
            <w:vAlign w:val="bottom"/>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700" w:type="dxa"/>
            <w:vAlign w:val="bottom"/>
            <w:tcBorders>
              <w:bottom w:val="single" w:sz="8" w:color="0000FF"/>
            </w:tcBorders>
            <w:gridSpan w:val="3"/>
          </w:tcPr>
          <w:p>
            <w:pPr>
              <w:spacing w:after="0"/>
              <w:rPr>
                <w:sz w:val="20"/>
                <w:szCs w:val="20"/>
                <w:color w:val="auto"/>
              </w:rPr>
            </w:pPr>
            <w:r>
              <w:rPr>
                <w:rFonts w:ascii="Arial" w:cs="Arial" w:eastAsia="Arial" w:hAnsi="Arial"/>
                <w:sz w:val="14"/>
                <w:szCs w:val="14"/>
                <w:color w:val="0000FF"/>
              </w:rPr>
              <w:t>Signatures</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74</w:t>
            </w:r>
          </w:p>
        </w:tc>
      </w:tr>
    </w:tbl>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35" w:right="479" w:bottom="1440" w:gutter="0" w:footer="0" w:header="0"/>
        </w:sectPr>
      </w:pPr>
    </w:p>
    <w:bookmarkStart w:id="2" w:name="page3"/>
    <w:bookmarkEnd w:id="2"/>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Arteris,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 except share and per share data)</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4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3"/>
          </w:tcPr>
          <w:p>
            <w:pPr>
              <w:jc w:val="right"/>
              <w:ind w:right="41"/>
              <w:spacing w:after="0"/>
              <w:rPr>
                <w:sz w:val="20"/>
                <w:szCs w:val="20"/>
                <w:color w:val="auto"/>
              </w:rPr>
            </w:pPr>
            <w:r>
              <w:rPr>
                <w:rFonts w:ascii="Arial" w:cs="Arial" w:eastAsia="Arial" w:hAnsi="Arial"/>
                <w:sz w:val="16"/>
                <w:szCs w:val="16"/>
                <w:b w:val="1"/>
                <w:bCs w:val="1"/>
                <w:color w:val="auto"/>
              </w:rPr>
              <w:t>As of</w:t>
            </w:r>
          </w:p>
        </w:tc>
        <w:tc>
          <w:tcPr>
            <w:tcW w:w="16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7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20" w:type="dxa"/>
            <w:vAlign w:val="bottom"/>
            <w:gridSpan w:val="2"/>
          </w:tcPr>
          <w:p>
            <w:pPr>
              <w:ind w:left="140"/>
              <w:spacing w:after="0" w:line="155" w:lineRule="exact"/>
              <w:rPr>
                <w:sz w:val="20"/>
                <w:szCs w:val="20"/>
                <w:color w:val="auto"/>
              </w:rPr>
            </w:pPr>
            <w:r>
              <w:rPr>
                <w:rFonts w:ascii="Arial" w:cs="Arial" w:eastAsia="Arial" w:hAnsi="Arial"/>
                <w:sz w:val="16"/>
                <w:szCs w:val="16"/>
                <w:b w:val="1"/>
                <w:bCs w:val="1"/>
                <w:color w:val="auto"/>
              </w:rPr>
              <w:t>September 30,</w:t>
            </w:r>
          </w:p>
        </w:tc>
        <w:tc>
          <w:tcPr>
            <w:tcW w:w="280" w:type="dxa"/>
            <w:vAlign w:val="bottom"/>
          </w:tcPr>
          <w:p>
            <w:pPr>
              <w:spacing w:after="0"/>
              <w:rPr>
                <w:sz w:val="13"/>
                <w:szCs w:val="13"/>
                <w:color w:val="auto"/>
              </w:rPr>
            </w:pPr>
          </w:p>
        </w:tc>
        <w:tc>
          <w:tcPr>
            <w:tcW w:w="1600" w:type="dxa"/>
            <w:vAlign w:val="bottom"/>
          </w:tcPr>
          <w:p>
            <w:pPr>
              <w:jc w:val="right"/>
              <w:ind w:right="361"/>
              <w:spacing w:after="0" w:line="155" w:lineRule="exact"/>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03"/>
        </w:trPr>
        <w:tc>
          <w:tcPr>
            <w:tcW w:w="74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661"/>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681"/>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34"/>
        </w:trPr>
        <w:tc>
          <w:tcPr>
            <w:tcW w:w="7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40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2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17,829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13,696</w:t>
            </w:r>
          </w:p>
        </w:tc>
        <w:tc>
          <w:tcPr>
            <w:tcW w:w="0" w:type="dxa"/>
            <w:vAlign w:val="bottom"/>
          </w:tcPr>
          <w:p>
            <w:pPr>
              <w:spacing w:after="0"/>
              <w:rPr>
                <w:sz w:val="1"/>
                <w:szCs w:val="1"/>
                <w:color w:val="auto"/>
              </w:rPr>
            </w:pPr>
          </w:p>
        </w:tc>
      </w:tr>
      <w:tr>
        <w:trPr>
          <w:trHeight w:val="214"/>
        </w:trPr>
        <w:tc>
          <w:tcPr>
            <w:tcW w:w="7400" w:type="dxa"/>
            <w:vAlign w:val="bottom"/>
          </w:tcPr>
          <w:p>
            <w:pPr>
              <w:ind w:left="20"/>
              <w:spacing w:after="0"/>
              <w:rPr>
                <w:sz w:val="20"/>
                <w:szCs w:val="20"/>
                <w:color w:val="auto"/>
              </w:rPr>
            </w:pPr>
            <w:r>
              <w:rPr>
                <w:rFonts w:ascii="Arial" w:cs="Arial" w:eastAsia="Arial" w:hAnsi="Arial"/>
                <w:sz w:val="16"/>
                <w:szCs w:val="16"/>
                <w:color w:val="auto"/>
              </w:rPr>
              <w:t>Short-term investments (Note 5)</w:t>
            </w:r>
          </w:p>
        </w:tc>
        <w:tc>
          <w:tcPr>
            <w:tcW w:w="2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30,840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jc w:val="right"/>
              <w:ind w:right="1"/>
              <w:spacing w:after="0"/>
              <w:rPr>
                <w:sz w:val="20"/>
                <w:szCs w:val="20"/>
                <w:color w:val="auto"/>
              </w:rPr>
            </w:pPr>
            <w:r>
              <w:rPr>
                <w:rFonts w:ascii="Arial" w:cs="Arial" w:eastAsia="Arial" w:hAnsi="Arial"/>
                <w:sz w:val="16"/>
                <w:szCs w:val="16"/>
                <w:color w:val="auto"/>
              </w:rPr>
              <w:t>27,477</w:t>
            </w:r>
          </w:p>
        </w:tc>
        <w:tc>
          <w:tcPr>
            <w:tcW w:w="0" w:type="dxa"/>
            <w:vAlign w:val="bottom"/>
          </w:tcPr>
          <w:p>
            <w:pPr>
              <w:spacing w:after="0"/>
              <w:rPr>
                <w:sz w:val="1"/>
                <w:szCs w:val="1"/>
                <w:color w:val="auto"/>
              </w:rPr>
            </w:pPr>
          </w:p>
        </w:tc>
      </w:tr>
      <w:tr>
        <w:trPr>
          <w:trHeight w:val="218"/>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Accounts receivable, net of allowance of $93 as of both September 30, 2024 and December 31, 2023</w:t>
            </w: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8,715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12,003</w:t>
            </w:r>
          </w:p>
        </w:tc>
        <w:tc>
          <w:tcPr>
            <w:tcW w:w="0" w:type="dxa"/>
            <w:vAlign w:val="bottom"/>
          </w:tcPr>
          <w:p>
            <w:pPr>
              <w:spacing w:after="0"/>
              <w:rPr>
                <w:sz w:val="1"/>
                <w:szCs w:val="1"/>
                <w:color w:val="auto"/>
              </w:rPr>
            </w:pPr>
          </w:p>
        </w:tc>
      </w:tr>
      <w:tr>
        <w:trPr>
          <w:trHeight w:val="214"/>
        </w:trPr>
        <w:tc>
          <w:tcPr>
            <w:tcW w:w="7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Prepaid expenses and other current assets</w:t>
            </w:r>
          </w:p>
        </w:tc>
        <w:tc>
          <w:tcPr>
            <w:tcW w:w="2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5,396</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5,254</w:t>
            </w:r>
          </w:p>
        </w:tc>
        <w:tc>
          <w:tcPr>
            <w:tcW w:w="0" w:type="dxa"/>
            <w:vAlign w:val="bottom"/>
          </w:tcPr>
          <w:p>
            <w:pPr>
              <w:spacing w:after="0"/>
              <w:rPr>
                <w:sz w:val="1"/>
                <w:szCs w:val="1"/>
                <w:color w:val="auto"/>
              </w:rPr>
            </w:pPr>
          </w:p>
        </w:tc>
      </w:tr>
      <w:tr>
        <w:trPr>
          <w:trHeight w:val="211"/>
        </w:trPr>
        <w:tc>
          <w:tcPr>
            <w:tcW w:w="74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current assets</w:t>
            </w: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62,780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58,430</w:t>
            </w:r>
          </w:p>
        </w:tc>
        <w:tc>
          <w:tcPr>
            <w:tcW w:w="0" w:type="dxa"/>
            <w:vAlign w:val="bottom"/>
          </w:tcPr>
          <w:p>
            <w:pPr>
              <w:spacing w:after="0"/>
              <w:rPr>
                <w:sz w:val="1"/>
                <w:szCs w:val="1"/>
                <w:color w:val="auto"/>
              </w:rPr>
            </w:pPr>
          </w:p>
        </w:tc>
      </w:tr>
      <w:tr>
        <w:trPr>
          <w:trHeight w:val="214"/>
        </w:trPr>
        <w:tc>
          <w:tcPr>
            <w:tcW w:w="7400" w:type="dxa"/>
            <w:vAlign w:val="bottom"/>
          </w:tcPr>
          <w:p>
            <w:pPr>
              <w:ind w:left="20"/>
              <w:spacing w:after="0"/>
              <w:rPr>
                <w:sz w:val="20"/>
                <w:szCs w:val="20"/>
                <w:color w:val="auto"/>
              </w:rPr>
            </w:pPr>
            <w:r>
              <w:rPr>
                <w:rFonts w:ascii="Arial" w:cs="Arial" w:eastAsia="Arial" w:hAnsi="Arial"/>
                <w:sz w:val="16"/>
                <w:szCs w:val="16"/>
                <w:color w:val="auto"/>
              </w:rPr>
              <w:t>Property and equipment, net</w:t>
            </w:r>
          </w:p>
        </w:tc>
        <w:tc>
          <w:tcPr>
            <w:tcW w:w="2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4,058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jc w:val="right"/>
              <w:ind w:right="1"/>
              <w:spacing w:after="0"/>
              <w:rPr>
                <w:sz w:val="20"/>
                <w:szCs w:val="20"/>
                <w:color w:val="auto"/>
              </w:rPr>
            </w:pPr>
            <w:r>
              <w:rPr>
                <w:rFonts w:ascii="Arial" w:cs="Arial" w:eastAsia="Arial" w:hAnsi="Arial"/>
                <w:sz w:val="16"/>
                <w:szCs w:val="16"/>
                <w:color w:val="auto"/>
              </w:rPr>
              <w:t>5,745</w:t>
            </w:r>
          </w:p>
        </w:tc>
        <w:tc>
          <w:tcPr>
            <w:tcW w:w="0" w:type="dxa"/>
            <w:vAlign w:val="bottom"/>
          </w:tcPr>
          <w:p>
            <w:pPr>
              <w:spacing w:after="0"/>
              <w:rPr>
                <w:sz w:val="1"/>
                <w:szCs w:val="1"/>
                <w:color w:val="auto"/>
              </w:rPr>
            </w:pPr>
          </w:p>
        </w:tc>
      </w:tr>
      <w:tr>
        <w:trPr>
          <w:trHeight w:val="218"/>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investments (Note 5)</w:t>
            </w: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5,839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11,802</w:t>
            </w:r>
          </w:p>
        </w:tc>
        <w:tc>
          <w:tcPr>
            <w:tcW w:w="0" w:type="dxa"/>
            <w:vAlign w:val="bottom"/>
          </w:tcPr>
          <w:p>
            <w:pPr>
              <w:spacing w:after="0"/>
              <w:rPr>
                <w:sz w:val="1"/>
                <w:szCs w:val="1"/>
                <w:color w:val="auto"/>
              </w:rPr>
            </w:pPr>
          </w:p>
        </w:tc>
      </w:tr>
      <w:tr>
        <w:trPr>
          <w:trHeight w:val="214"/>
        </w:trPr>
        <w:tc>
          <w:tcPr>
            <w:tcW w:w="7400" w:type="dxa"/>
            <w:vAlign w:val="bottom"/>
          </w:tcPr>
          <w:p>
            <w:pPr>
              <w:ind w:left="20"/>
              <w:spacing w:after="0"/>
              <w:rPr>
                <w:sz w:val="20"/>
                <w:szCs w:val="20"/>
                <w:color w:val="auto"/>
              </w:rPr>
            </w:pPr>
            <w:r>
              <w:rPr>
                <w:rFonts w:ascii="Arial" w:cs="Arial" w:eastAsia="Arial" w:hAnsi="Arial"/>
                <w:sz w:val="16"/>
                <w:szCs w:val="16"/>
                <w:color w:val="auto"/>
              </w:rPr>
              <w:t>Equity method investment</w:t>
            </w:r>
          </w:p>
        </w:tc>
        <w:tc>
          <w:tcPr>
            <w:tcW w:w="2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6,436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jc w:val="right"/>
              <w:ind w:right="1"/>
              <w:spacing w:after="0"/>
              <w:rPr>
                <w:sz w:val="20"/>
                <w:szCs w:val="20"/>
                <w:color w:val="auto"/>
              </w:rPr>
            </w:pPr>
            <w:r>
              <w:rPr>
                <w:rFonts w:ascii="Arial" w:cs="Arial" w:eastAsia="Arial" w:hAnsi="Arial"/>
                <w:sz w:val="16"/>
                <w:szCs w:val="16"/>
                <w:color w:val="auto"/>
              </w:rPr>
              <w:t>8,500</w:t>
            </w:r>
          </w:p>
        </w:tc>
        <w:tc>
          <w:tcPr>
            <w:tcW w:w="0" w:type="dxa"/>
            <w:vAlign w:val="bottom"/>
          </w:tcPr>
          <w:p>
            <w:pPr>
              <w:spacing w:after="0"/>
              <w:rPr>
                <w:sz w:val="1"/>
                <w:szCs w:val="1"/>
                <w:color w:val="auto"/>
              </w:rPr>
            </w:pPr>
          </w:p>
        </w:tc>
      </w:tr>
      <w:tr>
        <w:trPr>
          <w:trHeight w:val="218"/>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right-of-use assets</w:t>
            </w: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4,070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4,289</w:t>
            </w:r>
          </w:p>
        </w:tc>
        <w:tc>
          <w:tcPr>
            <w:tcW w:w="0" w:type="dxa"/>
            <w:vAlign w:val="bottom"/>
          </w:tcPr>
          <w:p>
            <w:pPr>
              <w:spacing w:after="0"/>
              <w:rPr>
                <w:sz w:val="1"/>
                <w:szCs w:val="1"/>
                <w:color w:val="auto"/>
              </w:rPr>
            </w:pPr>
          </w:p>
        </w:tc>
      </w:tr>
      <w:tr>
        <w:trPr>
          <w:trHeight w:val="214"/>
        </w:trPr>
        <w:tc>
          <w:tcPr>
            <w:tcW w:w="7400" w:type="dxa"/>
            <w:vAlign w:val="bottom"/>
          </w:tcPr>
          <w:p>
            <w:pPr>
              <w:ind w:left="20"/>
              <w:spacing w:after="0"/>
              <w:rPr>
                <w:sz w:val="20"/>
                <w:szCs w:val="20"/>
                <w:color w:val="auto"/>
              </w:rPr>
            </w:pPr>
            <w:r>
              <w:rPr>
                <w:rFonts w:ascii="Arial" w:cs="Arial" w:eastAsia="Arial" w:hAnsi="Arial"/>
                <w:sz w:val="16"/>
                <w:szCs w:val="16"/>
                <w:color w:val="auto"/>
              </w:rPr>
              <w:t>Intangibles, net</w:t>
            </w:r>
          </w:p>
        </w:tc>
        <w:tc>
          <w:tcPr>
            <w:tcW w:w="2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3,245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jc w:val="right"/>
              <w:ind w:right="1"/>
              <w:spacing w:after="0"/>
              <w:rPr>
                <w:sz w:val="20"/>
                <w:szCs w:val="20"/>
                <w:color w:val="auto"/>
              </w:rPr>
            </w:pPr>
            <w:r>
              <w:rPr>
                <w:rFonts w:ascii="Arial" w:cs="Arial" w:eastAsia="Arial" w:hAnsi="Arial"/>
                <w:sz w:val="16"/>
                <w:szCs w:val="16"/>
                <w:color w:val="auto"/>
              </w:rPr>
              <w:t>3,858</w:t>
            </w:r>
          </w:p>
        </w:tc>
        <w:tc>
          <w:tcPr>
            <w:tcW w:w="0" w:type="dxa"/>
            <w:vAlign w:val="bottom"/>
          </w:tcPr>
          <w:p>
            <w:pPr>
              <w:spacing w:after="0"/>
              <w:rPr>
                <w:sz w:val="1"/>
                <w:szCs w:val="1"/>
                <w:color w:val="auto"/>
              </w:rPr>
            </w:pPr>
          </w:p>
        </w:tc>
      </w:tr>
      <w:tr>
        <w:trPr>
          <w:trHeight w:val="218"/>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4,178</w:t>
            </w:r>
          </w:p>
        </w:tc>
        <w:tc>
          <w:tcPr>
            <w:tcW w:w="0" w:type="dxa"/>
            <w:vAlign w:val="bottom"/>
          </w:tcPr>
          <w:p>
            <w:pPr>
              <w:spacing w:after="0"/>
              <w:rPr>
                <w:sz w:val="1"/>
                <w:szCs w:val="1"/>
                <w:color w:val="auto"/>
              </w:rPr>
            </w:pPr>
          </w:p>
        </w:tc>
      </w:tr>
      <w:tr>
        <w:trPr>
          <w:trHeight w:val="214"/>
        </w:trPr>
        <w:tc>
          <w:tcPr>
            <w:tcW w:w="7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assets</w:t>
            </w:r>
          </w:p>
        </w:tc>
        <w:tc>
          <w:tcPr>
            <w:tcW w:w="2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7,109</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5,999</w:t>
            </w:r>
          </w:p>
        </w:tc>
        <w:tc>
          <w:tcPr>
            <w:tcW w:w="0" w:type="dxa"/>
            <w:vAlign w:val="bottom"/>
          </w:tcPr>
          <w:p>
            <w:pPr>
              <w:spacing w:after="0"/>
              <w:rPr>
                <w:sz w:val="1"/>
                <w:szCs w:val="1"/>
                <w:color w:val="auto"/>
              </w:rPr>
            </w:pPr>
          </w:p>
        </w:tc>
      </w:tr>
      <w:tr>
        <w:trPr>
          <w:trHeight w:val="235"/>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2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97,715</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102,801</w:t>
            </w:r>
          </w:p>
        </w:tc>
        <w:tc>
          <w:tcPr>
            <w:tcW w:w="0" w:type="dxa"/>
            <w:vAlign w:val="bottom"/>
          </w:tcPr>
          <w:p>
            <w:pPr>
              <w:spacing w:after="0"/>
              <w:rPr>
                <w:sz w:val="1"/>
                <w:szCs w:val="1"/>
                <w:color w:val="auto"/>
              </w:rPr>
            </w:pPr>
          </w:p>
        </w:tc>
      </w:tr>
      <w:tr>
        <w:trPr>
          <w:trHeight w:val="20"/>
        </w:trPr>
        <w:tc>
          <w:tcPr>
            <w:tcW w:w="74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74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400" w:type="dxa"/>
            <w:vAlign w:val="bottom"/>
          </w:tcPr>
          <w:p>
            <w:pPr>
              <w:ind w:left="20"/>
              <w:spacing w:after="0"/>
              <w:rPr>
                <w:sz w:val="20"/>
                <w:szCs w:val="20"/>
                <w:color w:val="auto"/>
              </w:rPr>
            </w:pPr>
            <w:r>
              <w:rPr>
                <w:rFonts w:ascii="Arial" w:cs="Arial" w:eastAsia="Arial" w:hAnsi="Arial"/>
                <w:sz w:val="16"/>
                <w:szCs w:val="16"/>
                <w:color w:val="auto"/>
              </w:rPr>
              <w:t>Accounts payable</w:t>
            </w:r>
          </w:p>
        </w:tc>
        <w:tc>
          <w:tcPr>
            <w:tcW w:w="2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141</w:t>
            </w:r>
          </w:p>
        </w:tc>
        <w:tc>
          <w:tcPr>
            <w:tcW w:w="100" w:type="dxa"/>
            <w:vAlign w:val="bottom"/>
          </w:tcPr>
          <w:p>
            <w:pPr>
              <w:spacing w:after="0"/>
              <w:rPr>
                <w:sz w:val="18"/>
                <w:szCs w:val="18"/>
                <w:color w:val="auto"/>
              </w:rPr>
            </w:pPr>
          </w:p>
        </w:tc>
        <w:tc>
          <w:tcPr>
            <w:tcW w:w="280" w:type="dxa"/>
            <w:vAlign w:val="bottom"/>
          </w:tcPr>
          <w:p>
            <w:pPr>
              <w:jc w:val="right"/>
              <w:ind w:right="101"/>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ind w:right="1"/>
              <w:spacing w:after="0"/>
              <w:rPr>
                <w:sz w:val="20"/>
                <w:szCs w:val="20"/>
                <w:color w:val="auto"/>
              </w:rPr>
            </w:pPr>
            <w:r>
              <w:rPr>
                <w:rFonts w:ascii="Arial" w:cs="Arial" w:eastAsia="Arial" w:hAnsi="Arial"/>
                <w:sz w:val="16"/>
                <w:szCs w:val="16"/>
                <w:color w:val="auto"/>
              </w:rPr>
              <w:t>183</w:t>
            </w:r>
          </w:p>
        </w:tc>
        <w:tc>
          <w:tcPr>
            <w:tcW w:w="0" w:type="dxa"/>
            <w:vAlign w:val="bottom"/>
          </w:tcPr>
          <w:p>
            <w:pPr>
              <w:spacing w:after="0"/>
              <w:rPr>
                <w:sz w:val="1"/>
                <w:szCs w:val="1"/>
                <w:color w:val="auto"/>
              </w:rPr>
            </w:pPr>
          </w:p>
        </w:tc>
      </w:tr>
      <w:tr>
        <w:trPr>
          <w:trHeight w:val="218"/>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expenses and other current liabilities</w:t>
            </w: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12,966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11,831</w:t>
            </w:r>
          </w:p>
        </w:tc>
        <w:tc>
          <w:tcPr>
            <w:tcW w:w="0" w:type="dxa"/>
            <w:vAlign w:val="bottom"/>
          </w:tcPr>
          <w:p>
            <w:pPr>
              <w:spacing w:after="0"/>
              <w:rPr>
                <w:sz w:val="1"/>
                <w:szCs w:val="1"/>
                <w:color w:val="auto"/>
              </w:rPr>
            </w:pPr>
          </w:p>
        </w:tc>
      </w:tr>
      <w:tr>
        <w:trPr>
          <w:trHeight w:val="214"/>
        </w:trPr>
        <w:tc>
          <w:tcPr>
            <w:tcW w:w="7400" w:type="dxa"/>
            <w:vAlign w:val="bottom"/>
          </w:tcPr>
          <w:p>
            <w:pPr>
              <w:ind w:left="20"/>
              <w:spacing w:after="0"/>
              <w:rPr>
                <w:sz w:val="20"/>
                <w:szCs w:val="20"/>
                <w:color w:val="auto"/>
              </w:rPr>
            </w:pPr>
            <w:r>
              <w:rPr>
                <w:rFonts w:ascii="Arial" w:cs="Arial" w:eastAsia="Arial" w:hAnsi="Arial"/>
                <w:sz w:val="16"/>
                <w:szCs w:val="16"/>
                <w:color w:val="auto"/>
              </w:rPr>
              <w:t>Operating lease liabilities, current</w:t>
            </w:r>
          </w:p>
        </w:tc>
        <w:tc>
          <w:tcPr>
            <w:tcW w:w="2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948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jc w:val="right"/>
              <w:ind w:right="1"/>
              <w:spacing w:after="0"/>
              <w:rPr>
                <w:sz w:val="20"/>
                <w:szCs w:val="20"/>
                <w:color w:val="auto"/>
              </w:rPr>
            </w:pPr>
            <w:r>
              <w:rPr>
                <w:rFonts w:ascii="Arial" w:cs="Arial" w:eastAsia="Arial" w:hAnsi="Arial"/>
                <w:sz w:val="16"/>
                <w:szCs w:val="16"/>
                <w:color w:val="auto"/>
              </w:rPr>
              <w:t>781</w:t>
            </w:r>
          </w:p>
        </w:tc>
        <w:tc>
          <w:tcPr>
            <w:tcW w:w="0" w:type="dxa"/>
            <w:vAlign w:val="bottom"/>
          </w:tcPr>
          <w:p>
            <w:pPr>
              <w:spacing w:after="0"/>
              <w:rPr>
                <w:sz w:val="1"/>
                <w:szCs w:val="1"/>
                <w:color w:val="auto"/>
              </w:rPr>
            </w:pPr>
          </w:p>
        </w:tc>
      </w:tr>
      <w:tr>
        <w:trPr>
          <w:trHeight w:val="218"/>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revenue, current</w:t>
            </w: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38,991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31,537</w:t>
            </w:r>
          </w:p>
        </w:tc>
        <w:tc>
          <w:tcPr>
            <w:tcW w:w="0" w:type="dxa"/>
            <w:vAlign w:val="bottom"/>
          </w:tcPr>
          <w:p>
            <w:pPr>
              <w:spacing w:after="0"/>
              <w:rPr>
                <w:sz w:val="1"/>
                <w:szCs w:val="1"/>
                <w:color w:val="auto"/>
              </w:rPr>
            </w:pPr>
          </w:p>
        </w:tc>
      </w:tr>
      <w:tr>
        <w:trPr>
          <w:trHeight w:val="214"/>
        </w:trPr>
        <w:tc>
          <w:tcPr>
            <w:tcW w:w="7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Vendor financing arrangements, current</w:t>
            </w:r>
          </w:p>
        </w:tc>
        <w:tc>
          <w:tcPr>
            <w:tcW w:w="2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1,172</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2,070</w:t>
            </w:r>
          </w:p>
        </w:tc>
        <w:tc>
          <w:tcPr>
            <w:tcW w:w="0" w:type="dxa"/>
            <w:vAlign w:val="bottom"/>
          </w:tcPr>
          <w:p>
            <w:pPr>
              <w:spacing w:after="0"/>
              <w:rPr>
                <w:sz w:val="1"/>
                <w:szCs w:val="1"/>
                <w:color w:val="auto"/>
              </w:rPr>
            </w:pPr>
          </w:p>
        </w:tc>
      </w:tr>
      <w:tr>
        <w:trPr>
          <w:trHeight w:val="212"/>
        </w:trPr>
        <w:tc>
          <w:tcPr>
            <w:tcW w:w="74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current liabilities</w:t>
            </w: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54,218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46,402</w:t>
            </w:r>
          </w:p>
        </w:tc>
        <w:tc>
          <w:tcPr>
            <w:tcW w:w="0" w:type="dxa"/>
            <w:vAlign w:val="bottom"/>
          </w:tcPr>
          <w:p>
            <w:pPr>
              <w:spacing w:after="0"/>
              <w:rPr>
                <w:sz w:val="1"/>
                <w:szCs w:val="1"/>
                <w:color w:val="auto"/>
              </w:rPr>
            </w:pPr>
          </w:p>
        </w:tc>
      </w:tr>
      <w:tr>
        <w:trPr>
          <w:trHeight w:val="214"/>
        </w:trPr>
        <w:tc>
          <w:tcPr>
            <w:tcW w:w="7400" w:type="dxa"/>
            <w:vAlign w:val="bottom"/>
          </w:tcPr>
          <w:p>
            <w:pPr>
              <w:ind w:left="20"/>
              <w:spacing w:after="0"/>
              <w:rPr>
                <w:sz w:val="20"/>
                <w:szCs w:val="20"/>
                <w:color w:val="auto"/>
              </w:rPr>
            </w:pPr>
            <w:r>
              <w:rPr>
                <w:rFonts w:ascii="Arial" w:cs="Arial" w:eastAsia="Arial" w:hAnsi="Arial"/>
                <w:sz w:val="16"/>
                <w:szCs w:val="16"/>
                <w:color w:val="auto"/>
              </w:rPr>
              <w:t>Deferred revenue, noncurrent</w:t>
            </w:r>
          </w:p>
        </w:tc>
        <w:tc>
          <w:tcPr>
            <w:tcW w:w="2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26,511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jc w:val="right"/>
              <w:ind w:right="1"/>
              <w:spacing w:after="0"/>
              <w:rPr>
                <w:sz w:val="20"/>
                <w:szCs w:val="20"/>
                <w:color w:val="auto"/>
              </w:rPr>
            </w:pPr>
            <w:r>
              <w:rPr>
                <w:rFonts w:ascii="Arial" w:cs="Arial" w:eastAsia="Arial" w:hAnsi="Arial"/>
                <w:sz w:val="16"/>
                <w:szCs w:val="16"/>
                <w:color w:val="auto"/>
              </w:rPr>
              <w:t>25,172</w:t>
            </w:r>
          </w:p>
        </w:tc>
        <w:tc>
          <w:tcPr>
            <w:tcW w:w="0" w:type="dxa"/>
            <w:vAlign w:val="bottom"/>
          </w:tcPr>
          <w:p>
            <w:pPr>
              <w:spacing w:after="0"/>
              <w:rPr>
                <w:sz w:val="1"/>
                <w:szCs w:val="1"/>
                <w:color w:val="auto"/>
              </w:rPr>
            </w:pPr>
          </w:p>
        </w:tc>
      </w:tr>
      <w:tr>
        <w:trPr>
          <w:trHeight w:val="218"/>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liabilities, noncurrent</w:t>
            </w: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3,610</w:t>
            </w:r>
          </w:p>
        </w:tc>
        <w:tc>
          <w:tcPr>
            <w:tcW w:w="0" w:type="dxa"/>
            <w:vAlign w:val="bottom"/>
          </w:tcPr>
          <w:p>
            <w:pPr>
              <w:spacing w:after="0"/>
              <w:rPr>
                <w:sz w:val="1"/>
                <w:szCs w:val="1"/>
                <w:color w:val="auto"/>
              </w:rPr>
            </w:pPr>
          </w:p>
        </w:tc>
      </w:tr>
      <w:tr>
        <w:trPr>
          <w:trHeight w:val="214"/>
        </w:trPr>
        <w:tc>
          <w:tcPr>
            <w:tcW w:w="7400" w:type="dxa"/>
            <w:vAlign w:val="bottom"/>
          </w:tcPr>
          <w:p>
            <w:pPr>
              <w:ind w:left="20"/>
              <w:spacing w:after="0"/>
              <w:rPr>
                <w:sz w:val="20"/>
                <w:szCs w:val="20"/>
                <w:color w:val="auto"/>
              </w:rPr>
            </w:pPr>
            <w:r>
              <w:rPr>
                <w:rFonts w:ascii="Arial" w:cs="Arial" w:eastAsia="Arial" w:hAnsi="Arial"/>
                <w:sz w:val="16"/>
                <w:szCs w:val="16"/>
                <w:color w:val="auto"/>
              </w:rPr>
              <w:t>Vendor financing arrangements, noncurrent</w:t>
            </w:r>
          </w:p>
        </w:tc>
        <w:tc>
          <w:tcPr>
            <w:tcW w:w="2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669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jc w:val="right"/>
              <w:ind w:right="1"/>
              <w:spacing w:after="0"/>
              <w:rPr>
                <w:sz w:val="20"/>
                <w:szCs w:val="20"/>
                <w:color w:val="auto"/>
              </w:rPr>
            </w:pPr>
            <w:r>
              <w:rPr>
                <w:rFonts w:ascii="Arial" w:cs="Arial" w:eastAsia="Arial" w:hAnsi="Arial"/>
                <w:sz w:val="16"/>
                <w:szCs w:val="16"/>
                <w:color w:val="auto"/>
              </w:rPr>
              <w:t>1,292</w:t>
            </w:r>
          </w:p>
        </w:tc>
        <w:tc>
          <w:tcPr>
            <w:tcW w:w="0" w:type="dxa"/>
            <w:vAlign w:val="bottom"/>
          </w:tcPr>
          <w:p>
            <w:pPr>
              <w:spacing w:after="0"/>
              <w:rPr>
                <w:sz w:val="1"/>
                <w:szCs w:val="1"/>
                <w:color w:val="auto"/>
              </w:rPr>
            </w:pPr>
          </w:p>
        </w:tc>
      </w:tr>
      <w:tr>
        <w:trPr>
          <w:trHeight w:val="218"/>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income, noncurrent</w:t>
            </w: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7,928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8,810</w:t>
            </w:r>
          </w:p>
        </w:tc>
        <w:tc>
          <w:tcPr>
            <w:tcW w:w="0" w:type="dxa"/>
            <w:vAlign w:val="bottom"/>
          </w:tcPr>
          <w:p>
            <w:pPr>
              <w:spacing w:after="0"/>
              <w:rPr>
                <w:sz w:val="1"/>
                <w:szCs w:val="1"/>
                <w:color w:val="auto"/>
              </w:rPr>
            </w:pPr>
          </w:p>
        </w:tc>
      </w:tr>
      <w:tr>
        <w:trPr>
          <w:trHeight w:val="214"/>
        </w:trPr>
        <w:tc>
          <w:tcPr>
            <w:tcW w:w="7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liabilities</w:t>
            </w:r>
          </w:p>
        </w:tc>
        <w:tc>
          <w:tcPr>
            <w:tcW w:w="2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2,848</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2,412</w:t>
            </w:r>
          </w:p>
        </w:tc>
        <w:tc>
          <w:tcPr>
            <w:tcW w:w="0" w:type="dxa"/>
            <w:vAlign w:val="bottom"/>
          </w:tcPr>
          <w:p>
            <w:pPr>
              <w:spacing w:after="0"/>
              <w:rPr>
                <w:sz w:val="1"/>
                <w:szCs w:val="1"/>
                <w:color w:val="auto"/>
              </w:rPr>
            </w:pPr>
          </w:p>
        </w:tc>
      </w:tr>
      <w:tr>
        <w:trPr>
          <w:trHeight w:val="212"/>
        </w:trPr>
        <w:tc>
          <w:tcPr>
            <w:tcW w:w="74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liabilities</w:t>
            </w: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95,506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87,698</w:t>
            </w:r>
          </w:p>
        </w:tc>
        <w:tc>
          <w:tcPr>
            <w:tcW w:w="0" w:type="dxa"/>
            <w:vAlign w:val="bottom"/>
          </w:tcPr>
          <w:p>
            <w:pPr>
              <w:spacing w:after="0"/>
              <w:rPr>
                <w:sz w:val="1"/>
                <w:szCs w:val="1"/>
                <w:color w:val="auto"/>
              </w:rPr>
            </w:pPr>
          </w:p>
        </w:tc>
      </w:tr>
      <w:tr>
        <w:trPr>
          <w:trHeight w:val="214"/>
        </w:trPr>
        <w:tc>
          <w:tcPr>
            <w:tcW w:w="7400" w:type="dxa"/>
            <w:vAlign w:val="bottom"/>
          </w:tcPr>
          <w:p>
            <w:pPr>
              <w:ind w:left="20"/>
              <w:spacing w:after="0"/>
              <w:rPr>
                <w:sz w:val="20"/>
                <w:szCs w:val="20"/>
                <w:color w:val="auto"/>
              </w:rPr>
            </w:pPr>
            <w:r>
              <w:rPr>
                <w:rFonts w:ascii="Arial" w:cs="Arial" w:eastAsia="Arial" w:hAnsi="Arial"/>
                <w:sz w:val="16"/>
                <w:szCs w:val="16"/>
                <w:color w:val="auto"/>
              </w:rPr>
              <w:t>Commitments and contingencies (Note 10)</w:t>
            </w:r>
          </w:p>
        </w:tc>
        <w:tc>
          <w:tcPr>
            <w:tcW w:w="2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Stockholders' equity:</w:t>
            </w: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400" w:type="dxa"/>
            <w:vAlign w:val="bottom"/>
          </w:tcPr>
          <w:p>
            <w:pPr>
              <w:ind w:left="140"/>
              <w:spacing w:after="0" w:line="162" w:lineRule="exact"/>
              <w:rPr>
                <w:sz w:val="20"/>
                <w:szCs w:val="20"/>
                <w:color w:val="auto"/>
              </w:rPr>
            </w:pPr>
            <w:r>
              <w:rPr>
                <w:rFonts w:ascii="Arial" w:cs="Arial" w:eastAsia="Arial" w:hAnsi="Arial"/>
                <w:sz w:val="16"/>
                <w:szCs w:val="16"/>
                <w:color w:val="auto"/>
                <w:w w:val="98"/>
              </w:rPr>
              <w:t>Preferred stock, par value of $0.001 - 10,000,000 shares authorized as of both September 30, 2024 and</w:t>
            </w:r>
          </w:p>
        </w:tc>
        <w:tc>
          <w:tcPr>
            <w:tcW w:w="2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7400" w:type="dxa"/>
            <w:vAlign w:val="bottom"/>
          </w:tcPr>
          <w:p>
            <w:pPr>
              <w:ind w:left="140"/>
              <w:spacing w:after="0" w:line="154" w:lineRule="exact"/>
              <w:rPr>
                <w:sz w:val="20"/>
                <w:szCs w:val="20"/>
                <w:color w:val="auto"/>
              </w:rPr>
            </w:pPr>
            <w:r>
              <w:rPr>
                <w:rFonts w:ascii="Arial" w:cs="Arial" w:eastAsia="Arial" w:hAnsi="Arial"/>
                <w:sz w:val="16"/>
                <w:szCs w:val="16"/>
                <w:color w:val="auto"/>
              </w:rPr>
              <w:t>December 31, 2023; no shares issued and outstanding as of both September 30, 2024 and</w:t>
            </w:r>
          </w:p>
        </w:tc>
        <w:tc>
          <w:tcPr>
            <w:tcW w:w="240" w:type="dxa"/>
            <w:vAlign w:val="bottom"/>
          </w:tcPr>
          <w:p>
            <w:pPr>
              <w:spacing w:after="0"/>
              <w:rPr>
                <w:sz w:val="13"/>
                <w:szCs w:val="13"/>
                <w:color w:val="auto"/>
              </w:rPr>
            </w:pPr>
          </w:p>
        </w:tc>
        <w:tc>
          <w:tcPr>
            <w:tcW w:w="17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3"/>
                <w:szCs w:val="13"/>
                <w:color w:val="auto"/>
              </w:rPr>
            </w:pPr>
          </w:p>
        </w:tc>
        <w:tc>
          <w:tcPr>
            <w:tcW w:w="1600" w:type="dxa"/>
            <w:vAlign w:val="bottom"/>
            <w:vMerge w:val="restart"/>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8"/>
        </w:trPr>
        <w:tc>
          <w:tcPr>
            <w:tcW w:w="7400" w:type="dxa"/>
            <w:vAlign w:val="bottom"/>
          </w:tcPr>
          <w:p>
            <w:pPr>
              <w:ind w:left="140"/>
              <w:spacing w:after="0"/>
              <w:rPr>
                <w:sz w:val="20"/>
                <w:szCs w:val="20"/>
                <w:color w:val="auto"/>
              </w:rPr>
            </w:pPr>
            <w:r>
              <w:rPr>
                <w:rFonts w:ascii="Arial" w:cs="Arial" w:eastAsia="Arial" w:hAnsi="Arial"/>
                <w:sz w:val="16"/>
                <w:szCs w:val="16"/>
                <w:color w:val="auto"/>
              </w:rPr>
              <w:t>December 31, 2023</w:t>
            </w:r>
          </w:p>
        </w:tc>
        <w:tc>
          <w:tcPr>
            <w:tcW w:w="240" w:type="dxa"/>
            <w:vAlign w:val="bottom"/>
          </w:tcPr>
          <w:p>
            <w:pPr>
              <w:spacing w:after="0"/>
              <w:rPr>
                <w:sz w:val="18"/>
                <w:szCs w:val="18"/>
                <w:color w:val="auto"/>
              </w:rPr>
            </w:pPr>
          </w:p>
        </w:tc>
        <w:tc>
          <w:tcPr>
            <w:tcW w:w="172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7400" w:type="dxa"/>
            <w:vAlign w:val="bottom"/>
            <w:shd w:val="clear" w:color="auto" w:fill="CCEEFF"/>
          </w:tcPr>
          <w:p>
            <w:pPr>
              <w:ind w:left="140"/>
              <w:spacing w:after="0" w:line="164" w:lineRule="exact"/>
              <w:rPr>
                <w:sz w:val="20"/>
                <w:szCs w:val="20"/>
                <w:color w:val="auto"/>
              </w:rPr>
            </w:pPr>
            <w:r>
              <w:rPr>
                <w:rFonts w:ascii="Arial" w:cs="Arial" w:eastAsia="Arial" w:hAnsi="Arial"/>
                <w:sz w:val="16"/>
                <w:szCs w:val="16"/>
                <w:color w:val="auto"/>
              </w:rPr>
              <w:t>Common stock, par value of $0.001 - 300,000,000 shares authorized as of both September 30, 2024</w:t>
            </w:r>
          </w:p>
        </w:tc>
        <w:tc>
          <w:tcPr>
            <w:tcW w:w="24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7400" w:type="dxa"/>
            <w:vAlign w:val="bottom"/>
            <w:shd w:val="clear" w:color="auto" w:fill="CCEEFF"/>
          </w:tcPr>
          <w:p>
            <w:pPr>
              <w:ind w:left="140"/>
              <w:spacing w:after="0" w:line="154" w:lineRule="exact"/>
              <w:rPr>
                <w:sz w:val="20"/>
                <w:szCs w:val="20"/>
                <w:color w:val="auto"/>
              </w:rPr>
            </w:pPr>
            <w:r>
              <w:rPr>
                <w:rFonts w:ascii="Arial" w:cs="Arial" w:eastAsia="Arial" w:hAnsi="Arial"/>
                <w:sz w:val="16"/>
                <w:szCs w:val="16"/>
                <w:color w:val="auto"/>
              </w:rPr>
              <w:t>and December 31, 2023; 40,127,476 and 37,518,583 shares issued and outstanding as of</w:t>
            </w:r>
          </w:p>
        </w:tc>
        <w:tc>
          <w:tcPr>
            <w:tcW w:w="240" w:type="dxa"/>
            <w:vAlign w:val="bottom"/>
            <w:shd w:val="clear" w:color="auto" w:fill="CCEEFF"/>
          </w:tcPr>
          <w:p>
            <w:pPr>
              <w:spacing w:after="0"/>
              <w:rPr>
                <w:sz w:val="13"/>
                <w:szCs w:val="13"/>
                <w:color w:val="auto"/>
              </w:rPr>
            </w:pPr>
          </w:p>
        </w:tc>
        <w:tc>
          <w:tcPr>
            <w:tcW w:w="16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60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10"/>
        </w:trPr>
        <w:tc>
          <w:tcPr>
            <w:tcW w:w="7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September 30, 2024 and December 31, 2023, respectively</w:t>
            </w:r>
          </w:p>
        </w:tc>
        <w:tc>
          <w:tcPr>
            <w:tcW w:w="240" w:type="dxa"/>
            <w:vAlign w:val="bottom"/>
            <w:shd w:val="clear" w:color="auto" w:fill="CCEEFF"/>
          </w:tcPr>
          <w:p>
            <w:pPr>
              <w:spacing w:after="0"/>
              <w:rPr>
                <w:sz w:val="18"/>
                <w:szCs w:val="18"/>
                <w:color w:val="auto"/>
              </w:rPr>
            </w:pPr>
          </w:p>
        </w:tc>
        <w:tc>
          <w:tcPr>
            <w:tcW w:w="16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400" w:type="dxa"/>
            <w:vAlign w:val="bottom"/>
          </w:tcPr>
          <w:p>
            <w:pPr>
              <w:ind w:left="20"/>
              <w:spacing w:after="0"/>
              <w:rPr>
                <w:sz w:val="20"/>
                <w:szCs w:val="20"/>
                <w:color w:val="auto"/>
              </w:rPr>
            </w:pPr>
            <w:r>
              <w:rPr>
                <w:rFonts w:ascii="Arial" w:cs="Arial" w:eastAsia="Arial" w:hAnsi="Arial"/>
                <w:sz w:val="16"/>
                <w:szCs w:val="16"/>
                <w:color w:val="auto"/>
              </w:rPr>
              <w:t>Additional paid-in capital</w:t>
            </w:r>
          </w:p>
        </w:tc>
        <w:tc>
          <w:tcPr>
            <w:tcW w:w="2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130,678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jc w:val="right"/>
              <w:ind w:right="1"/>
              <w:spacing w:after="0"/>
              <w:rPr>
                <w:sz w:val="20"/>
                <w:szCs w:val="20"/>
                <w:color w:val="auto"/>
              </w:rPr>
            </w:pPr>
            <w:r>
              <w:rPr>
                <w:rFonts w:ascii="Arial" w:cs="Arial" w:eastAsia="Arial" w:hAnsi="Arial"/>
                <w:sz w:val="16"/>
                <w:szCs w:val="16"/>
                <w:color w:val="auto"/>
              </w:rPr>
              <w:t>118,193</w:t>
            </w:r>
          </w:p>
        </w:tc>
        <w:tc>
          <w:tcPr>
            <w:tcW w:w="0" w:type="dxa"/>
            <w:vAlign w:val="bottom"/>
          </w:tcPr>
          <w:p>
            <w:pPr>
              <w:spacing w:after="0"/>
              <w:rPr>
                <w:sz w:val="1"/>
                <w:szCs w:val="1"/>
                <w:color w:val="auto"/>
              </w:rPr>
            </w:pPr>
          </w:p>
        </w:tc>
      </w:tr>
      <w:tr>
        <w:trPr>
          <w:trHeight w:val="218"/>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Accumulated other comprehensive income</w:t>
            </w: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120</w:t>
            </w:r>
          </w:p>
        </w:tc>
        <w:tc>
          <w:tcPr>
            <w:tcW w:w="0" w:type="dxa"/>
            <w:vAlign w:val="bottom"/>
          </w:tcPr>
          <w:p>
            <w:pPr>
              <w:spacing w:after="0"/>
              <w:rPr>
                <w:sz w:val="1"/>
                <w:szCs w:val="1"/>
                <w:color w:val="auto"/>
              </w:rPr>
            </w:pPr>
          </w:p>
        </w:tc>
      </w:tr>
      <w:tr>
        <w:trPr>
          <w:trHeight w:val="214"/>
        </w:trPr>
        <w:tc>
          <w:tcPr>
            <w:tcW w:w="7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Accumulated deficit</w:t>
            </w:r>
          </w:p>
        </w:tc>
        <w:tc>
          <w:tcPr>
            <w:tcW w:w="2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(128,681)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(103,247)</w:t>
            </w:r>
          </w:p>
        </w:tc>
        <w:tc>
          <w:tcPr>
            <w:tcW w:w="0" w:type="dxa"/>
            <w:vAlign w:val="bottom"/>
          </w:tcPr>
          <w:p>
            <w:pPr>
              <w:spacing w:after="0"/>
              <w:rPr>
                <w:sz w:val="1"/>
                <w:szCs w:val="1"/>
                <w:color w:val="auto"/>
              </w:rPr>
            </w:pPr>
          </w:p>
        </w:tc>
      </w:tr>
      <w:tr>
        <w:trPr>
          <w:trHeight w:val="211"/>
        </w:trPr>
        <w:tc>
          <w:tcPr>
            <w:tcW w:w="74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stockholders' equity</w:t>
            </w:r>
          </w:p>
        </w:tc>
        <w:tc>
          <w:tcPr>
            <w:tcW w:w="24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2,209</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15,103</w:t>
            </w:r>
          </w:p>
        </w:tc>
        <w:tc>
          <w:tcPr>
            <w:tcW w:w="0" w:type="dxa"/>
            <w:vAlign w:val="bottom"/>
          </w:tcPr>
          <w:p>
            <w:pPr>
              <w:spacing w:after="0"/>
              <w:rPr>
                <w:sz w:val="1"/>
                <w:szCs w:val="1"/>
                <w:color w:val="auto"/>
              </w:rPr>
            </w:pPr>
          </w:p>
        </w:tc>
      </w:tr>
      <w:tr>
        <w:trPr>
          <w:trHeight w:val="208"/>
        </w:trPr>
        <w:tc>
          <w:tcPr>
            <w:tcW w:w="7400" w:type="dxa"/>
            <w:vAlign w:val="bottom"/>
          </w:tcPr>
          <w:p>
            <w:pPr>
              <w:ind w:left="20"/>
              <w:spacing w:after="0"/>
              <w:rPr>
                <w:sz w:val="20"/>
                <w:szCs w:val="20"/>
                <w:color w:val="auto"/>
              </w:rPr>
            </w:pPr>
            <w:r>
              <w:rPr>
                <w:rFonts w:ascii="Arial" w:cs="Arial" w:eastAsia="Arial" w:hAnsi="Arial"/>
                <w:sz w:val="16"/>
                <w:szCs w:val="16"/>
                <w:color w:val="auto"/>
              </w:rPr>
              <w:t>TOTAL LIABILITIES AND STOCKHOLDERS’ EQUITY</w:t>
            </w:r>
          </w:p>
        </w:tc>
        <w:tc>
          <w:tcPr>
            <w:tcW w:w="2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97,715</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102,801</w:t>
            </w:r>
          </w:p>
        </w:tc>
        <w:tc>
          <w:tcPr>
            <w:tcW w:w="0" w:type="dxa"/>
            <w:vAlign w:val="bottom"/>
          </w:tcPr>
          <w:p>
            <w:pPr>
              <w:spacing w:after="0"/>
              <w:rPr>
                <w:sz w:val="1"/>
                <w:szCs w:val="1"/>
                <w:color w:val="auto"/>
              </w:rPr>
            </w:pPr>
          </w:p>
        </w:tc>
      </w:tr>
      <w:tr>
        <w:trPr>
          <w:trHeight w:val="23"/>
        </w:trPr>
        <w:tc>
          <w:tcPr>
            <w:tcW w:w="7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accompanying notes to unaudited condensed consolidated financial statements.</w:t>
      </w:r>
    </w:p>
    <w:p>
      <w:pPr>
        <w:sectPr>
          <w:pgSz w:w="11900" w:h="16838" w:orient="portrait"/>
          <w:cols w:equalWidth="0" w:num="1">
            <w:col w:w="11240"/>
          </w:cols>
          <w:pgMar w:left="320" w:top="135" w:right="339" w:bottom="1440" w:gutter="0" w:footer="0" w:header="0"/>
        </w:sect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type w:val="continuous"/>
        </w:sectPr>
      </w:pPr>
    </w:p>
    <w:bookmarkStart w:id="3" w:name="page4"/>
    <w:bookmarkEnd w:id="3"/>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79"/>
        <w:spacing w:after="0"/>
        <w:rPr>
          <w:sz w:val="20"/>
          <w:szCs w:val="20"/>
          <w:color w:val="auto"/>
        </w:rPr>
      </w:pPr>
      <w:r>
        <w:rPr>
          <w:rFonts w:ascii="Arial" w:cs="Arial" w:eastAsia="Arial" w:hAnsi="Arial"/>
          <w:sz w:val="16"/>
          <w:szCs w:val="16"/>
          <w:b w:val="1"/>
          <w:bCs w:val="1"/>
          <w:color w:val="auto"/>
        </w:rPr>
        <w:t>Arteris, Inc.</w:t>
      </w:r>
    </w:p>
    <w:p>
      <w:pPr>
        <w:spacing w:after="0" w:line="21" w:lineRule="exact"/>
        <w:rPr>
          <w:sz w:val="20"/>
          <w:szCs w:val="20"/>
          <w:color w:val="auto"/>
        </w:rPr>
      </w:pPr>
    </w:p>
    <w:p>
      <w:pPr>
        <w:jc w:val="center"/>
        <w:ind w:right="-179"/>
        <w:spacing w:after="0"/>
        <w:rPr>
          <w:sz w:val="20"/>
          <w:szCs w:val="20"/>
          <w:color w:val="auto"/>
        </w:rPr>
      </w:pPr>
      <w:r>
        <w:rPr>
          <w:rFonts w:ascii="Arial" w:cs="Arial" w:eastAsia="Arial" w:hAnsi="Arial"/>
          <w:sz w:val="16"/>
          <w:szCs w:val="16"/>
          <w:b w:val="1"/>
          <w:bCs w:val="1"/>
          <w:color w:val="auto"/>
        </w:rPr>
        <w:t>Condensed Consolidated Statements of Operations</w:t>
      </w:r>
    </w:p>
    <w:p>
      <w:pPr>
        <w:spacing w:after="0" w:line="19"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(In thousands, except share and per share data)</w:t>
      </w:r>
    </w:p>
    <w:p>
      <w:pPr>
        <w:spacing w:after="0" w:line="5"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(Unaudited)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tcPr>
          <w:p>
            <w:pPr>
              <w:spacing w:after="0"/>
              <w:rPr>
                <w:sz w:val="16"/>
                <w:szCs w:val="16"/>
                <w:color w:val="auto"/>
              </w:rPr>
            </w:pPr>
          </w:p>
        </w:tc>
        <w:tc>
          <w:tcPr>
            <w:tcW w:w="2540" w:type="dxa"/>
            <w:vAlign w:val="bottom"/>
            <w:gridSpan w:val="4"/>
          </w:tcPr>
          <w:p>
            <w:pPr>
              <w:jc w:val="right"/>
              <w:ind w:right="619"/>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0" w:type="dxa"/>
            <w:vAlign w:val="bottom"/>
            <w:gridSpan w:val="5"/>
          </w:tcPr>
          <w:p>
            <w:pPr>
              <w:jc w:val="center"/>
              <w:ind w:right="380"/>
              <w:spacing w:after="0"/>
              <w:rPr>
                <w:sz w:val="20"/>
                <w:szCs w:val="20"/>
                <w:color w:val="auto"/>
              </w:rPr>
            </w:pPr>
            <w:r>
              <w:rPr>
                <w:rFonts w:ascii="Arial" w:cs="Arial" w:eastAsia="Arial" w:hAnsi="Arial"/>
                <w:sz w:val="16"/>
                <w:szCs w:val="16"/>
                <w:b w:val="1"/>
                <w:bCs w:val="1"/>
                <w:color w:val="auto"/>
              </w:rPr>
              <w:t>September 30,</w:t>
            </w:r>
          </w:p>
        </w:tc>
        <w:tc>
          <w:tcPr>
            <w:tcW w:w="300" w:type="dxa"/>
            <w:vAlign w:val="bottom"/>
          </w:tcPr>
          <w:p>
            <w:pPr>
              <w:spacing w:after="0"/>
              <w:rPr>
                <w:sz w:val="18"/>
                <w:szCs w:val="18"/>
                <w:color w:val="auto"/>
              </w:rPr>
            </w:pPr>
          </w:p>
        </w:tc>
        <w:tc>
          <w:tcPr>
            <w:tcW w:w="2540" w:type="dxa"/>
            <w:vAlign w:val="bottom"/>
            <w:gridSpan w:val="4"/>
          </w:tcPr>
          <w:p>
            <w:pPr>
              <w:jc w:val="right"/>
              <w:ind w:right="799"/>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10"/>
        </w:trPr>
        <w:tc>
          <w:tcPr>
            <w:tcW w:w="532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34"/>
        </w:trPr>
        <w:tc>
          <w:tcPr>
            <w:tcW w:w="5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320" w:type="dxa"/>
            <w:vAlign w:val="bottom"/>
          </w:tcPr>
          <w:p>
            <w:pPr>
              <w:ind w:left="140"/>
              <w:spacing w:after="0"/>
              <w:rPr>
                <w:sz w:val="20"/>
                <w:szCs w:val="20"/>
                <w:color w:val="auto"/>
              </w:rPr>
            </w:pPr>
            <w:r>
              <w:rPr>
                <w:rFonts w:ascii="Arial" w:cs="Arial" w:eastAsia="Arial" w:hAnsi="Arial"/>
                <w:sz w:val="16"/>
                <w:szCs w:val="16"/>
                <w:color w:val="auto"/>
              </w:rPr>
              <w:t>Licensing, support and maintenance</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13,507</w:t>
            </w:r>
          </w:p>
        </w:tc>
        <w:tc>
          <w:tcPr>
            <w:tcW w:w="8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12,084</w:t>
            </w:r>
          </w:p>
        </w:tc>
        <w:tc>
          <w:tcPr>
            <w:tcW w:w="8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38,799</w:t>
            </w:r>
          </w:p>
        </w:tc>
        <w:tc>
          <w:tcPr>
            <w:tcW w:w="8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36,926</w:t>
            </w:r>
          </w:p>
        </w:tc>
        <w:tc>
          <w:tcPr>
            <w:tcW w:w="0" w:type="dxa"/>
            <w:vAlign w:val="bottom"/>
          </w:tcPr>
          <w:p>
            <w:pPr>
              <w:spacing w:after="0"/>
              <w:rPr>
                <w:sz w:val="1"/>
                <w:szCs w:val="1"/>
                <w:color w:val="auto"/>
              </w:rPr>
            </w:pPr>
          </w:p>
        </w:tc>
      </w:tr>
      <w:tr>
        <w:trPr>
          <w:trHeight w:val="217"/>
        </w:trPr>
        <w:tc>
          <w:tcPr>
            <w:tcW w:w="5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Variable royalties and other</w:t>
            </w: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1,206</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1,190</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3,436</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4,236</w:t>
            </w:r>
          </w:p>
        </w:tc>
        <w:tc>
          <w:tcPr>
            <w:tcW w:w="0" w:type="dxa"/>
            <w:vAlign w:val="bottom"/>
          </w:tcPr>
          <w:p>
            <w:pPr>
              <w:spacing w:after="0"/>
              <w:rPr>
                <w:sz w:val="1"/>
                <w:szCs w:val="1"/>
                <w:color w:val="auto"/>
              </w:rPr>
            </w:pPr>
          </w:p>
        </w:tc>
      </w:tr>
      <w:tr>
        <w:trPr>
          <w:trHeight w:val="209"/>
        </w:trPr>
        <w:tc>
          <w:tcPr>
            <w:tcW w:w="5320" w:type="dxa"/>
            <w:vAlign w:val="bottom"/>
          </w:tcPr>
          <w:p>
            <w:pPr>
              <w:ind w:left="20"/>
              <w:spacing w:after="0"/>
              <w:rPr>
                <w:sz w:val="20"/>
                <w:szCs w:val="20"/>
                <w:color w:val="auto"/>
              </w:rPr>
            </w:pPr>
            <w:r>
              <w:rPr>
                <w:rFonts w:ascii="Arial" w:cs="Arial" w:eastAsia="Arial" w:hAnsi="Arial"/>
                <w:sz w:val="16"/>
                <w:szCs w:val="16"/>
                <w:color w:val="auto"/>
              </w:rPr>
              <w:t>Total revenue</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14,713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13,274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42,235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41,162</w:t>
            </w:r>
          </w:p>
        </w:tc>
        <w:tc>
          <w:tcPr>
            <w:tcW w:w="0" w:type="dxa"/>
            <w:vAlign w:val="bottom"/>
          </w:tcPr>
          <w:p>
            <w:pPr>
              <w:spacing w:after="0"/>
              <w:rPr>
                <w:sz w:val="1"/>
                <w:szCs w:val="1"/>
                <w:color w:val="auto"/>
              </w:rPr>
            </w:pPr>
          </w:p>
        </w:tc>
      </w:tr>
      <w:tr>
        <w:trPr>
          <w:trHeight w:val="217"/>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1,461</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1,280</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4,387</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3,629</w:t>
            </w:r>
          </w:p>
        </w:tc>
        <w:tc>
          <w:tcPr>
            <w:tcW w:w="0" w:type="dxa"/>
            <w:vAlign w:val="bottom"/>
          </w:tcPr>
          <w:p>
            <w:pPr>
              <w:spacing w:after="0"/>
              <w:rPr>
                <w:sz w:val="1"/>
                <w:szCs w:val="1"/>
                <w:color w:val="auto"/>
              </w:rPr>
            </w:pPr>
          </w:p>
        </w:tc>
      </w:tr>
      <w:tr>
        <w:trPr>
          <w:trHeight w:val="209"/>
        </w:trPr>
        <w:tc>
          <w:tcPr>
            <w:tcW w:w="53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Gross profit</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13,252</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11,994</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37,848</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37,533</w:t>
            </w:r>
          </w:p>
        </w:tc>
        <w:tc>
          <w:tcPr>
            <w:tcW w:w="0" w:type="dxa"/>
            <w:vAlign w:val="bottom"/>
          </w:tcPr>
          <w:p>
            <w:pPr>
              <w:spacing w:after="0"/>
              <w:rPr>
                <w:sz w:val="1"/>
                <w:szCs w:val="1"/>
                <w:color w:val="auto"/>
              </w:rPr>
            </w:pPr>
          </w:p>
        </w:tc>
      </w:tr>
      <w:tr>
        <w:trPr>
          <w:trHeight w:val="197"/>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320" w:type="dxa"/>
            <w:vAlign w:val="bottom"/>
          </w:tcPr>
          <w:p>
            <w:pPr>
              <w:ind w:left="140"/>
              <w:spacing w:after="0"/>
              <w:rPr>
                <w:sz w:val="20"/>
                <w:szCs w:val="20"/>
                <w:color w:val="auto"/>
              </w:rPr>
            </w:pPr>
            <w:r>
              <w:rPr>
                <w:rFonts w:ascii="Arial" w:cs="Arial" w:eastAsia="Arial" w:hAnsi="Arial"/>
                <w:sz w:val="16"/>
                <w:szCs w:val="16"/>
                <w:color w:val="auto"/>
              </w:rPr>
              <w:t>Research and development</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11,923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10,997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33,475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34,465</w:t>
            </w:r>
          </w:p>
        </w:tc>
        <w:tc>
          <w:tcPr>
            <w:tcW w:w="0" w:type="dxa"/>
            <w:vAlign w:val="bottom"/>
          </w:tcPr>
          <w:p>
            <w:pPr>
              <w:spacing w:after="0"/>
              <w:rPr>
                <w:sz w:val="1"/>
                <w:szCs w:val="1"/>
                <w:color w:val="auto"/>
              </w:rPr>
            </w:pPr>
          </w:p>
        </w:tc>
      </w:tr>
      <w:tr>
        <w:trPr>
          <w:trHeight w:val="217"/>
        </w:trPr>
        <w:tc>
          <w:tcPr>
            <w:tcW w:w="5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Sales and marketing</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4,962</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5,024</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15,431</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15,630</w:t>
            </w:r>
          </w:p>
        </w:tc>
        <w:tc>
          <w:tcPr>
            <w:tcW w:w="0" w:type="dxa"/>
            <w:vAlign w:val="bottom"/>
          </w:tcPr>
          <w:p>
            <w:pPr>
              <w:spacing w:after="0"/>
              <w:rPr>
                <w:sz w:val="1"/>
                <w:szCs w:val="1"/>
                <w:color w:val="auto"/>
              </w:rPr>
            </w:pPr>
          </w:p>
        </w:tc>
      </w:tr>
      <w:tr>
        <w:trPr>
          <w:trHeight w:val="215"/>
        </w:trPr>
        <w:tc>
          <w:tcPr>
            <w:tcW w:w="53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General and administrative</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4,286</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4,426</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13,436</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13,331</w:t>
            </w:r>
          </w:p>
        </w:tc>
        <w:tc>
          <w:tcPr>
            <w:tcW w:w="0" w:type="dxa"/>
            <w:vAlign w:val="bottom"/>
          </w:tcPr>
          <w:p>
            <w:pPr>
              <w:spacing w:after="0"/>
              <w:rPr>
                <w:sz w:val="1"/>
                <w:szCs w:val="1"/>
                <w:color w:val="auto"/>
              </w:rPr>
            </w:pPr>
          </w:p>
        </w:tc>
      </w:tr>
      <w:tr>
        <w:trPr>
          <w:trHeight w:val="210"/>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operating expenses</w:t>
            </w: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21,171</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20,447</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62,342</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63,426</w:t>
            </w:r>
          </w:p>
        </w:tc>
        <w:tc>
          <w:tcPr>
            <w:tcW w:w="0" w:type="dxa"/>
            <w:vAlign w:val="bottom"/>
          </w:tcPr>
          <w:p>
            <w:pPr>
              <w:spacing w:after="0"/>
              <w:rPr>
                <w:sz w:val="1"/>
                <w:szCs w:val="1"/>
                <w:color w:val="auto"/>
              </w:rPr>
            </w:pPr>
          </w:p>
        </w:tc>
      </w:tr>
      <w:tr>
        <w:trPr>
          <w:trHeight w:val="209"/>
        </w:trPr>
        <w:tc>
          <w:tcPr>
            <w:tcW w:w="5320" w:type="dxa"/>
            <w:vAlign w:val="bottom"/>
          </w:tcPr>
          <w:p>
            <w:pPr>
              <w:ind w:left="20"/>
              <w:spacing w:after="0"/>
              <w:rPr>
                <w:sz w:val="20"/>
                <w:szCs w:val="20"/>
                <w:color w:val="auto"/>
              </w:rPr>
            </w:pPr>
            <w:r>
              <w:rPr>
                <w:rFonts w:ascii="Arial" w:cs="Arial" w:eastAsia="Arial" w:hAnsi="Arial"/>
                <w:sz w:val="16"/>
                <w:szCs w:val="16"/>
                <w:color w:val="auto"/>
              </w:rPr>
              <w:t>Loss from operations</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(7,919)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(8,453)</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(24,494)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(25,893)</w:t>
            </w:r>
          </w:p>
        </w:tc>
        <w:tc>
          <w:tcPr>
            <w:tcW w:w="0" w:type="dxa"/>
            <w:vAlign w:val="bottom"/>
          </w:tcPr>
          <w:p>
            <w:pPr>
              <w:spacing w:after="0"/>
              <w:rPr>
                <w:sz w:val="1"/>
                <w:szCs w:val="1"/>
                <w:color w:val="auto"/>
              </w:rPr>
            </w:pPr>
          </w:p>
        </w:tc>
      </w:tr>
      <w:tr>
        <w:trPr>
          <w:trHeight w:val="217"/>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0" w:type="dxa"/>
            <w:vAlign w:val="bottom"/>
          </w:tcPr>
          <w:p>
            <w:pPr>
              <w:spacing w:after="0"/>
              <w:rPr>
                <w:sz w:val="1"/>
                <w:szCs w:val="1"/>
                <w:color w:val="auto"/>
              </w:rPr>
            </w:pPr>
          </w:p>
        </w:tc>
      </w:tr>
      <w:tr>
        <w:trPr>
          <w:trHeight w:val="215"/>
        </w:trPr>
        <w:tc>
          <w:tcPr>
            <w:tcW w:w="53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income (expense), net</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775</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898</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2,576</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2,641</w:t>
            </w:r>
          </w:p>
        </w:tc>
        <w:tc>
          <w:tcPr>
            <w:tcW w:w="0" w:type="dxa"/>
            <w:vAlign w:val="bottom"/>
          </w:tcPr>
          <w:p>
            <w:pPr>
              <w:spacing w:after="0"/>
              <w:rPr>
                <w:sz w:val="1"/>
                <w:szCs w:val="1"/>
                <w:color w:val="auto"/>
              </w:rPr>
            </w:pPr>
          </w:p>
        </w:tc>
      </w:tr>
      <w:tr>
        <w:trPr>
          <w:trHeight w:val="210"/>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before income taxes and loss from equity method investment</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(7,199)</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(7,632)</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(22,117)</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(23,388)</w:t>
            </w:r>
          </w:p>
        </w:tc>
        <w:tc>
          <w:tcPr>
            <w:tcW w:w="0" w:type="dxa"/>
            <w:vAlign w:val="bottom"/>
          </w:tcPr>
          <w:p>
            <w:pPr>
              <w:spacing w:after="0"/>
              <w:rPr>
                <w:sz w:val="1"/>
                <w:szCs w:val="1"/>
                <w:color w:val="auto"/>
              </w:rPr>
            </w:pPr>
          </w:p>
        </w:tc>
      </w:tr>
      <w:tr>
        <w:trPr>
          <w:trHeight w:val="215"/>
        </w:trPr>
        <w:tc>
          <w:tcPr>
            <w:tcW w:w="5320" w:type="dxa"/>
            <w:vAlign w:val="bottom"/>
          </w:tcPr>
          <w:p>
            <w:pPr>
              <w:ind w:left="20"/>
              <w:spacing w:after="0"/>
              <w:rPr>
                <w:sz w:val="20"/>
                <w:szCs w:val="20"/>
                <w:color w:val="auto"/>
              </w:rPr>
            </w:pPr>
            <w:r>
              <w:rPr>
                <w:rFonts w:ascii="Arial" w:cs="Arial" w:eastAsia="Arial" w:hAnsi="Arial"/>
                <w:sz w:val="16"/>
                <w:szCs w:val="16"/>
                <w:color w:val="auto"/>
              </w:rPr>
              <w:t>Loss from equity method investment, net of tax</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580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919</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2,064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2,487</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(benefit from) income taxes</w:t>
            </w: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(398)</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1,253</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453</w:t>
            </w:r>
          </w:p>
        </w:tc>
        <w:tc>
          <w:tcPr>
            <w:tcW w:w="0" w:type="dxa"/>
            <w:vAlign w:val="bottom"/>
          </w:tcPr>
          <w:p>
            <w:pPr>
              <w:spacing w:after="0"/>
              <w:rPr>
                <w:sz w:val="1"/>
                <w:szCs w:val="1"/>
                <w:color w:val="auto"/>
              </w:rPr>
            </w:pPr>
          </w:p>
        </w:tc>
      </w:tr>
      <w:tr>
        <w:trPr>
          <w:trHeight w:val="210"/>
        </w:trPr>
        <w:tc>
          <w:tcPr>
            <w:tcW w:w="5320" w:type="dxa"/>
            <w:vAlign w:val="bottom"/>
          </w:tcPr>
          <w:p>
            <w:pPr>
              <w:ind w:left="20"/>
              <w:spacing w:after="0"/>
              <w:rPr>
                <w:sz w:val="20"/>
                <w:szCs w:val="20"/>
                <w:color w:val="auto"/>
              </w:rPr>
            </w:pPr>
            <w:r>
              <w:rPr>
                <w:rFonts w:ascii="Arial" w:cs="Arial" w:eastAsia="Arial" w:hAnsi="Arial"/>
                <w:sz w:val="16"/>
                <w:szCs w:val="16"/>
                <w:color w:val="auto"/>
              </w:rPr>
              <w:t>Net loss</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(7,687)</w:t>
            </w:r>
          </w:p>
        </w:tc>
        <w:tc>
          <w:tcPr>
            <w:tcW w:w="8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(8,153)</w:t>
            </w:r>
          </w:p>
        </w:tc>
        <w:tc>
          <w:tcPr>
            <w:tcW w:w="8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(25,434)</w:t>
            </w:r>
          </w:p>
        </w:tc>
        <w:tc>
          <w:tcPr>
            <w:tcW w:w="8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(26,328)</w:t>
            </w:r>
          </w:p>
        </w:tc>
        <w:tc>
          <w:tcPr>
            <w:tcW w:w="0" w:type="dxa"/>
            <w:vAlign w:val="bottom"/>
          </w:tcPr>
          <w:p>
            <w:pPr>
              <w:spacing w:after="0"/>
              <w:rPr>
                <w:sz w:val="1"/>
                <w:szCs w:val="1"/>
                <w:color w:val="auto"/>
              </w:rPr>
            </w:pPr>
          </w:p>
        </w:tc>
      </w:tr>
      <w:tr>
        <w:trPr>
          <w:trHeight w:val="20"/>
        </w:trPr>
        <w:tc>
          <w:tcPr>
            <w:tcW w:w="53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3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620" w:type="dxa"/>
            <w:vAlign w:val="bottom"/>
            <w:gridSpan w:val="2"/>
          </w:tcPr>
          <w:p>
            <w:pPr>
              <w:ind w:left="20"/>
              <w:spacing w:after="0"/>
              <w:rPr>
                <w:sz w:val="20"/>
                <w:szCs w:val="20"/>
                <w:color w:val="auto"/>
              </w:rPr>
            </w:pPr>
            <w:r>
              <w:rPr>
                <w:rFonts w:ascii="Arial" w:cs="Arial" w:eastAsia="Arial" w:hAnsi="Arial"/>
                <w:sz w:val="16"/>
                <w:szCs w:val="16"/>
                <w:color w:val="auto"/>
              </w:rPr>
              <w:t>Net loss per share attributable to common stockholders, basic and diluted $</w:t>
            </w:r>
          </w:p>
        </w:tc>
        <w:tc>
          <w:tcPr>
            <w:tcW w:w="1080" w:type="dxa"/>
            <w:vAlign w:val="bottom"/>
          </w:tcPr>
          <w:p>
            <w:pPr>
              <w:jc w:val="right"/>
              <w:spacing w:after="0"/>
              <w:rPr>
                <w:sz w:val="20"/>
                <w:szCs w:val="20"/>
                <w:color w:val="auto"/>
              </w:rPr>
            </w:pPr>
            <w:r>
              <w:rPr>
                <w:rFonts w:ascii="Arial" w:cs="Arial" w:eastAsia="Arial" w:hAnsi="Arial"/>
                <w:sz w:val="16"/>
                <w:szCs w:val="16"/>
                <w:color w:val="auto"/>
              </w:rPr>
              <w:t>(0.20)</w:t>
            </w:r>
          </w:p>
        </w:tc>
        <w:tc>
          <w:tcPr>
            <w:tcW w:w="8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(0.23)</w:t>
            </w:r>
          </w:p>
        </w:tc>
        <w:tc>
          <w:tcPr>
            <w:tcW w:w="8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(0.66)</w:t>
            </w:r>
          </w:p>
        </w:tc>
        <w:tc>
          <w:tcPr>
            <w:tcW w:w="8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(0.75)</w:t>
            </w:r>
          </w:p>
        </w:tc>
        <w:tc>
          <w:tcPr>
            <w:tcW w:w="0" w:type="dxa"/>
            <w:vAlign w:val="bottom"/>
          </w:tcPr>
          <w:p>
            <w:pPr>
              <w:spacing w:after="0"/>
              <w:rPr>
                <w:sz w:val="1"/>
                <w:szCs w:val="1"/>
                <w:color w:val="auto"/>
              </w:rPr>
            </w:pPr>
          </w:p>
        </w:tc>
      </w:tr>
      <w:tr>
        <w:trPr>
          <w:trHeight w:val="163"/>
        </w:trPr>
        <w:tc>
          <w:tcPr>
            <w:tcW w:w="532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Weighted average shares used in computing per share amounts, basic</w:t>
            </w:r>
          </w:p>
        </w:tc>
        <w:tc>
          <w:tcPr>
            <w:tcW w:w="30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39,295,743</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36,010,106</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38,496,838</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35,291,207</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and diluted</w:t>
            </w:r>
          </w:p>
        </w:tc>
        <w:tc>
          <w:tcPr>
            <w:tcW w:w="30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3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accompanying notes to unaudited condensed consolidated financial statements.</w:t>
      </w:r>
    </w:p>
    <w:p>
      <w:pPr>
        <w:spacing w:after="0" w:line="200" w:lineRule="exact"/>
        <w:rPr>
          <w:sz w:val="20"/>
          <w:szCs w:val="20"/>
          <w:color w:val="auto"/>
        </w:rPr>
      </w:pPr>
    </w:p>
    <w:p>
      <w:pPr>
        <w:spacing w:after="0" w:line="39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36" w:right="519" w:bottom="1440" w:gutter="0" w:footer="0" w:header="0"/>
        </w:sectPr>
      </w:pPr>
    </w:p>
    <w:bookmarkStart w:id="4" w:name="page5"/>
    <w:bookmarkEnd w:id="4"/>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79"/>
        <w:spacing w:after="0"/>
        <w:rPr>
          <w:sz w:val="20"/>
          <w:szCs w:val="20"/>
          <w:color w:val="auto"/>
        </w:rPr>
      </w:pPr>
      <w:r>
        <w:rPr>
          <w:rFonts w:ascii="Arial" w:cs="Arial" w:eastAsia="Arial" w:hAnsi="Arial"/>
          <w:sz w:val="16"/>
          <w:szCs w:val="16"/>
          <w:b w:val="1"/>
          <w:bCs w:val="1"/>
          <w:color w:val="auto"/>
        </w:rPr>
        <w:t>Arteris, Inc.</w:t>
      </w:r>
    </w:p>
    <w:p>
      <w:pPr>
        <w:spacing w:after="0" w:line="21" w:lineRule="exact"/>
        <w:rPr>
          <w:sz w:val="20"/>
          <w:szCs w:val="20"/>
          <w:color w:val="auto"/>
        </w:rPr>
      </w:pPr>
    </w:p>
    <w:p>
      <w:pPr>
        <w:jc w:val="center"/>
        <w:ind w:right="-179"/>
        <w:spacing w:after="0"/>
        <w:rPr>
          <w:sz w:val="20"/>
          <w:szCs w:val="20"/>
          <w:color w:val="auto"/>
        </w:rPr>
      </w:pPr>
      <w:r>
        <w:rPr>
          <w:rFonts w:ascii="Arial" w:cs="Arial" w:eastAsia="Arial" w:hAnsi="Arial"/>
          <w:sz w:val="16"/>
          <w:szCs w:val="16"/>
          <w:b w:val="1"/>
          <w:bCs w:val="1"/>
          <w:color w:val="auto"/>
        </w:rPr>
        <w:t>Condensed Consolidated Statements of Comprehensive Loss</w:t>
      </w:r>
    </w:p>
    <w:p>
      <w:pPr>
        <w:spacing w:after="0" w:line="19"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(In thousands)</w:t>
      </w:r>
    </w:p>
    <w:p>
      <w:pPr>
        <w:spacing w:after="0" w:line="5"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(Unaudited)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80" w:type="dxa"/>
            <w:vAlign w:val="bottom"/>
            <w:gridSpan w:val="5"/>
          </w:tcPr>
          <w:p>
            <w:pPr>
              <w:jc w:val="center"/>
              <w:ind w:right="380"/>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tcPr>
          <w:p>
            <w:pPr>
              <w:spacing w:after="0"/>
              <w:rPr>
                <w:sz w:val="16"/>
                <w:szCs w:val="16"/>
                <w:color w:val="auto"/>
              </w:rPr>
            </w:pPr>
          </w:p>
        </w:tc>
        <w:tc>
          <w:tcPr>
            <w:tcW w:w="2520" w:type="dxa"/>
            <w:vAlign w:val="bottom"/>
            <w:gridSpan w:val="4"/>
          </w:tcPr>
          <w:p>
            <w:pPr>
              <w:jc w:val="right"/>
              <w:ind w:right="599"/>
              <w:spacing w:after="0"/>
              <w:rPr>
                <w:sz w:val="20"/>
                <w:szCs w:val="20"/>
                <w:color w:val="auto"/>
              </w:rPr>
            </w:pPr>
            <w:r>
              <w:rPr>
                <w:rFonts w:ascii="Arial" w:cs="Arial" w:eastAsia="Arial" w:hAnsi="Arial"/>
                <w:sz w:val="16"/>
                <w:szCs w:val="16"/>
                <w:b w:val="1"/>
                <w:bCs w:val="1"/>
                <w:color w:val="auto"/>
              </w:rPr>
              <w:t>Nine Months Ended</w:t>
            </w:r>
          </w:p>
        </w:tc>
      </w:tr>
      <w:tr>
        <w:trPr>
          <w:trHeight w:val="216"/>
        </w:trPr>
        <w:tc>
          <w:tcPr>
            <w:tcW w:w="5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80" w:type="dxa"/>
            <w:vAlign w:val="bottom"/>
            <w:gridSpan w:val="5"/>
          </w:tcPr>
          <w:p>
            <w:pPr>
              <w:jc w:val="center"/>
              <w:ind w:right="380"/>
              <w:spacing w:after="0"/>
              <w:rPr>
                <w:sz w:val="20"/>
                <w:szCs w:val="20"/>
                <w:color w:val="auto"/>
              </w:rPr>
            </w:pPr>
            <w:r>
              <w:rPr>
                <w:rFonts w:ascii="Arial" w:cs="Arial" w:eastAsia="Arial" w:hAnsi="Arial"/>
                <w:sz w:val="16"/>
                <w:szCs w:val="16"/>
                <w:b w:val="1"/>
                <w:bCs w:val="1"/>
                <w:color w:val="auto"/>
              </w:rPr>
              <w:t>September 30,</w:t>
            </w:r>
          </w:p>
        </w:tc>
        <w:tc>
          <w:tcPr>
            <w:tcW w:w="300" w:type="dxa"/>
            <w:vAlign w:val="bottom"/>
          </w:tcPr>
          <w:p>
            <w:pPr>
              <w:spacing w:after="0"/>
              <w:rPr>
                <w:sz w:val="18"/>
                <w:szCs w:val="18"/>
                <w:color w:val="auto"/>
              </w:rPr>
            </w:pPr>
          </w:p>
        </w:tc>
        <w:tc>
          <w:tcPr>
            <w:tcW w:w="2520" w:type="dxa"/>
            <w:vAlign w:val="bottom"/>
            <w:gridSpan w:val="4"/>
          </w:tcPr>
          <w:p>
            <w:pPr>
              <w:jc w:val="right"/>
              <w:ind w:right="779"/>
              <w:spacing w:after="0"/>
              <w:rPr>
                <w:sz w:val="20"/>
                <w:szCs w:val="20"/>
                <w:color w:val="auto"/>
              </w:rPr>
            </w:pPr>
            <w:r>
              <w:rPr>
                <w:rFonts w:ascii="Arial" w:cs="Arial" w:eastAsia="Arial" w:hAnsi="Arial"/>
                <w:sz w:val="16"/>
                <w:szCs w:val="16"/>
                <w:b w:val="1"/>
                <w:bCs w:val="1"/>
                <w:color w:val="auto"/>
              </w:rPr>
              <w:t>September 30,</w:t>
            </w:r>
          </w:p>
        </w:tc>
      </w:tr>
      <w:tr>
        <w:trPr>
          <w:trHeight w:val="210"/>
        </w:trPr>
        <w:tc>
          <w:tcPr>
            <w:tcW w:w="536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2023</w:t>
            </w:r>
          </w:p>
        </w:tc>
      </w:tr>
      <w:tr>
        <w:trPr>
          <w:trHeight w:val="34"/>
        </w:trPr>
        <w:tc>
          <w:tcPr>
            <w:tcW w:w="5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16"/>
        </w:trPr>
        <w:tc>
          <w:tcPr>
            <w:tcW w:w="5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(7,687)</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(8,153)</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(25,434)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(26,328)</w:t>
            </w:r>
          </w:p>
        </w:tc>
      </w:tr>
      <w:tr>
        <w:trPr>
          <w:trHeight w:val="215"/>
        </w:trPr>
        <w:tc>
          <w:tcPr>
            <w:tcW w:w="5360" w:type="dxa"/>
            <w:vAlign w:val="bottom"/>
          </w:tcPr>
          <w:p>
            <w:pPr>
              <w:ind w:left="20"/>
              <w:spacing w:after="0"/>
              <w:rPr>
                <w:sz w:val="20"/>
                <w:szCs w:val="20"/>
                <w:color w:val="auto"/>
              </w:rPr>
            </w:pPr>
            <w:r>
              <w:rPr>
                <w:rFonts w:ascii="Arial" w:cs="Arial" w:eastAsia="Arial" w:hAnsi="Arial"/>
                <w:sz w:val="16"/>
                <w:szCs w:val="16"/>
                <w:color w:val="auto"/>
              </w:rPr>
              <w:t>Other comprehensive loss:</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7"/>
        </w:trPr>
        <w:tc>
          <w:tcPr>
            <w:tcW w:w="5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Unrealized gains (losses) on available-for-sale securities, net of tax</w:t>
            </w: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w:t>
            </w:r>
          </w:p>
        </w:tc>
      </w:tr>
      <w:tr>
        <w:trPr>
          <w:trHeight w:val="209"/>
        </w:trPr>
        <w:tc>
          <w:tcPr>
            <w:tcW w:w="5360" w:type="dxa"/>
            <w:vAlign w:val="bottom"/>
          </w:tcPr>
          <w:p>
            <w:pPr>
              <w:ind w:left="20"/>
              <w:spacing w:after="0"/>
              <w:rPr>
                <w:sz w:val="20"/>
                <w:szCs w:val="20"/>
                <w:color w:val="auto"/>
              </w:rPr>
            </w:pPr>
            <w:r>
              <w:rPr>
                <w:rFonts w:ascii="Arial" w:cs="Arial" w:eastAsia="Arial" w:hAnsi="Arial"/>
                <w:sz w:val="16"/>
                <w:szCs w:val="16"/>
                <w:color w:val="auto"/>
              </w:rPr>
              <w:t>Comprehensive loss</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(7,553)</w:t>
            </w:r>
          </w:p>
        </w:tc>
        <w:tc>
          <w:tcPr>
            <w:tcW w:w="8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(8,141)</w:t>
            </w:r>
          </w:p>
        </w:tc>
        <w:tc>
          <w:tcPr>
            <w:tcW w:w="80" w:type="dxa"/>
            <w:vAlign w:val="bottom"/>
          </w:tcPr>
          <w:p>
            <w:pPr>
              <w:spacing w:after="0"/>
              <w:rPr>
                <w:sz w:val="18"/>
                <w:szCs w:val="18"/>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(25,382)</w:t>
            </w: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(26,383)</w:t>
            </w:r>
          </w:p>
        </w:tc>
      </w:tr>
      <w:tr>
        <w:trPr>
          <w:trHeight w:val="21"/>
        </w:trPr>
        <w:tc>
          <w:tcPr>
            <w:tcW w:w="5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accompanying notes to unaudited condensed consolidated financial statements.</w:t>
      </w:r>
    </w:p>
    <w:p>
      <w:pPr>
        <w:spacing w:after="0" w:line="200" w:lineRule="exact"/>
        <w:rPr>
          <w:sz w:val="20"/>
          <w:szCs w:val="20"/>
          <w:color w:val="auto"/>
        </w:rPr>
      </w:pPr>
    </w:p>
    <w:p>
      <w:pPr>
        <w:spacing w:after="0" w:line="39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36" w:right="519" w:bottom="1440" w:gutter="0" w:footer="0" w:header="0"/>
        </w:sectPr>
      </w:pPr>
    </w:p>
    <w:bookmarkStart w:id="5" w:name="page6"/>
    <w:bookmarkEnd w:id="5"/>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Arteris,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Stockholders' Equity</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 except share data)</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2100" w:type="dxa"/>
            <w:vAlign w:val="bottom"/>
            <w:tcBorders>
              <w:top w:val="single" w:sz="8" w:color="auto"/>
              <w:bottom w:val="single" w:sz="8" w:color="auto"/>
            </w:tcBorders>
            <w:gridSpan w:val="5"/>
          </w:tcPr>
          <w:p>
            <w:pPr>
              <w:ind w:left="320"/>
              <w:spacing w:after="0"/>
              <w:rPr>
                <w:sz w:val="20"/>
                <w:szCs w:val="20"/>
                <w:color w:val="auto"/>
              </w:rPr>
            </w:pPr>
            <w:r>
              <w:rPr>
                <w:rFonts w:ascii="Arial" w:cs="Arial" w:eastAsia="Arial" w:hAnsi="Arial"/>
                <w:sz w:val="14"/>
                <w:szCs w:val="14"/>
                <w:b w:val="1"/>
                <w:bCs w:val="1"/>
                <w:color w:val="auto"/>
              </w:rPr>
              <w:t>Stockholders’ Equity</w:t>
            </w:r>
          </w:p>
        </w:tc>
        <w:tc>
          <w:tcPr>
            <w:tcW w:w="16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5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2"/>
                <w:szCs w:val="12"/>
                <w:color w:val="auto"/>
              </w:rPr>
            </w:pPr>
          </w:p>
        </w:tc>
        <w:tc>
          <w:tcPr>
            <w:tcW w:w="1120" w:type="dxa"/>
            <w:vAlign w:val="bottom"/>
            <w:gridSpan w:val="2"/>
          </w:tcPr>
          <w:p>
            <w:pPr>
              <w:jc w:val="center"/>
              <w:ind w:right="220"/>
              <w:spacing w:after="0" w:line="143" w:lineRule="exact"/>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5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40" w:type="dxa"/>
            <w:vAlign w:val="bottom"/>
            <w:tcBorders>
              <w:bottom w:val="single" w:sz="8" w:color="auto"/>
            </w:tcBorders>
            <w:gridSpan w:val="4"/>
          </w:tcPr>
          <w:p>
            <w:pPr>
              <w:jc w:val="right"/>
              <w:ind w:right="260"/>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Pr>
          <w:p>
            <w:pPr>
              <w:spacing w:after="0"/>
              <w:rPr>
                <w:sz w:val="17"/>
                <w:szCs w:val="17"/>
                <w:color w:val="auto"/>
              </w:rPr>
            </w:pPr>
          </w:p>
        </w:tc>
        <w:tc>
          <w:tcPr>
            <w:tcW w:w="8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8"/>
              </w:rPr>
              <w:t>Paid-In</w:t>
            </w:r>
          </w:p>
        </w:tc>
        <w:tc>
          <w:tcPr>
            <w:tcW w:w="1240" w:type="dxa"/>
            <w:vAlign w:val="bottom"/>
            <w:gridSpan w:val="3"/>
          </w:tcPr>
          <w:p>
            <w:pPr>
              <w:ind w:left="40"/>
              <w:spacing w:after="0"/>
              <w:rPr>
                <w:sz w:val="20"/>
                <w:szCs w:val="20"/>
                <w:color w:val="auto"/>
              </w:rPr>
            </w:pPr>
            <w:r>
              <w:rPr>
                <w:rFonts w:ascii="Arial" w:cs="Arial" w:eastAsia="Arial" w:hAnsi="Arial"/>
                <w:sz w:val="14"/>
                <w:szCs w:val="14"/>
                <w:b w:val="1"/>
                <w:bCs w:val="1"/>
                <w:color w:val="auto"/>
              </w:rPr>
              <w:t>Comprehensive</w:t>
            </w: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Amount</w:t>
            </w:r>
          </w:p>
        </w:tc>
        <w:tc>
          <w:tcPr>
            <w:tcW w:w="86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rPr>
              <w:t>Income</w:t>
            </w: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Deficit</w:t>
            </w:r>
          </w:p>
        </w:tc>
        <w:tc>
          <w:tcPr>
            <w:tcW w:w="1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35"/>
        </w:trPr>
        <w:tc>
          <w:tcPr>
            <w:tcW w:w="544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BALANCE—June 30, 2024</w:t>
            </w:r>
          </w:p>
        </w:tc>
        <w:tc>
          <w:tcPr>
            <w:tcW w:w="8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39,193,088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w w:val="95"/>
              </w:rPr>
              <w:t>$ 126,192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(120,994)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5,275</w:t>
            </w:r>
          </w:p>
        </w:tc>
        <w:tc>
          <w:tcPr>
            <w:tcW w:w="0" w:type="dxa"/>
            <w:vAlign w:val="bottom"/>
          </w:tcPr>
          <w:p>
            <w:pPr>
              <w:spacing w:after="0"/>
              <w:rPr>
                <w:sz w:val="1"/>
                <w:szCs w:val="1"/>
                <w:color w:val="auto"/>
              </w:rPr>
            </w:pPr>
          </w:p>
        </w:tc>
      </w:tr>
      <w:tr>
        <w:trPr>
          <w:trHeight w:val="215"/>
        </w:trPr>
        <w:tc>
          <w:tcPr>
            <w:tcW w:w="5520" w:type="dxa"/>
            <w:vAlign w:val="bottom"/>
            <w:gridSpan w:val="2"/>
          </w:tcPr>
          <w:p>
            <w:pPr>
              <w:ind w:left="140"/>
              <w:spacing w:after="0"/>
              <w:rPr>
                <w:sz w:val="20"/>
                <w:szCs w:val="20"/>
                <w:color w:val="auto"/>
              </w:rPr>
            </w:pPr>
            <w:r>
              <w:rPr>
                <w:rFonts w:ascii="Arial" w:cs="Arial" w:eastAsia="Arial" w:hAnsi="Arial"/>
                <w:sz w:val="16"/>
                <w:szCs w:val="16"/>
                <w:color w:val="auto"/>
              </w:rPr>
              <w:t>Issuance of common stock upon exercise of stock options</w:t>
            </w:r>
          </w:p>
        </w:tc>
        <w:tc>
          <w:tcPr>
            <w:tcW w:w="880" w:type="dxa"/>
            <w:vAlign w:val="bottom"/>
          </w:tcPr>
          <w:p>
            <w:pPr>
              <w:jc w:val="right"/>
              <w:spacing w:after="0"/>
              <w:rPr>
                <w:sz w:val="20"/>
                <w:szCs w:val="20"/>
                <w:color w:val="auto"/>
              </w:rPr>
            </w:pPr>
            <w:r>
              <w:rPr>
                <w:rFonts w:ascii="Arial" w:cs="Arial" w:eastAsia="Arial" w:hAnsi="Arial"/>
                <w:sz w:val="16"/>
                <w:szCs w:val="16"/>
                <w:color w:val="auto"/>
              </w:rPr>
              <w:t>125,978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
              <w:spacing w:after="0"/>
              <w:rPr>
                <w:sz w:val="20"/>
                <w:szCs w:val="20"/>
                <w:color w:val="auto"/>
              </w:rPr>
            </w:pPr>
            <w:r>
              <w:rPr>
                <w:rFonts w:ascii="Arial" w:cs="Arial" w:eastAsia="Arial" w:hAnsi="Arial"/>
                <w:sz w:val="16"/>
                <w:szCs w:val="16"/>
                <w:color w:val="auto"/>
              </w:rPr>
              <w:t>119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119</w:t>
            </w:r>
          </w:p>
        </w:tc>
        <w:tc>
          <w:tcPr>
            <w:tcW w:w="0" w:type="dxa"/>
            <w:vAlign w:val="bottom"/>
          </w:tcPr>
          <w:p>
            <w:pPr>
              <w:spacing w:after="0"/>
              <w:rPr>
                <w:sz w:val="1"/>
                <w:szCs w:val="1"/>
                <w:color w:val="auto"/>
              </w:rPr>
            </w:pPr>
          </w:p>
        </w:tc>
      </w:tr>
      <w:tr>
        <w:trPr>
          <w:trHeight w:val="163"/>
        </w:trPr>
        <w:tc>
          <w:tcPr>
            <w:tcW w:w="5520" w:type="dxa"/>
            <w:vAlign w:val="bottom"/>
            <w:gridSpan w:val="2"/>
            <w:shd w:val="clear" w:color="auto" w:fill="CCEEFF"/>
          </w:tcPr>
          <w:p>
            <w:pPr>
              <w:ind w:left="140"/>
              <w:spacing w:after="0" w:line="163" w:lineRule="exact"/>
              <w:rPr>
                <w:sz w:val="20"/>
                <w:szCs w:val="20"/>
                <w:color w:val="auto"/>
              </w:rPr>
            </w:pPr>
            <w:r>
              <w:rPr>
                <w:rFonts w:ascii="Arial" w:cs="Arial" w:eastAsia="Arial" w:hAnsi="Arial"/>
                <w:sz w:val="16"/>
                <w:szCs w:val="16"/>
                <w:color w:val="auto"/>
              </w:rPr>
              <w:t>Issuance of common stock for settlement of Restricted Stock Units</w:t>
            </w:r>
          </w:p>
        </w:tc>
        <w:tc>
          <w:tcPr>
            <w:tcW w:w="880" w:type="dxa"/>
            <w:vAlign w:val="bottom"/>
            <w:shd w:val="clear" w:color="auto" w:fill="CCEEFF"/>
          </w:tcPr>
          <w:p>
            <w:pPr>
              <w:jc w:val="right"/>
              <w:spacing w:after="0" w:line="163" w:lineRule="exact"/>
              <w:rPr>
                <w:sz w:val="20"/>
                <w:szCs w:val="20"/>
                <w:color w:val="auto"/>
              </w:rPr>
            </w:pPr>
            <w:r>
              <w:rPr>
                <w:rFonts w:ascii="Arial" w:cs="Arial" w:eastAsia="Arial" w:hAnsi="Arial"/>
                <w:sz w:val="16"/>
                <w:szCs w:val="16"/>
                <w:color w:val="auto"/>
              </w:rPr>
              <w:t>808,410</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3" w:lineRule="exact"/>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line="163" w:lineRule="exact"/>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60"/>
              <w:spacing w:after="0" w:line="163" w:lineRule="exact"/>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ind w:left="560"/>
              <w:spacing w:after="0" w:line="163" w:lineRule="exact"/>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line="16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(RSUs)</w:t>
            </w: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520" w:type="dxa"/>
            <w:vAlign w:val="bottom"/>
            <w:gridSpan w:val="2"/>
          </w:tcPr>
          <w:p>
            <w:pPr>
              <w:ind w:left="140"/>
              <w:spacing w:after="0"/>
              <w:rPr>
                <w:sz w:val="20"/>
                <w:szCs w:val="20"/>
                <w:color w:val="auto"/>
              </w:rPr>
            </w:pPr>
            <w:r>
              <w:rPr>
                <w:rFonts w:ascii="Arial" w:cs="Arial" w:eastAsia="Arial" w:hAnsi="Arial"/>
                <w:sz w:val="16"/>
                <w:szCs w:val="16"/>
                <w:color w:val="auto"/>
              </w:rPr>
              <w:t>Stock-based compensation expense</w:t>
            </w: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
              <w:spacing w:after="0"/>
              <w:rPr>
                <w:sz w:val="20"/>
                <w:szCs w:val="20"/>
                <w:color w:val="auto"/>
              </w:rPr>
            </w:pPr>
            <w:r>
              <w:rPr>
                <w:rFonts w:ascii="Arial" w:cs="Arial" w:eastAsia="Arial" w:hAnsi="Arial"/>
                <w:sz w:val="16"/>
                <w:szCs w:val="16"/>
                <w:color w:val="auto"/>
              </w:rPr>
              <w:t>4,368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4,368</w:t>
            </w:r>
          </w:p>
        </w:tc>
        <w:tc>
          <w:tcPr>
            <w:tcW w:w="0" w:type="dxa"/>
            <w:vAlign w:val="bottom"/>
          </w:tcPr>
          <w:p>
            <w:pPr>
              <w:spacing w:after="0"/>
              <w:rPr>
                <w:sz w:val="1"/>
                <w:szCs w:val="1"/>
                <w:color w:val="auto"/>
              </w:rPr>
            </w:pPr>
          </w:p>
        </w:tc>
      </w:tr>
      <w:tr>
        <w:trPr>
          <w:trHeight w:val="217"/>
        </w:trPr>
        <w:tc>
          <w:tcPr>
            <w:tcW w:w="55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Unrealized gains on available-for-sale securities, net of tax</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w:t>
            </w:r>
          </w:p>
        </w:tc>
        <w:tc>
          <w:tcPr>
            <w:tcW w:w="0" w:type="dxa"/>
            <w:vAlign w:val="bottom"/>
          </w:tcPr>
          <w:p>
            <w:pPr>
              <w:spacing w:after="0"/>
              <w:rPr>
                <w:sz w:val="1"/>
                <w:szCs w:val="1"/>
                <w:color w:val="auto"/>
              </w:rPr>
            </w:pPr>
          </w:p>
        </w:tc>
      </w:tr>
      <w:tr>
        <w:trPr>
          <w:trHeight w:val="215"/>
        </w:trPr>
        <w:tc>
          <w:tcPr>
            <w:tcW w:w="5520" w:type="dxa"/>
            <w:vAlign w:val="bottom"/>
            <w:gridSpan w:val="2"/>
          </w:tcPr>
          <w:p>
            <w:pPr>
              <w:ind w:left="140"/>
              <w:spacing w:after="0"/>
              <w:rPr>
                <w:sz w:val="20"/>
                <w:szCs w:val="20"/>
                <w:color w:val="auto"/>
              </w:rPr>
            </w:pPr>
            <w:r>
              <w:rPr>
                <w:rFonts w:ascii="Arial" w:cs="Arial" w:eastAsia="Arial" w:hAnsi="Arial"/>
                <w:sz w:val="16"/>
                <w:szCs w:val="16"/>
                <w:color w:val="auto"/>
              </w:rPr>
              <w:t>Net loss</w:t>
            </w: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(7,687)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(7,687)</w:t>
            </w:r>
          </w:p>
        </w:tc>
        <w:tc>
          <w:tcPr>
            <w:tcW w:w="0" w:type="dxa"/>
            <w:vAlign w:val="bottom"/>
          </w:tcPr>
          <w:p>
            <w:pPr>
              <w:spacing w:after="0"/>
              <w:rPr>
                <w:sz w:val="1"/>
                <w:szCs w:val="1"/>
                <w:color w:val="auto"/>
              </w:rPr>
            </w:pPr>
          </w:p>
        </w:tc>
      </w:tr>
      <w:tr>
        <w:trPr>
          <w:trHeight w:val="235"/>
        </w:trPr>
        <w:tc>
          <w:tcPr>
            <w:tcW w:w="55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BALANCE—September 30, 2024</w:t>
            </w:r>
          </w:p>
        </w:tc>
        <w:tc>
          <w:tcPr>
            <w:tcW w:w="8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40,127,476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u w:val="single" w:color="auto"/>
                <w:color w:val="auto"/>
                <w:w w:val="95"/>
              </w:rPr>
              <w:t>$</w:t>
            </w:r>
            <w:r>
              <w:rPr>
                <w:rFonts w:ascii="Arial" w:cs="Arial" w:eastAsia="Arial" w:hAnsi="Arial"/>
                <w:sz w:val="16"/>
                <w:szCs w:val="16"/>
                <w:color w:val="auto"/>
                <w:w w:val="95"/>
              </w:rPr>
              <w:t xml:space="preserve"> 130,678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(128,681)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2,209</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54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5"/>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5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b w:val="1"/>
                <w:bCs w:val="1"/>
                <w:color w:val="auto"/>
              </w:rPr>
              <w:t>Stockholders’ Equity</w:t>
            </w: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5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2"/>
                <w:szCs w:val="12"/>
                <w:color w:val="auto"/>
              </w:rPr>
            </w:pPr>
          </w:p>
        </w:tc>
        <w:tc>
          <w:tcPr>
            <w:tcW w:w="112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5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40" w:type="dxa"/>
            <w:vAlign w:val="bottom"/>
            <w:tcBorders>
              <w:bottom w:val="single" w:sz="8" w:color="auto"/>
            </w:tcBorders>
            <w:gridSpan w:val="4"/>
          </w:tcPr>
          <w:p>
            <w:pPr>
              <w:jc w:val="right"/>
              <w:ind w:right="260"/>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Pr>
          <w:p>
            <w:pPr>
              <w:spacing w:after="0"/>
              <w:rPr>
                <w:sz w:val="17"/>
                <w:szCs w:val="17"/>
                <w:color w:val="auto"/>
              </w:rPr>
            </w:pPr>
          </w:p>
        </w:tc>
        <w:tc>
          <w:tcPr>
            <w:tcW w:w="8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8"/>
              </w:rPr>
              <w:t>Paid-In</w:t>
            </w:r>
          </w:p>
        </w:tc>
        <w:tc>
          <w:tcPr>
            <w:tcW w:w="1240" w:type="dxa"/>
            <w:vAlign w:val="bottom"/>
            <w:gridSpan w:val="3"/>
          </w:tcPr>
          <w:p>
            <w:pPr>
              <w:ind w:left="40"/>
              <w:spacing w:after="0"/>
              <w:rPr>
                <w:sz w:val="20"/>
                <w:szCs w:val="20"/>
                <w:color w:val="auto"/>
              </w:rPr>
            </w:pPr>
            <w:r>
              <w:rPr>
                <w:rFonts w:ascii="Arial" w:cs="Arial" w:eastAsia="Arial" w:hAnsi="Arial"/>
                <w:sz w:val="14"/>
                <w:szCs w:val="14"/>
                <w:b w:val="1"/>
                <w:bCs w:val="1"/>
                <w:color w:val="auto"/>
              </w:rPr>
              <w:t>Comprehensive</w:t>
            </w: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Amount</w:t>
            </w:r>
          </w:p>
        </w:tc>
        <w:tc>
          <w:tcPr>
            <w:tcW w:w="86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rPr>
              <w:t>Income</w:t>
            </w: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Deficit</w:t>
            </w:r>
          </w:p>
        </w:tc>
        <w:tc>
          <w:tcPr>
            <w:tcW w:w="1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35"/>
        </w:trPr>
        <w:tc>
          <w:tcPr>
            <w:tcW w:w="544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BALANCE—June 30, 2023</w:t>
            </w:r>
          </w:p>
        </w:tc>
        <w:tc>
          <w:tcPr>
            <w:tcW w:w="8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36,033,361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w w:val="95"/>
              </w:rPr>
              <w:t>$ 111,403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(84,553)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26,920</w:t>
            </w:r>
          </w:p>
        </w:tc>
        <w:tc>
          <w:tcPr>
            <w:tcW w:w="0" w:type="dxa"/>
            <w:vAlign w:val="bottom"/>
          </w:tcPr>
          <w:p>
            <w:pPr>
              <w:spacing w:after="0"/>
              <w:rPr>
                <w:sz w:val="1"/>
                <w:szCs w:val="1"/>
                <w:color w:val="auto"/>
              </w:rPr>
            </w:pPr>
          </w:p>
        </w:tc>
      </w:tr>
      <w:tr>
        <w:trPr>
          <w:trHeight w:val="215"/>
        </w:trPr>
        <w:tc>
          <w:tcPr>
            <w:tcW w:w="5520" w:type="dxa"/>
            <w:vAlign w:val="bottom"/>
            <w:gridSpan w:val="2"/>
          </w:tcPr>
          <w:p>
            <w:pPr>
              <w:ind w:left="140"/>
              <w:spacing w:after="0"/>
              <w:rPr>
                <w:sz w:val="20"/>
                <w:szCs w:val="20"/>
                <w:color w:val="auto"/>
              </w:rPr>
            </w:pPr>
            <w:r>
              <w:rPr>
                <w:rFonts w:ascii="Arial" w:cs="Arial" w:eastAsia="Arial" w:hAnsi="Arial"/>
                <w:sz w:val="16"/>
                <w:szCs w:val="16"/>
                <w:color w:val="auto"/>
              </w:rPr>
              <w:t>Issuance of common stock upon exercise of stock options</w:t>
            </w:r>
          </w:p>
        </w:tc>
        <w:tc>
          <w:tcPr>
            <w:tcW w:w="880" w:type="dxa"/>
            <w:vAlign w:val="bottom"/>
          </w:tcPr>
          <w:p>
            <w:pPr>
              <w:jc w:val="right"/>
              <w:spacing w:after="0"/>
              <w:rPr>
                <w:sz w:val="20"/>
                <w:szCs w:val="20"/>
                <w:color w:val="auto"/>
              </w:rPr>
            </w:pPr>
            <w:r>
              <w:rPr>
                <w:rFonts w:ascii="Arial" w:cs="Arial" w:eastAsia="Arial" w:hAnsi="Arial"/>
                <w:sz w:val="16"/>
                <w:szCs w:val="16"/>
                <w:color w:val="auto"/>
              </w:rPr>
              <w:t>135,750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
              <w:spacing w:after="0"/>
              <w:rPr>
                <w:sz w:val="20"/>
                <w:szCs w:val="20"/>
                <w:color w:val="auto"/>
              </w:rPr>
            </w:pPr>
            <w:r>
              <w:rPr>
                <w:rFonts w:ascii="Arial" w:cs="Arial" w:eastAsia="Arial" w:hAnsi="Arial"/>
                <w:sz w:val="16"/>
                <w:szCs w:val="16"/>
                <w:color w:val="auto"/>
              </w:rPr>
              <w:t>43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17"/>
        </w:trPr>
        <w:tc>
          <w:tcPr>
            <w:tcW w:w="55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Issuance of common stock for settlement of RSUs</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728,362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5520" w:type="dxa"/>
            <w:vAlign w:val="bottom"/>
            <w:gridSpan w:val="2"/>
          </w:tcPr>
          <w:p>
            <w:pPr>
              <w:ind w:left="140"/>
              <w:spacing w:after="0"/>
              <w:rPr>
                <w:sz w:val="20"/>
                <w:szCs w:val="20"/>
                <w:color w:val="auto"/>
              </w:rPr>
            </w:pPr>
            <w:r>
              <w:rPr>
                <w:rFonts w:ascii="Arial" w:cs="Arial" w:eastAsia="Arial" w:hAnsi="Arial"/>
                <w:sz w:val="16"/>
                <w:szCs w:val="16"/>
                <w:color w:val="auto"/>
              </w:rPr>
              <w:t>Tax withholding on RSUs settlement</w:t>
            </w:r>
          </w:p>
        </w:tc>
        <w:tc>
          <w:tcPr>
            <w:tcW w:w="880" w:type="dxa"/>
            <w:vAlign w:val="bottom"/>
          </w:tcPr>
          <w:p>
            <w:pPr>
              <w:jc w:val="right"/>
              <w:spacing w:after="0"/>
              <w:rPr>
                <w:sz w:val="20"/>
                <w:szCs w:val="20"/>
                <w:color w:val="auto"/>
              </w:rPr>
            </w:pPr>
            <w:r>
              <w:rPr>
                <w:rFonts w:ascii="Arial" w:cs="Arial" w:eastAsia="Arial" w:hAnsi="Arial"/>
                <w:sz w:val="16"/>
                <w:szCs w:val="16"/>
                <w:color w:val="auto"/>
              </w:rPr>
              <w:t>(70,818)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(507)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(507)</w:t>
            </w:r>
          </w:p>
        </w:tc>
        <w:tc>
          <w:tcPr>
            <w:tcW w:w="0" w:type="dxa"/>
            <w:vAlign w:val="bottom"/>
          </w:tcPr>
          <w:p>
            <w:pPr>
              <w:spacing w:after="0"/>
              <w:rPr>
                <w:sz w:val="1"/>
                <w:szCs w:val="1"/>
                <w:color w:val="auto"/>
              </w:rPr>
            </w:pPr>
          </w:p>
        </w:tc>
      </w:tr>
      <w:tr>
        <w:trPr>
          <w:trHeight w:val="217"/>
        </w:trPr>
        <w:tc>
          <w:tcPr>
            <w:tcW w:w="55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Stock-based compensation expense</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3,714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3,714</w:t>
            </w:r>
          </w:p>
        </w:tc>
        <w:tc>
          <w:tcPr>
            <w:tcW w:w="0" w:type="dxa"/>
            <w:vAlign w:val="bottom"/>
          </w:tcPr>
          <w:p>
            <w:pPr>
              <w:spacing w:after="0"/>
              <w:rPr>
                <w:sz w:val="1"/>
                <w:szCs w:val="1"/>
                <w:color w:val="auto"/>
              </w:rPr>
            </w:pPr>
          </w:p>
        </w:tc>
      </w:tr>
      <w:tr>
        <w:trPr>
          <w:trHeight w:val="215"/>
        </w:trPr>
        <w:tc>
          <w:tcPr>
            <w:tcW w:w="5520" w:type="dxa"/>
            <w:vAlign w:val="bottom"/>
            <w:gridSpan w:val="2"/>
          </w:tcPr>
          <w:p>
            <w:pPr>
              <w:ind w:left="140"/>
              <w:spacing w:after="0"/>
              <w:rPr>
                <w:sz w:val="20"/>
                <w:szCs w:val="20"/>
                <w:color w:val="auto"/>
              </w:rPr>
            </w:pPr>
            <w:r>
              <w:rPr>
                <w:rFonts w:ascii="Arial" w:cs="Arial" w:eastAsia="Arial" w:hAnsi="Arial"/>
                <w:sz w:val="16"/>
                <w:szCs w:val="16"/>
                <w:color w:val="auto"/>
              </w:rPr>
              <w:t>Unrealized gains on available-for-sale securities, net of tax</w:t>
            </w: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Net loss</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(8,153)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(8,153)</w:t>
            </w:r>
          </w:p>
        </w:tc>
        <w:tc>
          <w:tcPr>
            <w:tcW w:w="0" w:type="dxa"/>
            <w:vAlign w:val="bottom"/>
          </w:tcPr>
          <w:p>
            <w:pPr>
              <w:spacing w:after="0"/>
              <w:rPr>
                <w:sz w:val="1"/>
                <w:szCs w:val="1"/>
                <w:color w:val="auto"/>
              </w:rPr>
            </w:pPr>
          </w:p>
        </w:tc>
      </w:tr>
      <w:tr>
        <w:trPr>
          <w:trHeight w:val="210"/>
        </w:trPr>
        <w:tc>
          <w:tcPr>
            <w:tcW w:w="5520" w:type="dxa"/>
            <w:vAlign w:val="bottom"/>
            <w:gridSpan w:val="2"/>
          </w:tcPr>
          <w:p>
            <w:pPr>
              <w:ind w:left="20"/>
              <w:spacing w:after="0"/>
              <w:rPr>
                <w:sz w:val="20"/>
                <w:szCs w:val="20"/>
                <w:color w:val="auto"/>
              </w:rPr>
            </w:pPr>
            <w:r>
              <w:rPr>
                <w:rFonts w:ascii="Arial" w:cs="Arial" w:eastAsia="Arial" w:hAnsi="Arial"/>
                <w:sz w:val="16"/>
                <w:szCs w:val="16"/>
                <w:color w:val="auto"/>
              </w:rPr>
              <w:t>BALANCE—September 30, 2023</w:t>
            </w:r>
          </w:p>
        </w:tc>
        <w:tc>
          <w:tcPr>
            <w:tcW w:w="8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99"/>
              </w:rPr>
              <w:t>36,826,655</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8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w w:val="95"/>
              </w:rPr>
              <w:t>$ 114,652</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(92,706)</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22,029</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accompanying notes to unaudited condensed consolidated financial statements.</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6" w:name="page7"/>
    <w:bookmarkEnd w:id="6"/>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Arteris,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Stockholders' Equity</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 except share data)</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2100" w:type="dxa"/>
            <w:vAlign w:val="bottom"/>
            <w:tcBorders>
              <w:top w:val="single" w:sz="8" w:color="auto"/>
              <w:bottom w:val="single" w:sz="8" w:color="auto"/>
            </w:tcBorders>
            <w:gridSpan w:val="5"/>
          </w:tcPr>
          <w:p>
            <w:pPr>
              <w:ind w:left="320"/>
              <w:spacing w:after="0"/>
              <w:rPr>
                <w:sz w:val="20"/>
                <w:szCs w:val="20"/>
                <w:color w:val="auto"/>
              </w:rPr>
            </w:pPr>
            <w:r>
              <w:rPr>
                <w:rFonts w:ascii="Arial" w:cs="Arial" w:eastAsia="Arial" w:hAnsi="Arial"/>
                <w:sz w:val="14"/>
                <w:szCs w:val="14"/>
                <w:b w:val="1"/>
                <w:bCs w:val="1"/>
                <w:color w:val="auto"/>
              </w:rPr>
              <w:t>Stockholders’ Equity</w:t>
            </w:r>
          </w:p>
        </w:tc>
        <w:tc>
          <w:tcPr>
            <w:tcW w:w="16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5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2"/>
                <w:szCs w:val="12"/>
                <w:color w:val="auto"/>
              </w:rPr>
            </w:pPr>
          </w:p>
        </w:tc>
        <w:tc>
          <w:tcPr>
            <w:tcW w:w="1120" w:type="dxa"/>
            <w:vAlign w:val="bottom"/>
            <w:gridSpan w:val="2"/>
          </w:tcPr>
          <w:p>
            <w:pPr>
              <w:jc w:val="center"/>
              <w:ind w:right="220"/>
              <w:spacing w:after="0" w:line="143" w:lineRule="exact"/>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5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40" w:type="dxa"/>
            <w:vAlign w:val="bottom"/>
            <w:tcBorders>
              <w:bottom w:val="single" w:sz="8" w:color="auto"/>
            </w:tcBorders>
            <w:gridSpan w:val="4"/>
          </w:tcPr>
          <w:p>
            <w:pPr>
              <w:jc w:val="right"/>
              <w:ind w:right="260"/>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Pr>
          <w:p>
            <w:pPr>
              <w:spacing w:after="0"/>
              <w:rPr>
                <w:sz w:val="17"/>
                <w:szCs w:val="17"/>
                <w:color w:val="auto"/>
              </w:rPr>
            </w:pPr>
          </w:p>
        </w:tc>
        <w:tc>
          <w:tcPr>
            <w:tcW w:w="8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8"/>
              </w:rPr>
              <w:t>Paid-In</w:t>
            </w:r>
          </w:p>
        </w:tc>
        <w:tc>
          <w:tcPr>
            <w:tcW w:w="1240" w:type="dxa"/>
            <w:vAlign w:val="bottom"/>
            <w:gridSpan w:val="3"/>
          </w:tcPr>
          <w:p>
            <w:pPr>
              <w:ind w:left="40"/>
              <w:spacing w:after="0"/>
              <w:rPr>
                <w:sz w:val="20"/>
                <w:szCs w:val="20"/>
                <w:color w:val="auto"/>
              </w:rPr>
            </w:pPr>
            <w:r>
              <w:rPr>
                <w:rFonts w:ascii="Arial" w:cs="Arial" w:eastAsia="Arial" w:hAnsi="Arial"/>
                <w:sz w:val="14"/>
                <w:szCs w:val="14"/>
                <w:b w:val="1"/>
                <w:bCs w:val="1"/>
                <w:color w:val="auto"/>
              </w:rPr>
              <w:t>Comprehensive</w:t>
            </w: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Amount</w:t>
            </w:r>
          </w:p>
        </w:tc>
        <w:tc>
          <w:tcPr>
            <w:tcW w:w="86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rPr>
              <w:t>Income</w:t>
            </w: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Deficit</w:t>
            </w: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35"/>
        </w:trPr>
        <w:tc>
          <w:tcPr>
            <w:tcW w:w="544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BALANCE—December 31, 2023</w:t>
            </w:r>
          </w:p>
        </w:tc>
        <w:tc>
          <w:tcPr>
            <w:tcW w:w="8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37,518,583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w w:val="95"/>
              </w:rPr>
              <w:t>$ 118,193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(103,247)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15,103</w:t>
            </w:r>
          </w:p>
        </w:tc>
        <w:tc>
          <w:tcPr>
            <w:tcW w:w="0" w:type="dxa"/>
            <w:vAlign w:val="bottom"/>
          </w:tcPr>
          <w:p>
            <w:pPr>
              <w:spacing w:after="0"/>
              <w:rPr>
                <w:sz w:val="1"/>
                <w:szCs w:val="1"/>
                <w:color w:val="auto"/>
              </w:rPr>
            </w:pPr>
          </w:p>
        </w:tc>
      </w:tr>
      <w:tr>
        <w:trPr>
          <w:trHeight w:val="215"/>
        </w:trPr>
        <w:tc>
          <w:tcPr>
            <w:tcW w:w="5520" w:type="dxa"/>
            <w:vAlign w:val="bottom"/>
            <w:gridSpan w:val="2"/>
          </w:tcPr>
          <w:p>
            <w:pPr>
              <w:ind w:left="140"/>
              <w:spacing w:after="0"/>
              <w:rPr>
                <w:sz w:val="20"/>
                <w:szCs w:val="20"/>
                <w:color w:val="auto"/>
              </w:rPr>
            </w:pPr>
            <w:r>
              <w:rPr>
                <w:rFonts w:ascii="Arial" w:cs="Arial" w:eastAsia="Arial" w:hAnsi="Arial"/>
                <w:sz w:val="16"/>
                <w:szCs w:val="16"/>
                <w:color w:val="auto"/>
              </w:rPr>
              <w:t>Issuance of common stock upon exercise of stock options</w:t>
            </w:r>
          </w:p>
        </w:tc>
        <w:tc>
          <w:tcPr>
            <w:tcW w:w="880" w:type="dxa"/>
            <w:vAlign w:val="bottom"/>
          </w:tcPr>
          <w:p>
            <w:pPr>
              <w:jc w:val="right"/>
              <w:spacing w:after="0"/>
              <w:rPr>
                <w:sz w:val="20"/>
                <w:szCs w:val="20"/>
                <w:color w:val="auto"/>
              </w:rPr>
            </w:pPr>
            <w:r>
              <w:rPr>
                <w:rFonts w:ascii="Arial" w:cs="Arial" w:eastAsia="Arial" w:hAnsi="Arial"/>
                <w:sz w:val="16"/>
                <w:szCs w:val="16"/>
                <w:color w:val="auto"/>
              </w:rPr>
              <w:t>660,648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780" w:type="dxa"/>
            <w:vAlign w:val="bottom"/>
          </w:tcPr>
          <w:p>
            <w:pPr>
              <w:jc w:val="right"/>
              <w:ind w:right="2"/>
              <w:spacing w:after="0"/>
              <w:rPr>
                <w:sz w:val="20"/>
                <w:szCs w:val="20"/>
                <w:color w:val="auto"/>
              </w:rPr>
            </w:pPr>
            <w:r>
              <w:rPr>
                <w:rFonts w:ascii="Arial" w:cs="Arial" w:eastAsia="Arial" w:hAnsi="Arial"/>
                <w:sz w:val="16"/>
                <w:szCs w:val="16"/>
                <w:color w:val="auto"/>
              </w:rPr>
              <w:t>702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703</w:t>
            </w:r>
          </w:p>
        </w:tc>
        <w:tc>
          <w:tcPr>
            <w:tcW w:w="0" w:type="dxa"/>
            <w:vAlign w:val="bottom"/>
          </w:tcPr>
          <w:p>
            <w:pPr>
              <w:spacing w:after="0"/>
              <w:rPr>
                <w:sz w:val="1"/>
                <w:szCs w:val="1"/>
                <w:color w:val="auto"/>
              </w:rPr>
            </w:pPr>
          </w:p>
        </w:tc>
      </w:tr>
      <w:tr>
        <w:trPr>
          <w:trHeight w:val="217"/>
        </w:trPr>
        <w:tc>
          <w:tcPr>
            <w:tcW w:w="55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Issuance of common stock for settlement of RSUs</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1,948,245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5520" w:type="dxa"/>
            <w:vAlign w:val="bottom"/>
            <w:gridSpan w:val="2"/>
          </w:tcPr>
          <w:p>
            <w:pPr>
              <w:ind w:left="140"/>
              <w:spacing w:after="0"/>
              <w:rPr>
                <w:sz w:val="20"/>
                <w:szCs w:val="20"/>
                <w:color w:val="auto"/>
              </w:rPr>
            </w:pPr>
            <w:r>
              <w:rPr>
                <w:rFonts w:ascii="Arial" w:cs="Arial" w:eastAsia="Arial" w:hAnsi="Arial"/>
                <w:sz w:val="16"/>
                <w:szCs w:val="16"/>
                <w:color w:val="auto"/>
              </w:rPr>
              <w:t>Stock-based compensation expense</w:t>
            </w: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
              <w:spacing w:after="0"/>
              <w:rPr>
                <w:sz w:val="20"/>
                <w:szCs w:val="20"/>
                <w:color w:val="auto"/>
              </w:rPr>
            </w:pPr>
            <w:r>
              <w:rPr>
                <w:rFonts w:ascii="Arial" w:cs="Arial" w:eastAsia="Arial" w:hAnsi="Arial"/>
                <w:sz w:val="16"/>
                <w:szCs w:val="16"/>
                <w:color w:val="auto"/>
              </w:rPr>
              <w:t>11,785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11,785</w:t>
            </w:r>
          </w:p>
        </w:tc>
        <w:tc>
          <w:tcPr>
            <w:tcW w:w="0" w:type="dxa"/>
            <w:vAlign w:val="bottom"/>
          </w:tcPr>
          <w:p>
            <w:pPr>
              <w:spacing w:after="0"/>
              <w:rPr>
                <w:sz w:val="1"/>
                <w:szCs w:val="1"/>
                <w:color w:val="auto"/>
              </w:rPr>
            </w:pPr>
          </w:p>
        </w:tc>
      </w:tr>
      <w:tr>
        <w:trPr>
          <w:trHeight w:val="217"/>
        </w:trPr>
        <w:tc>
          <w:tcPr>
            <w:tcW w:w="55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Unrealized gains on available-for-sale securities, net of tax</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15"/>
        </w:trPr>
        <w:tc>
          <w:tcPr>
            <w:tcW w:w="5520" w:type="dxa"/>
            <w:vAlign w:val="bottom"/>
            <w:gridSpan w:val="2"/>
          </w:tcPr>
          <w:p>
            <w:pPr>
              <w:ind w:left="140"/>
              <w:spacing w:after="0"/>
              <w:rPr>
                <w:sz w:val="20"/>
                <w:szCs w:val="20"/>
                <w:color w:val="auto"/>
              </w:rPr>
            </w:pPr>
            <w:r>
              <w:rPr>
                <w:rFonts w:ascii="Arial" w:cs="Arial" w:eastAsia="Arial" w:hAnsi="Arial"/>
                <w:sz w:val="16"/>
                <w:szCs w:val="16"/>
                <w:color w:val="auto"/>
              </w:rPr>
              <w:t>Net loss</w:t>
            </w: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(25,434)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(25,434)</w:t>
            </w:r>
          </w:p>
        </w:tc>
        <w:tc>
          <w:tcPr>
            <w:tcW w:w="0" w:type="dxa"/>
            <w:vAlign w:val="bottom"/>
          </w:tcPr>
          <w:p>
            <w:pPr>
              <w:spacing w:after="0"/>
              <w:rPr>
                <w:sz w:val="1"/>
                <w:szCs w:val="1"/>
                <w:color w:val="auto"/>
              </w:rPr>
            </w:pPr>
          </w:p>
        </w:tc>
      </w:tr>
      <w:tr>
        <w:trPr>
          <w:trHeight w:val="235"/>
        </w:trPr>
        <w:tc>
          <w:tcPr>
            <w:tcW w:w="55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BALANCE—September 30, 2024</w:t>
            </w:r>
          </w:p>
        </w:tc>
        <w:tc>
          <w:tcPr>
            <w:tcW w:w="8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40,127,476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u w:val="single" w:color="auto"/>
                <w:color w:val="auto"/>
                <w:w w:val="95"/>
              </w:rPr>
              <w:t>$</w:t>
            </w:r>
            <w:r>
              <w:rPr>
                <w:rFonts w:ascii="Arial" w:cs="Arial" w:eastAsia="Arial" w:hAnsi="Arial"/>
                <w:sz w:val="16"/>
                <w:szCs w:val="16"/>
                <w:color w:val="auto"/>
                <w:w w:val="95"/>
              </w:rPr>
              <w:t xml:space="preserve"> 130,678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(128,681)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2,209</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54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5"/>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5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b w:val="1"/>
                <w:bCs w:val="1"/>
                <w:color w:val="auto"/>
              </w:rPr>
              <w:t>Stockholders’ Equity</w:t>
            </w: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5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2"/>
                <w:szCs w:val="12"/>
                <w:color w:val="auto"/>
              </w:rPr>
            </w:pPr>
          </w:p>
        </w:tc>
        <w:tc>
          <w:tcPr>
            <w:tcW w:w="112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5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40" w:type="dxa"/>
            <w:vAlign w:val="bottom"/>
            <w:tcBorders>
              <w:bottom w:val="single" w:sz="8" w:color="auto"/>
            </w:tcBorders>
            <w:gridSpan w:val="4"/>
          </w:tcPr>
          <w:p>
            <w:pPr>
              <w:jc w:val="right"/>
              <w:ind w:right="260"/>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Pr>
          <w:p>
            <w:pPr>
              <w:spacing w:after="0"/>
              <w:rPr>
                <w:sz w:val="17"/>
                <w:szCs w:val="17"/>
                <w:color w:val="auto"/>
              </w:rPr>
            </w:pPr>
          </w:p>
        </w:tc>
        <w:tc>
          <w:tcPr>
            <w:tcW w:w="8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8"/>
              </w:rPr>
              <w:t>Paid-In</w:t>
            </w:r>
          </w:p>
        </w:tc>
        <w:tc>
          <w:tcPr>
            <w:tcW w:w="1240" w:type="dxa"/>
            <w:vAlign w:val="bottom"/>
            <w:gridSpan w:val="3"/>
          </w:tcPr>
          <w:p>
            <w:pPr>
              <w:ind w:left="40"/>
              <w:spacing w:after="0"/>
              <w:rPr>
                <w:sz w:val="20"/>
                <w:szCs w:val="20"/>
                <w:color w:val="auto"/>
              </w:rPr>
            </w:pPr>
            <w:r>
              <w:rPr>
                <w:rFonts w:ascii="Arial" w:cs="Arial" w:eastAsia="Arial" w:hAnsi="Arial"/>
                <w:sz w:val="14"/>
                <w:szCs w:val="14"/>
                <w:b w:val="1"/>
                <w:bCs w:val="1"/>
                <w:color w:val="auto"/>
              </w:rPr>
              <w:t>Comprehensive</w:t>
            </w: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Amount</w:t>
            </w:r>
          </w:p>
        </w:tc>
        <w:tc>
          <w:tcPr>
            <w:tcW w:w="86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rPr>
              <w:t>Income</w:t>
            </w: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Deficit</w:t>
            </w: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35"/>
        </w:trPr>
        <w:tc>
          <w:tcPr>
            <w:tcW w:w="544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BALANCE—December 31, 2022</w:t>
            </w:r>
          </w:p>
        </w:tc>
        <w:tc>
          <w:tcPr>
            <w:tcW w:w="8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34,625,875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w w:val="95"/>
              </w:rPr>
              <w:t>$ 103,778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(66,378)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37,535</w:t>
            </w:r>
          </w:p>
        </w:tc>
        <w:tc>
          <w:tcPr>
            <w:tcW w:w="0" w:type="dxa"/>
            <w:vAlign w:val="bottom"/>
          </w:tcPr>
          <w:p>
            <w:pPr>
              <w:spacing w:after="0"/>
              <w:rPr>
                <w:sz w:val="1"/>
                <w:szCs w:val="1"/>
                <w:color w:val="auto"/>
              </w:rPr>
            </w:pPr>
          </w:p>
        </w:tc>
      </w:tr>
      <w:tr>
        <w:trPr>
          <w:trHeight w:val="215"/>
        </w:trPr>
        <w:tc>
          <w:tcPr>
            <w:tcW w:w="5520" w:type="dxa"/>
            <w:vAlign w:val="bottom"/>
            <w:gridSpan w:val="2"/>
          </w:tcPr>
          <w:p>
            <w:pPr>
              <w:ind w:left="140"/>
              <w:spacing w:after="0"/>
              <w:rPr>
                <w:sz w:val="20"/>
                <w:szCs w:val="20"/>
                <w:color w:val="auto"/>
              </w:rPr>
            </w:pPr>
            <w:r>
              <w:rPr>
                <w:rFonts w:ascii="Arial" w:cs="Arial" w:eastAsia="Arial" w:hAnsi="Arial"/>
                <w:sz w:val="16"/>
                <w:szCs w:val="16"/>
                <w:color w:val="auto"/>
              </w:rPr>
              <w:t>Issuance of common stock upon exercise of stock options</w:t>
            </w:r>
          </w:p>
        </w:tc>
        <w:tc>
          <w:tcPr>
            <w:tcW w:w="880" w:type="dxa"/>
            <w:vAlign w:val="bottom"/>
          </w:tcPr>
          <w:p>
            <w:pPr>
              <w:jc w:val="right"/>
              <w:spacing w:after="0"/>
              <w:rPr>
                <w:sz w:val="20"/>
                <w:szCs w:val="20"/>
                <w:color w:val="auto"/>
              </w:rPr>
            </w:pPr>
            <w:r>
              <w:rPr>
                <w:rFonts w:ascii="Arial" w:cs="Arial" w:eastAsia="Arial" w:hAnsi="Arial"/>
                <w:sz w:val="16"/>
                <w:szCs w:val="16"/>
                <w:color w:val="auto"/>
              </w:rPr>
              <w:t>779,227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780" w:type="dxa"/>
            <w:vAlign w:val="bottom"/>
          </w:tcPr>
          <w:p>
            <w:pPr>
              <w:jc w:val="right"/>
              <w:ind w:right="2"/>
              <w:spacing w:after="0"/>
              <w:rPr>
                <w:sz w:val="20"/>
                <w:szCs w:val="20"/>
                <w:color w:val="auto"/>
              </w:rPr>
            </w:pPr>
            <w:r>
              <w:rPr>
                <w:rFonts w:ascii="Arial" w:cs="Arial" w:eastAsia="Arial" w:hAnsi="Arial"/>
                <w:sz w:val="16"/>
                <w:szCs w:val="16"/>
                <w:color w:val="auto"/>
              </w:rPr>
              <w:t>459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460</w:t>
            </w:r>
          </w:p>
        </w:tc>
        <w:tc>
          <w:tcPr>
            <w:tcW w:w="0" w:type="dxa"/>
            <w:vAlign w:val="bottom"/>
          </w:tcPr>
          <w:p>
            <w:pPr>
              <w:spacing w:after="0"/>
              <w:rPr>
                <w:sz w:val="1"/>
                <w:szCs w:val="1"/>
                <w:color w:val="auto"/>
              </w:rPr>
            </w:pPr>
          </w:p>
        </w:tc>
      </w:tr>
      <w:tr>
        <w:trPr>
          <w:trHeight w:val="217"/>
        </w:trPr>
        <w:tc>
          <w:tcPr>
            <w:tcW w:w="55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Issuance of common stock for settlement of RSUs</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1,503,925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5520" w:type="dxa"/>
            <w:vAlign w:val="bottom"/>
            <w:gridSpan w:val="2"/>
          </w:tcPr>
          <w:p>
            <w:pPr>
              <w:ind w:left="140"/>
              <w:spacing w:after="0"/>
              <w:rPr>
                <w:sz w:val="20"/>
                <w:szCs w:val="20"/>
                <w:color w:val="auto"/>
              </w:rPr>
            </w:pPr>
            <w:r>
              <w:rPr>
                <w:rFonts w:ascii="Arial" w:cs="Arial" w:eastAsia="Arial" w:hAnsi="Arial"/>
                <w:sz w:val="16"/>
                <w:szCs w:val="16"/>
                <w:color w:val="auto"/>
              </w:rPr>
              <w:t>Tax withholding on RSUs settlement</w:t>
            </w:r>
          </w:p>
        </w:tc>
        <w:tc>
          <w:tcPr>
            <w:tcW w:w="880" w:type="dxa"/>
            <w:vAlign w:val="bottom"/>
          </w:tcPr>
          <w:p>
            <w:pPr>
              <w:jc w:val="right"/>
              <w:spacing w:after="0"/>
              <w:rPr>
                <w:sz w:val="20"/>
                <w:szCs w:val="20"/>
                <w:color w:val="auto"/>
              </w:rPr>
            </w:pPr>
            <w:r>
              <w:rPr>
                <w:rFonts w:ascii="Arial" w:cs="Arial" w:eastAsia="Arial" w:hAnsi="Arial"/>
                <w:sz w:val="16"/>
                <w:szCs w:val="16"/>
                <w:color w:val="auto"/>
              </w:rPr>
              <w:t>(82,372)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(564)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(564)</w:t>
            </w:r>
          </w:p>
        </w:tc>
        <w:tc>
          <w:tcPr>
            <w:tcW w:w="0" w:type="dxa"/>
            <w:vAlign w:val="bottom"/>
          </w:tcPr>
          <w:p>
            <w:pPr>
              <w:spacing w:after="0"/>
              <w:rPr>
                <w:sz w:val="1"/>
                <w:szCs w:val="1"/>
                <w:color w:val="auto"/>
              </w:rPr>
            </w:pPr>
          </w:p>
        </w:tc>
      </w:tr>
      <w:tr>
        <w:trPr>
          <w:trHeight w:val="217"/>
        </w:trPr>
        <w:tc>
          <w:tcPr>
            <w:tcW w:w="55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Stock-based compensation expense</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10,981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10,981</w:t>
            </w:r>
          </w:p>
        </w:tc>
        <w:tc>
          <w:tcPr>
            <w:tcW w:w="0" w:type="dxa"/>
            <w:vAlign w:val="bottom"/>
          </w:tcPr>
          <w:p>
            <w:pPr>
              <w:spacing w:after="0"/>
              <w:rPr>
                <w:sz w:val="1"/>
                <w:szCs w:val="1"/>
                <w:color w:val="auto"/>
              </w:rPr>
            </w:pPr>
          </w:p>
        </w:tc>
      </w:tr>
      <w:tr>
        <w:trPr>
          <w:trHeight w:val="215"/>
        </w:trPr>
        <w:tc>
          <w:tcPr>
            <w:tcW w:w="5520" w:type="dxa"/>
            <w:vAlign w:val="bottom"/>
            <w:gridSpan w:val="2"/>
          </w:tcPr>
          <w:p>
            <w:pPr>
              <w:ind w:left="140"/>
              <w:spacing w:after="0"/>
              <w:rPr>
                <w:sz w:val="20"/>
                <w:szCs w:val="20"/>
                <w:color w:val="auto"/>
              </w:rPr>
            </w:pPr>
            <w:r>
              <w:rPr>
                <w:rFonts w:ascii="Arial" w:cs="Arial" w:eastAsia="Arial" w:hAnsi="Arial"/>
                <w:sz w:val="16"/>
                <w:szCs w:val="16"/>
                <w:color w:val="auto"/>
              </w:rPr>
              <w:t>Unrealized losses on available-for-sale securities, net of tax</w:t>
            </w: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Net loss</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(26,328)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(26,328)</w:t>
            </w:r>
          </w:p>
        </w:tc>
        <w:tc>
          <w:tcPr>
            <w:tcW w:w="0" w:type="dxa"/>
            <w:vAlign w:val="bottom"/>
          </w:tcPr>
          <w:p>
            <w:pPr>
              <w:spacing w:after="0"/>
              <w:rPr>
                <w:sz w:val="1"/>
                <w:szCs w:val="1"/>
                <w:color w:val="auto"/>
              </w:rPr>
            </w:pPr>
          </w:p>
        </w:tc>
      </w:tr>
      <w:tr>
        <w:trPr>
          <w:trHeight w:val="210"/>
        </w:trPr>
        <w:tc>
          <w:tcPr>
            <w:tcW w:w="5520" w:type="dxa"/>
            <w:vAlign w:val="bottom"/>
            <w:gridSpan w:val="2"/>
          </w:tcPr>
          <w:p>
            <w:pPr>
              <w:ind w:left="20"/>
              <w:spacing w:after="0"/>
              <w:rPr>
                <w:sz w:val="20"/>
                <w:szCs w:val="20"/>
                <w:color w:val="auto"/>
              </w:rPr>
            </w:pPr>
            <w:r>
              <w:rPr>
                <w:rFonts w:ascii="Arial" w:cs="Arial" w:eastAsia="Arial" w:hAnsi="Arial"/>
                <w:sz w:val="16"/>
                <w:szCs w:val="16"/>
                <w:color w:val="auto"/>
              </w:rPr>
              <w:t>BALANCE—September 30, 2023</w:t>
            </w:r>
          </w:p>
        </w:tc>
        <w:tc>
          <w:tcPr>
            <w:tcW w:w="8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99"/>
              </w:rPr>
              <w:t>36,826,655</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8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w w:val="95"/>
              </w:rPr>
              <w:t>$ 114,652</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(92,706)</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22,029</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accompanying notes to unaudited condensed consolidated financial statements.</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7" w:name="page8"/>
    <w:bookmarkEnd w:id="7"/>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Arteris,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252" w:lineRule="exact"/>
        <w:rPr>
          <w:sz w:val="20"/>
          <w:szCs w:val="20"/>
          <w:color w:val="auto"/>
        </w:rPr>
      </w:pPr>
    </w:p>
    <w:p>
      <w:pPr>
        <w:jc w:val="center"/>
        <w:ind w:left="7420"/>
        <w:spacing w:after="0"/>
        <w:rPr>
          <w:sz w:val="20"/>
          <w:szCs w:val="20"/>
          <w:color w:val="auto"/>
        </w:rPr>
      </w:pPr>
      <w:r>
        <w:rPr>
          <w:rFonts w:ascii="Arial" w:cs="Arial" w:eastAsia="Arial" w:hAnsi="Arial"/>
          <w:sz w:val="14"/>
          <w:szCs w:val="14"/>
          <w:b w:val="1"/>
          <w:bCs w:val="1"/>
          <w:color w:val="auto"/>
        </w:rPr>
        <w:t>Nine Months Ended</w:t>
      </w:r>
    </w:p>
    <w:p>
      <w:pPr>
        <w:jc w:val="center"/>
        <w:ind w:left="7420"/>
        <w:spacing w:after="0"/>
        <w:rPr>
          <w:sz w:val="20"/>
          <w:szCs w:val="20"/>
          <w:color w:val="auto"/>
        </w:rPr>
      </w:pPr>
      <w:r>
        <w:rPr>
          <w:rFonts w:ascii="Arial" w:cs="Arial" w:eastAsia="Arial" w:hAnsi="Arial"/>
          <w:sz w:val="14"/>
          <w:szCs w:val="14"/>
          <w:b w:val="1"/>
          <w:bCs w:val="1"/>
          <w:color w:val="auto"/>
        </w:rPr>
        <w:t>September 30,</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440" w:type="dxa"/>
            <w:vAlign w:val="bottom"/>
            <w:tcBorders>
              <w:bottom w:val="single" w:sz="8" w:color="CCEEFF"/>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2024</w:t>
            </w:r>
          </w:p>
        </w:tc>
        <w:tc>
          <w:tcPr>
            <w:tcW w:w="66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1400" w:type="dxa"/>
            <w:vAlign w:val="bottom"/>
            <w:tcBorders>
              <w:top w:val="single" w:sz="8" w:color="auto"/>
              <w:bottom w:val="single" w:sz="8" w:color="auto"/>
            </w:tcBorders>
          </w:tcPr>
          <w:p>
            <w:pPr>
              <w:jc w:val="right"/>
              <w:ind w:right="688"/>
              <w:spacing w:after="0"/>
              <w:rPr>
                <w:sz w:val="20"/>
                <w:szCs w:val="20"/>
                <w:color w:val="auto"/>
              </w:rPr>
            </w:pPr>
            <w:r>
              <w:rPr>
                <w:rFonts w:ascii="Arial" w:cs="Arial" w:eastAsia="Arial" w:hAnsi="Arial"/>
                <w:sz w:val="14"/>
                <w:szCs w:val="14"/>
                <w:b w:val="1"/>
                <w:bCs w:val="1"/>
                <w:color w:val="auto"/>
              </w:rPr>
              <w:t>2023</w:t>
            </w:r>
          </w:p>
        </w:tc>
      </w:tr>
      <w:tr>
        <w:trPr>
          <w:trHeight w:val="183"/>
        </w:trPr>
        <w:tc>
          <w:tcPr>
            <w:tcW w:w="7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OPERATING ACTIVITIES:</w:t>
            </w:r>
          </w:p>
        </w:tc>
        <w:tc>
          <w:tcPr>
            <w:tcW w:w="1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r>
      <w:tr>
        <w:trPr>
          <w:trHeight w:val="199"/>
        </w:trPr>
        <w:tc>
          <w:tcPr>
            <w:tcW w:w="7440" w:type="dxa"/>
            <w:vAlign w:val="bottom"/>
          </w:tcPr>
          <w:p>
            <w:pPr>
              <w:ind w:left="140"/>
              <w:spacing w:after="0"/>
              <w:rPr>
                <w:sz w:val="20"/>
                <w:szCs w:val="20"/>
                <w:color w:val="auto"/>
              </w:rPr>
            </w:pPr>
            <w:r>
              <w:rPr>
                <w:rFonts w:ascii="Arial" w:cs="Arial" w:eastAsia="Arial" w:hAnsi="Arial"/>
                <w:sz w:val="14"/>
                <w:szCs w:val="14"/>
                <w:color w:val="auto"/>
              </w:rPr>
              <w:t>Net loss</w:t>
            </w:r>
          </w:p>
        </w:tc>
        <w:tc>
          <w:tcPr>
            <w:tcW w:w="1200" w:type="dxa"/>
            <w:vAlign w:val="bottom"/>
          </w:tcPr>
          <w:p>
            <w:pPr>
              <w:jc w:val="right"/>
              <w:ind w:right="102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(25,434)</w:t>
            </w:r>
          </w:p>
        </w:tc>
        <w:tc>
          <w:tcPr>
            <w:tcW w:w="100" w:type="dxa"/>
            <w:vAlign w:val="bottom"/>
          </w:tcPr>
          <w:p>
            <w:pPr>
              <w:spacing w:after="0"/>
              <w:rPr>
                <w:sz w:val="17"/>
                <w:szCs w:val="17"/>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(26,328)</w:t>
            </w:r>
          </w:p>
        </w:tc>
      </w:tr>
      <w:tr>
        <w:trPr>
          <w:trHeight w:val="206"/>
        </w:trPr>
        <w:tc>
          <w:tcPr>
            <w:tcW w:w="74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Adjustments to reconcile net loss to net cash provided by (used in) operating activities:</w:t>
            </w:r>
          </w:p>
        </w:tc>
        <w:tc>
          <w:tcPr>
            <w:tcW w:w="1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199"/>
        </w:trPr>
        <w:tc>
          <w:tcPr>
            <w:tcW w:w="7440" w:type="dxa"/>
            <w:vAlign w:val="bottom"/>
          </w:tcPr>
          <w:p>
            <w:pPr>
              <w:ind w:left="360"/>
              <w:spacing w:after="0"/>
              <w:rPr>
                <w:sz w:val="20"/>
                <w:szCs w:val="20"/>
                <w:color w:val="auto"/>
              </w:rPr>
            </w:pPr>
            <w:r>
              <w:rPr>
                <w:rFonts w:ascii="Arial" w:cs="Arial" w:eastAsia="Arial" w:hAnsi="Arial"/>
                <w:sz w:val="14"/>
                <w:szCs w:val="14"/>
                <w:color w:val="auto"/>
              </w:rPr>
              <w:t>Depreciation and amortization</w:t>
            </w:r>
          </w:p>
        </w:tc>
        <w:tc>
          <w:tcPr>
            <w:tcW w:w="1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2,474</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2,240</w:t>
            </w:r>
          </w:p>
        </w:tc>
      </w:tr>
      <w:tr>
        <w:trPr>
          <w:trHeight w:val="206"/>
        </w:trPr>
        <w:tc>
          <w:tcPr>
            <w:tcW w:w="74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Stock-based compensation</w:t>
            </w:r>
          </w:p>
        </w:tc>
        <w:tc>
          <w:tcPr>
            <w:tcW w:w="1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11,807</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10,981</w:t>
            </w:r>
          </w:p>
        </w:tc>
      </w:tr>
      <w:tr>
        <w:trPr>
          <w:trHeight w:val="199"/>
        </w:trPr>
        <w:tc>
          <w:tcPr>
            <w:tcW w:w="7440" w:type="dxa"/>
            <w:vAlign w:val="bottom"/>
          </w:tcPr>
          <w:p>
            <w:pPr>
              <w:ind w:left="360"/>
              <w:spacing w:after="0"/>
              <w:rPr>
                <w:sz w:val="20"/>
                <w:szCs w:val="20"/>
                <w:color w:val="auto"/>
              </w:rPr>
            </w:pPr>
            <w:r>
              <w:rPr>
                <w:rFonts w:ascii="Arial" w:cs="Arial" w:eastAsia="Arial" w:hAnsi="Arial"/>
                <w:sz w:val="14"/>
                <w:szCs w:val="14"/>
                <w:color w:val="auto"/>
              </w:rPr>
              <w:t>Amortization of deferred income</w:t>
            </w:r>
          </w:p>
        </w:tc>
        <w:tc>
          <w:tcPr>
            <w:tcW w:w="1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(885)</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(882)</w:t>
            </w:r>
          </w:p>
        </w:tc>
      </w:tr>
      <w:tr>
        <w:trPr>
          <w:trHeight w:val="206"/>
        </w:trPr>
        <w:tc>
          <w:tcPr>
            <w:tcW w:w="74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Loss from equity method investment</w:t>
            </w:r>
          </w:p>
        </w:tc>
        <w:tc>
          <w:tcPr>
            <w:tcW w:w="1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2,064</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2,487</w:t>
            </w:r>
          </w:p>
        </w:tc>
      </w:tr>
      <w:tr>
        <w:trPr>
          <w:trHeight w:val="199"/>
        </w:trPr>
        <w:tc>
          <w:tcPr>
            <w:tcW w:w="7440" w:type="dxa"/>
            <w:vAlign w:val="bottom"/>
          </w:tcPr>
          <w:p>
            <w:pPr>
              <w:ind w:left="360"/>
              <w:spacing w:after="0"/>
              <w:rPr>
                <w:sz w:val="20"/>
                <w:szCs w:val="20"/>
                <w:color w:val="auto"/>
              </w:rPr>
            </w:pPr>
            <w:r>
              <w:rPr>
                <w:rFonts w:ascii="Arial" w:cs="Arial" w:eastAsia="Arial" w:hAnsi="Arial"/>
                <w:sz w:val="14"/>
                <w:szCs w:val="14"/>
                <w:color w:val="auto"/>
              </w:rPr>
              <w:t>Net accretion of discounts on available-for-sale securities</w:t>
            </w:r>
          </w:p>
        </w:tc>
        <w:tc>
          <w:tcPr>
            <w:tcW w:w="1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(522)</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(698)</w:t>
            </w:r>
          </w:p>
        </w:tc>
      </w:tr>
      <w:tr>
        <w:trPr>
          <w:trHeight w:val="206"/>
        </w:trPr>
        <w:tc>
          <w:tcPr>
            <w:tcW w:w="74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Other, net</w:t>
            </w:r>
          </w:p>
        </w:tc>
        <w:tc>
          <w:tcPr>
            <w:tcW w:w="1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r>
      <w:tr>
        <w:trPr>
          <w:trHeight w:val="199"/>
        </w:trPr>
        <w:tc>
          <w:tcPr>
            <w:tcW w:w="7440" w:type="dxa"/>
            <w:vAlign w:val="bottom"/>
          </w:tcPr>
          <w:p>
            <w:pPr>
              <w:ind w:left="360"/>
              <w:spacing w:after="0"/>
              <w:rPr>
                <w:sz w:val="20"/>
                <w:szCs w:val="20"/>
                <w:color w:val="auto"/>
              </w:rPr>
            </w:pPr>
            <w:r>
              <w:rPr>
                <w:rFonts w:ascii="Arial" w:cs="Arial" w:eastAsia="Arial" w:hAnsi="Arial"/>
                <w:sz w:val="14"/>
                <w:szCs w:val="14"/>
                <w:color w:val="auto"/>
              </w:rPr>
              <w:t>Changes in operating assets and liabilities:</w:t>
            </w:r>
          </w:p>
        </w:tc>
        <w:tc>
          <w:tcPr>
            <w:tcW w:w="1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06"/>
        </w:trPr>
        <w:tc>
          <w:tcPr>
            <w:tcW w:w="7440" w:type="dxa"/>
            <w:vAlign w:val="bottom"/>
            <w:shd w:val="clear" w:color="auto" w:fill="CCEEFF"/>
          </w:tcPr>
          <w:p>
            <w:pPr>
              <w:ind w:left="460"/>
              <w:spacing w:after="0"/>
              <w:rPr>
                <w:sz w:val="20"/>
                <w:szCs w:val="20"/>
                <w:color w:val="auto"/>
              </w:rPr>
            </w:pPr>
            <w:r>
              <w:rPr>
                <w:rFonts w:ascii="Arial" w:cs="Arial" w:eastAsia="Arial" w:hAnsi="Arial"/>
                <w:sz w:val="14"/>
                <w:szCs w:val="14"/>
                <w:color w:val="auto"/>
              </w:rPr>
              <w:t>Accounts receivable, net</w:t>
            </w:r>
          </w:p>
        </w:tc>
        <w:tc>
          <w:tcPr>
            <w:tcW w:w="1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3,288</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(3,225)</w:t>
            </w:r>
          </w:p>
        </w:tc>
      </w:tr>
      <w:tr>
        <w:trPr>
          <w:trHeight w:val="198"/>
        </w:trPr>
        <w:tc>
          <w:tcPr>
            <w:tcW w:w="7440" w:type="dxa"/>
            <w:vAlign w:val="bottom"/>
          </w:tcPr>
          <w:p>
            <w:pPr>
              <w:ind w:left="460"/>
              <w:spacing w:after="0"/>
              <w:rPr>
                <w:sz w:val="20"/>
                <w:szCs w:val="20"/>
                <w:color w:val="auto"/>
              </w:rPr>
            </w:pPr>
            <w:r>
              <w:rPr>
                <w:rFonts w:ascii="Arial" w:cs="Arial" w:eastAsia="Arial" w:hAnsi="Arial"/>
                <w:sz w:val="14"/>
                <w:szCs w:val="14"/>
                <w:color w:val="auto"/>
              </w:rPr>
              <w:t>Prepaid expenses and other assets</w:t>
            </w:r>
          </w:p>
        </w:tc>
        <w:tc>
          <w:tcPr>
            <w:tcW w:w="1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(1,249)</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(495)</w:t>
            </w:r>
          </w:p>
        </w:tc>
      </w:tr>
      <w:tr>
        <w:trPr>
          <w:trHeight w:val="207"/>
        </w:trPr>
        <w:tc>
          <w:tcPr>
            <w:tcW w:w="7440" w:type="dxa"/>
            <w:vAlign w:val="bottom"/>
            <w:shd w:val="clear" w:color="auto" w:fill="CCEEFF"/>
          </w:tcPr>
          <w:p>
            <w:pPr>
              <w:ind w:left="460"/>
              <w:spacing w:after="0"/>
              <w:rPr>
                <w:sz w:val="20"/>
                <w:szCs w:val="20"/>
                <w:color w:val="auto"/>
              </w:rPr>
            </w:pPr>
            <w:r>
              <w:rPr>
                <w:rFonts w:ascii="Arial" w:cs="Arial" w:eastAsia="Arial" w:hAnsi="Arial"/>
                <w:sz w:val="14"/>
                <w:szCs w:val="14"/>
                <w:color w:val="auto"/>
              </w:rPr>
              <w:t>Accounts payable</w:t>
            </w:r>
          </w:p>
        </w:tc>
        <w:tc>
          <w:tcPr>
            <w:tcW w:w="1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w:t>
            </w:r>
          </w:p>
        </w:tc>
      </w:tr>
      <w:tr>
        <w:trPr>
          <w:trHeight w:val="198"/>
        </w:trPr>
        <w:tc>
          <w:tcPr>
            <w:tcW w:w="7440" w:type="dxa"/>
            <w:vAlign w:val="bottom"/>
          </w:tcPr>
          <w:p>
            <w:pPr>
              <w:ind w:left="460"/>
              <w:spacing w:after="0"/>
              <w:rPr>
                <w:sz w:val="20"/>
                <w:szCs w:val="20"/>
                <w:color w:val="auto"/>
              </w:rPr>
            </w:pPr>
            <w:r>
              <w:rPr>
                <w:rFonts w:ascii="Arial" w:cs="Arial" w:eastAsia="Arial" w:hAnsi="Arial"/>
                <w:sz w:val="14"/>
                <w:szCs w:val="14"/>
                <w:color w:val="auto"/>
              </w:rPr>
              <w:t>Accrued expenses and other liabilities</w:t>
            </w:r>
          </w:p>
        </w:tc>
        <w:tc>
          <w:tcPr>
            <w:tcW w:w="1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1,494</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1,544</w:t>
            </w:r>
          </w:p>
        </w:tc>
      </w:tr>
      <w:tr>
        <w:trPr>
          <w:trHeight w:val="207"/>
        </w:trPr>
        <w:tc>
          <w:tcPr>
            <w:tcW w:w="7440" w:type="dxa"/>
            <w:vAlign w:val="bottom"/>
            <w:shd w:val="clear" w:color="auto" w:fill="CCEEFF"/>
          </w:tcPr>
          <w:p>
            <w:pPr>
              <w:ind w:left="460"/>
              <w:spacing w:after="0"/>
              <w:rPr>
                <w:sz w:val="20"/>
                <w:szCs w:val="20"/>
                <w:color w:val="auto"/>
              </w:rPr>
            </w:pPr>
            <w:r>
              <w:rPr>
                <w:rFonts w:ascii="Arial" w:cs="Arial" w:eastAsia="Arial" w:hAnsi="Arial"/>
                <w:sz w:val="14"/>
                <w:szCs w:val="14"/>
                <w:color w:val="auto"/>
              </w:rPr>
              <w:t>Deferred revenue</w:t>
            </w:r>
          </w:p>
        </w:tc>
        <w:tc>
          <w:tcPr>
            <w:tcW w:w="12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8,793</w:t>
            </w:r>
          </w:p>
        </w:tc>
        <w:tc>
          <w:tcPr>
            <w:tcW w:w="1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1,866</w:t>
            </w:r>
          </w:p>
        </w:tc>
      </w:tr>
      <w:tr>
        <w:trPr>
          <w:trHeight w:val="192"/>
        </w:trPr>
        <w:tc>
          <w:tcPr>
            <w:tcW w:w="7440" w:type="dxa"/>
            <w:vAlign w:val="bottom"/>
            <w:tcBorders>
              <w:bottom w:val="single" w:sz="8" w:color="CCEEFF"/>
            </w:tcBorders>
          </w:tcPr>
          <w:p>
            <w:pPr>
              <w:ind w:left="560"/>
              <w:spacing w:after="0"/>
              <w:rPr>
                <w:sz w:val="20"/>
                <w:szCs w:val="20"/>
                <w:color w:val="auto"/>
              </w:rPr>
            </w:pPr>
            <w:r>
              <w:rPr>
                <w:rFonts w:ascii="Arial" w:cs="Arial" w:eastAsia="Arial" w:hAnsi="Arial"/>
                <w:sz w:val="14"/>
                <w:szCs w:val="14"/>
                <w:color w:val="auto"/>
              </w:rPr>
              <w:t>Net cash provided by (used in) operating activities</w:t>
            </w:r>
          </w:p>
        </w:tc>
        <w:tc>
          <w:tcPr>
            <w:tcW w:w="1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1,911</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(12,750)</w:t>
            </w:r>
          </w:p>
        </w:tc>
      </w:tr>
      <w:tr>
        <w:trPr>
          <w:trHeight w:val="187"/>
        </w:trPr>
        <w:tc>
          <w:tcPr>
            <w:tcW w:w="7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INVESTING ACTIVITIES:</w:t>
            </w:r>
          </w:p>
        </w:tc>
        <w:tc>
          <w:tcPr>
            <w:tcW w:w="1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r>
      <w:tr>
        <w:trPr>
          <w:trHeight w:val="198"/>
        </w:trPr>
        <w:tc>
          <w:tcPr>
            <w:tcW w:w="7440" w:type="dxa"/>
            <w:vAlign w:val="bottom"/>
          </w:tcPr>
          <w:p>
            <w:pPr>
              <w:ind w:left="20"/>
              <w:spacing w:after="0"/>
              <w:rPr>
                <w:sz w:val="20"/>
                <w:szCs w:val="20"/>
                <w:color w:val="auto"/>
              </w:rPr>
            </w:pPr>
            <w:r>
              <w:rPr>
                <w:rFonts w:ascii="Arial" w:cs="Arial" w:eastAsia="Arial" w:hAnsi="Arial"/>
                <w:sz w:val="14"/>
                <w:szCs w:val="14"/>
                <w:color w:val="auto"/>
              </w:rPr>
              <w:t>Purchases of property and equipment</w:t>
            </w:r>
          </w:p>
        </w:tc>
        <w:tc>
          <w:tcPr>
            <w:tcW w:w="1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(274)</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(1,075)</w:t>
            </w:r>
          </w:p>
        </w:tc>
      </w:tr>
      <w:tr>
        <w:trPr>
          <w:trHeight w:val="207"/>
        </w:trPr>
        <w:tc>
          <w:tcPr>
            <w:tcW w:w="7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Purchases of available-for-sale securities</w:t>
            </w:r>
          </w:p>
        </w:tc>
        <w:tc>
          <w:tcPr>
            <w:tcW w:w="1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(25,997)</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(35,373)</w:t>
            </w:r>
          </w:p>
        </w:tc>
      </w:tr>
      <w:tr>
        <w:trPr>
          <w:trHeight w:val="199"/>
        </w:trPr>
        <w:tc>
          <w:tcPr>
            <w:tcW w:w="7440" w:type="dxa"/>
            <w:vAlign w:val="bottom"/>
          </w:tcPr>
          <w:p>
            <w:pPr>
              <w:ind w:left="20"/>
              <w:spacing w:after="0"/>
              <w:rPr>
                <w:sz w:val="20"/>
                <w:szCs w:val="20"/>
                <w:color w:val="auto"/>
              </w:rPr>
            </w:pPr>
            <w:r>
              <w:rPr>
                <w:rFonts w:ascii="Arial" w:cs="Arial" w:eastAsia="Arial" w:hAnsi="Arial"/>
                <w:sz w:val="14"/>
                <w:szCs w:val="14"/>
                <w:color w:val="auto"/>
              </w:rPr>
              <w:t>Proceeds from maturities of available-for-sale securities and other</w:t>
            </w:r>
          </w:p>
        </w:tc>
        <w:tc>
          <w:tcPr>
            <w:tcW w:w="1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29,169</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33,150</w:t>
            </w:r>
          </w:p>
        </w:tc>
      </w:tr>
      <w:tr>
        <w:trPr>
          <w:trHeight w:val="206"/>
        </w:trPr>
        <w:tc>
          <w:tcPr>
            <w:tcW w:w="7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12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r>
      <w:tr>
        <w:trPr>
          <w:trHeight w:val="192"/>
        </w:trPr>
        <w:tc>
          <w:tcPr>
            <w:tcW w:w="7440" w:type="dxa"/>
            <w:vAlign w:val="bottom"/>
            <w:tcBorders>
              <w:bottom w:val="single" w:sz="8" w:color="CCEEFF"/>
            </w:tcBorders>
          </w:tcPr>
          <w:p>
            <w:pPr>
              <w:ind w:left="560"/>
              <w:spacing w:after="0"/>
              <w:rPr>
                <w:sz w:val="20"/>
                <w:szCs w:val="20"/>
                <w:color w:val="auto"/>
              </w:rPr>
            </w:pPr>
            <w:r>
              <w:rPr>
                <w:rFonts w:ascii="Arial" w:cs="Arial" w:eastAsia="Arial" w:hAnsi="Arial"/>
                <w:sz w:val="14"/>
                <w:szCs w:val="14"/>
                <w:color w:val="auto"/>
              </w:rPr>
              <w:t>Net cash provided by (used in) investing activities</w:t>
            </w:r>
          </w:p>
        </w:tc>
        <w:tc>
          <w:tcPr>
            <w:tcW w:w="120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2,898</w:t>
            </w:r>
          </w:p>
        </w:tc>
        <w:tc>
          <w:tcPr>
            <w:tcW w:w="100" w:type="dxa"/>
            <w:vAlign w:val="bottom"/>
            <w:tcBorders>
              <w:bottom w:val="single" w:sz="8" w:color="CCEEFF"/>
            </w:tcBorders>
          </w:tcPr>
          <w:p>
            <w:pPr>
              <w:spacing w:after="0"/>
              <w:rPr>
                <w:sz w:val="16"/>
                <w:szCs w:val="16"/>
                <w:color w:val="auto"/>
              </w:rPr>
            </w:pPr>
          </w:p>
        </w:tc>
        <w:tc>
          <w:tcPr>
            <w:tcW w:w="440" w:type="dxa"/>
            <w:vAlign w:val="bottom"/>
            <w:tcBorders>
              <w:top w:val="single" w:sz="8" w:color="auto"/>
              <w:bottom w:val="single" w:sz="8" w:color="auto"/>
            </w:tcBorders>
          </w:tcPr>
          <w:p>
            <w:pPr>
              <w:spacing w:after="0"/>
              <w:rPr>
                <w:sz w:val="16"/>
                <w:szCs w:val="16"/>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(3,323)</w:t>
            </w:r>
          </w:p>
        </w:tc>
      </w:tr>
      <w:tr>
        <w:trPr>
          <w:trHeight w:val="187"/>
        </w:trPr>
        <w:tc>
          <w:tcPr>
            <w:tcW w:w="7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FINANCING ACTIVITIES:</w:t>
            </w:r>
          </w:p>
        </w:tc>
        <w:tc>
          <w:tcPr>
            <w:tcW w:w="1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r>
      <w:tr>
        <w:trPr>
          <w:trHeight w:val="198"/>
        </w:trPr>
        <w:tc>
          <w:tcPr>
            <w:tcW w:w="7440" w:type="dxa"/>
            <w:vAlign w:val="bottom"/>
          </w:tcPr>
          <w:p>
            <w:pPr>
              <w:ind w:left="20"/>
              <w:spacing w:after="0"/>
              <w:rPr>
                <w:sz w:val="20"/>
                <w:szCs w:val="20"/>
                <w:color w:val="auto"/>
              </w:rPr>
            </w:pPr>
            <w:r>
              <w:rPr>
                <w:rFonts w:ascii="Arial" w:cs="Arial" w:eastAsia="Arial" w:hAnsi="Arial"/>
                <w:sz w:val="14"/>
                <w:szCs w:val="14"/>
                <w:color w:val="auto"/>
              </w:rPr>
              <w:t>Payments of contingent consideration for business combination</w:t>
            </w:r>
          </w:p>
        </w:tc>
        <w:tc>
          <w:tcPr>
            <w:tcW w:w="120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(1,269)</w:t>
            </w:r>
          </w:p>
        </w:tc>
      </w:tr>
      <w:tr>
        <w:trPr>
          <w:trHeight w:val="207"/>
        </w:trPr>
        <w:tc>
          <w:tcPr>
            <w:tcW w:w="7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Principal payments under vendor financing arrangements</w:t>
            </w:r>
          </w:p>
        </w:tc>
        <w:tc>
          <w:tcPr>
            <w:tcW w:w="1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(1,438)</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(1,041)</w:t>
            </w:r>
          </w:p>
        </w:tc>
      </w:tr>
      <w:tr>
        <w:trPr>
          <w:trHeight w:val="198"/>
        </w:trPr>
        <w:tc>
          <w:tcPr>
            <w:tcW w:w="7440" w:type="dxa"/>
            <w:vAlign w:val="bottom"/>
          </w:tcPr>
          <w:p>
            <w:pPr>
              <w:ind w:left="20"/>
              <w:spacing w:after="0"/>
              <w:rPr>
                <w:sz w:val="20"/>
                <w:szCs w:val="20"/>
                <w:color w:val="auto"/>
              </w:rPr>
            </w:pPr>
            <w:r>
              <w:rPr>
                <w:rFonts w:ascii="Arial" w:cs="Arial" w:eastAsia="Arial" w:hAnsi="Arial"/>
                <w:sz w:val="14"/>
                <w:szCs w:val="14"/>
                <w:color w:val="auto"/>
              </w:rPr>
              <w:t>Proceeds from exercise of stock options</w:t>
            </w:r>
          </w:p>
        </w:tc>
        <w:tc>
          <w:tcPr>
            <w:tcW w:w="1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703</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460</w:t>
            </w:r>
          </w:p>
        </w:tc>
      </w:tr>
      <w:tr>
        <w:trPr>
          <w:trHeight w:val="207"/>
        </w:trPr>
        <w:tc>
          <w:tcPr>
            <w:tcW w:w="7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Payments to tax authorities for shares withheld from employees</w:t>
            </w:r>
          </w:p>
        </w:tc>
        <w:tc>
          <w:tcPr>
            <w:tcW w:w="12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(564)</w:t>
            </w:r>
          </w:p>
        </w:tc>
      </w:tr>
      <w:tr>
        <w:trPr>
          <w:trHeight w:val="198"/>
        </w:trPr>
        <w:tc>
          <w:tcPr>
            <w:tcW w:w="74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w:t>
            </w:r>
          </w:p>
        </w:tc>
        <w:tc>
          <w:tcPr>
            <w:tcW w:w="1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w:t>
            </w:r>
          </w:p>
        </w:tc>
      </w:tr>
      <w:tr>
        <w:trPr>
          <w:trHeight w:val="200"/>
        </w:trPr>
        <w:tc>
          <w:tcPr>
            <w:tcW w:w="7440" w:type="dxa"/>
            <w:vAlign w:val="bottom"/>
            <w:shd w:val="clear" w:color="auto" w:fill="CCEEFF"/>
          </w:tcPr>
          <w:p>
            <w:pPr>
              <w:ind w:left="560"/>
              <w:spacing w:after="0"/>
              <w:rPr>
                <w:sz w:val="20"/>
                <w:szCs w:val="20"/>
                <w:color w:val="auto"/>
              </w:rPr>
            </w:pPr>
            <w:r>
              <w:rPr>
                <w:rFonts w:ascii="Arial" w:cs="Arial" w:eastAsia="Arial" w:hAnsi="Arial"/>
                <w:sz w:val="14"/>
                <w:szCs w:val="14"/>
                <w:color w:val="auto"/>
              </w:rPr>
              <w:t>Net cash used in financing activities</w:t>
            </w:r>
          </w:p>
        </w:tc>
        <w:tc>
          <w:tcPr>
            <w:tcW w:w="12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(676)</w:t>
            </w:r>
          </w:p>
        </w:tc>
        <w:tc>
          <w:tcPr>
            <w:tcW w:w="1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(2,335)</w:t>
            </w:r>
          </w:p>
        </w:tc>
      </w:tr>
      <w:tr>
        <w:trPr>
          <w:trHeight w:val="192"/>
        </w:trPr>
        <w:tc>
          <w:tcPr>
            <w:tcW w:w="7440" w:type="dxa"/>
            <w:vAlign w:val="bottom"/>
          </w:tcPr>
          <w:p>
            <w:pPr>
              <w:ind w:left="20"/>
              <w:spacing w:after="0"/>
              <w:rPr>
                <w:sz w:val="20"/>
                <w:szCs w:val="20"/>
                <w:color w:val="auto"/>
              </w:rPr>
            </w:pPr>
            <w:r>
              <w:rPr>
                <w:rFonts w:ascii="Arial" w:cs="Arial" w:eastAsia="Arial" w:hAnsi="Arial"/>
                <w:sz w:val="14"/>
                <w:szCs w:val="14"/>
                <w:color w:val="auto"/>
              </w:rPr>
              <w:t>NET INCREASE (DECREASE) IN CASH, CASH EQUIVALENTS AND RESTRICTED CASH</w:t>
            </w:r>
          </w:p>
        </w:tc>
        <w:tc>
          <w:tcPr>
            <w:tcW w:w="1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4,133</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(18,408)</w:t>
            </w:r>
          </w:p>
        </w:tc>
      </w:tr>
      <w:tr>
        <w:trPr>
          <w:trHeight w:val="206"/>
        </w:trPr>
        <w:tc>
          <w:tcPr>
            <w:tcW w:w="7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CASH EQUIVALENTS AND RESTRICTED CASH, beginning of period</w:t>
            </w:r>
          </w:p>
        </w:tc>
        <w:tc>
          <w:tcPr>
            <w:tcW w:w="12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14,084</w:t>
            </w:r>
          </w:p>
        </w:tc>
        <w:tc>
          <w:tcPr>
            <w:tcW w:w="1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37,423</w:t>
            </w:r>
          </w:p>
        </w:tc>
      </w:tr>
      <w:tr>
        <w:trPr>
          <w:trHeight w:val="192"/>
        </w:trPr>
        <w:tc>
          <w:tcPr>
            <w:tcW w:w="7440" w:type="dxa"/>
            <w:vAlign w:val="bottom"/>
          </w:tcPr>
          <w:p>
            <w:pPr>
              <w:ind w:left="20"/>
              <w:spacing w:after="0"/>
              <w:rPr>
                <w:sz w:val="20"/>
                <w:szCs w:val="20"/>
                <w:color w:val="auto"/>
              </w:rPr>
            </w:pPr>
            <w:r>
              <w:rPr>
                <w:rFonts w:ascii="Arial" w:cs="Arial" w:eastAsia="Arial" w:hAnsi="Arial"/>
                <w:sz w:val="14"/>
                <w:szCs w:val="14"/>
                <w:color w:val="auto"/>
              </w:rPr>
              <w:t>CASH, CASH EQUIVALENTS AND RESTRICTED CASH, end of period</w:t>
            </w:r>
          </w:p>
        </w:tc>
        <w:tc>
          <w:tcPr>
            <w:tcW w:w="1200" w:type="dxa"/>
            <w:vAlign w:val="bottom"/>
            <w:tcBorders>
              <w:bottom w:val="single" w:sz="8" w:color="auto"/>
            </w:tcBorders>
          </w:tcPr>
          <w:p>
            <w:pPr>
              <w:jc w:val="right"/>
              <w:ind w:right="102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18,217</w:t>
            </w:r>
          </w:p>
        </w:tc>
        <w:tc>
          <w:tcPr>
            <w:tcW w:w="100" w:type="dxa"/>
            <w:vAlign w:val="bottom"/>
          </w:tcPr>
          <w:p>
            <w:pPr>
              <w:spacing w:after="0"/>
              <w:rPr>
                <w:sz w:val="16"/>
                <w:szCs w:val="16"/>
                <w:color w:val="auto"/>
              </w:rPr>
            </w:pP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19,015</w:t>
            </w:r>
          </w:p>
        </w:tc>
      </w:tr>
      <w:tr>
        <w:trPr>
          <w:trHeight w:val="25"/>
        </w:trPr>
        <w:tc>
          <w:tcPr>
            <w:tcW w:w="744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10"/>
        </w:trPr>
        <w:tc>
          <w:tcPr>
            <w:tcW w:w="74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03"/>
        </w:trPr>
        <w:tc>
          <w:tcPr>
            <w:tcW w:w="7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cash equivalents and restricted cash at end of period:</w:t>
            </w:r>
          </w:p>
        </w:tc>
        <w:tc>
          <w:tcPr>
            <w:tcW w:w="1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198"/>
        </w:trPr>
        <w:tc>
          <w:tcPr>
            <w:tcW w:w="7440" w:type="dxa"/>
            <w:vAlign w:val="bottom"/>
          </w:tcPr>
          <w:p>
            <w:pPr>
              <w:ind w:left="20"/>
              <w:spacing w:after="0"/>
              <w:rPr>
                <w:sz w:val="20"/>
                <w:szCs w:val="20"/>
                <w:color w:val="auto"/>
              </w:rPr>
            </w:pPr>
            <w:r>
              <w:rPr>
                <w:rFonts w:ascii="Arial" w:cs="Arial" w:eastAsia="Arial" w:hAnsi="Arial"/>
                <w:sz w:val="14"/>
                <w:szCs w:val="14"/>
                <w:color w:val="auto"/>
              </w:rPr>
              <w:t>Cash and cash equivalents</w:t>
            </w:r>
          </w:p>
        </w:tc>
        <w:tc>
          <w:tcPr>
            <w:tcW w:w="1200" w:type="dxa"/>
            <w:vAlign w:val="bottom"/>
          </w:tcPr>
          <w:p>
            <w:pPr>
              <w:jc w:val="right"/>
              <w:ind w:right="102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17,829</w:t>
            </w:r>
          </w:p>
        </w:tc>
        <w:tc>
          <w:tcPr>
            <w:tcW w:w="100" w:type="dxa"/>
            <w:vAlign w:val="bottom"/>
          </w:tcPr>
          <w:p>
            <w:pPr>
              <w:spacing w:after="0"/>
              <w:rPr>
                <w:sz w:val="17"/>
                <w:szCs w:val="17"/>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18,627</w:t>
            </w:r>
          </w:p>
        </w:tc>
      </w:tr>
      <w:tr>
        <w:trPr>
          <w:trHeight w:val="207"/>
        </w:trPr>
        <w:tc>
          <w:tcPr>
            <w:tcW w:w="7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cash, noncurrent</w:t>
            </w:r>
          </w:p>
        </w:tc>
        <w:tc>
          <w:tcPr>
            <w:tcW w:w="12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388</w:t>
            </w:r>
          </w:p>
        </w:tc>
        <w:tc>
          <w:tcPr>
            <w:tcW w:w="1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388</w:t>
            </w:r>
          </w:p>
        </w:tc>
      </w:tr>
      <w:tr>
        <w:trPr>
          <w:trHeight w:val="192"/>
        </w:trPr>
        <w:tc>
          <w:tcPr>
            <w:tcW w:w="7440" w:type="dxa"/>
            <w:vAlign w:val="bottom"/>
          </w:tcPr>
          <w:p>
            <w:pPr>
              <w:ind w:left="20"/>
              <w:spacing w:after="0"/>
              <w:rPr>
                <w:sz w:val="20"/>
                <w:szCs w:val="20"/>
                <w:color w:val="auto"/>
              </w:rPr>
            </w:pPr>
            <w:r>
              <w:rPr>
                <w:rFonts w:ascii="Arial" w:cs="Arial" w:eastAsia="Arial" w:hAnsi="Arial"/>
                <w:sz w:val="14"/>
                <w:szCs w:val="14"/>
                <w:color w:val="auto"/>
              </w:rPr>
              <w:t>Cash, cash equivalents and restricted cash at end of period</w:t>
            </w:r>
          </w:p>
        </w:tc>
        <w:tc>
          <w:tcPr>
            <w:tcW w:w="1200" w:type="dxa"/>
            <w:vAlign w:val="bottom"/>
            <w:tcBorders>
              <w:bottom w:val="single" w:sz="8" w:color="auto"/>
            </w:tcBorders>
          </w:tcPr>
          <w:p>
            <w:pPr>
              <w:jc w:val="right"/>
              <w:ind w:right="102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18,217</w:t>
            </w:r>
          </w:p>
        </w:tc>
        <w:tc>
          <w:tcPr>
            <w:tcW w:w="100" w:type="dxa"/>
            <w:vAlign w:val="bottom"/>
          </w:tcPr>
          <w:p>
            <w:pPr>
              <w:spacing w:after="0"/>
              <w:rPr>
                <w:sz w:val="16"/>
                <w:szCs w:val="16"/>
                <w:color w:val="auto"/>
              </w:rPr>
            </w:pP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19,015</w:t>
            </w:r>
          </w:p>
        </w:tc>
      </w:tr>
      <w:tr>
        <w:trPr>
          <w:trHeight w:val="20"/>
        </w:trPr>
        <w:tc>
          <w:tcPr>
            <w:tcW w:w="744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41"/>
        </w:trPr>
        <w:tc>
          <w:tcPr>
            <w:tcW w:w="74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r>
      <w:tr>
        <w:trPr>
          <w:trHeight w:val="198"/>
        </w:trPr>
        <w:tc>
          <w:tcPr>
            <w:tcW w:w="7440" w:type="dxa"/>
            <w:vAlign w:val="bottom"/>
          </w:tcPr>
          <w:p>
            <w:pPr>
              <w:ind w:left="20"/>
              <w:spacing w:after="0"/>
              <w:rPr>
                <w:sz w:val="20"/>
                <w:szCs w:val="20"/>
                <w:color w:val="auto"/>
              </w:rPr>
            </w:pPr>
            <w:r>
              <w:rPr>
                <w:rFonts w:ascii="Arial" w:cs="Arial" w:eastAsia="Arial" w:hAnsi="Arial"/>
                <w:sz w:val="14"/>
                <w:szCs w:val="14"/>
                <w:color w:val="auto"/>
              </w:rPr>
              <w:t>Noncash activities:</w:t>
            </w:r>
          </w:p>
        </w:tc>
        <w:tc>
          <w:tcPr>
            <w:tcW w:w="1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07"/>
        </w:trPr>
        <w:tc>
          <w:tcPr>
            <w:tcW w:w="7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 of property and equipment through vendor financing</w:t>
            </w:r>
          </w:p>
        </w:tc>
        <w:tc>
          <w:tcPr>
            <w:tcW w:w="1200" w:type="dxa"/>
            <w:vAlign w:val="bottom"/>
            <w:shd w:val="clear" w:color="auto" w:fill="CCEEFF"/>
          </w:tcPr>
          <w:p>
            <w:pPr>
              <w:jc w:val="right"/>
              <w:ind w:right="1028"/>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2,592</w:t>
            </w:r>
          </w:p>
        </w:tc>
      </w:tr>
      <w:tr>
        <w:trPr>
          <w:trHeight w:val="194"/>
        </w:trPr>
        <w:tc>
          <w:tcPr>
            <w:tcW w:w="7440" w:type="dxa"/>
            <w:vAlign w:val="bottom"/>
          </w:tcPr>
          <w:p>
            <w:pPr>
              <w:ind w:left="20"/>
              <w:spacing w:after="0"/>
              <w:rPr>
                <w:sz w:val="20"/>
                <w:szCs w:val="20"/>
                <w:color w:val="auto"/>
              </w:rPr>
            </w:pPr>
            <w:r>
              <w:rPr>
                <w:rFonts w:ascii="Arial" w:cs="Arial" w:eastAsia="Arial" w:hAnsi="Arial"/>
                <w:sz w:val="14"/>
                <w:szCs w:val="14"/>
                <w:color w:val="auto"/>
              </w:rPr>
              <w:t>Operating lease right-of-use assets, exchanged for lease obligations</w:t>
            </w:r>
          </w:p>
        </w:tc>
        <w:tc>
          <w:tcPr>
            <w:tcW w:w="1200" w:type="dxa"/>
            <w:vAlign w:val="bottom"/>
          </w:tcPr>
          <w:p>
            <w:pPr>
              <w:jc w:val="right"/>
              <w:ind w:right="102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464</w:t>
            </w:r>
          </w:p>
        </w:tc>
        <w:tc>
          <w:tcPr>
            <w:tcW w:w="100" w:type="dxa"/>
            <w:vAlign w:val="bottom"/>
          </w:tcPr>
          <w:p>
            <w:pPr>
              <w:spacing w:after="0"/>
              <w:rPr>
                <w:sz w:val="16"/>
                <w:szCs w:val="16"/>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480</w:t>
            </w:r>
          </w:p>
        </w:tc>
      </w:tr>
    </w:tbl>
    <w:p>
      <w:pPr>
        <w:spacing w:after="0" w:line="25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accompanying notes to unaudited condensed consolidated financial statements.</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8" w:name="page9"/>
    <w:bookmarkEnd w:id="8"/>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ARTERIS,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UNAUDITED CONDENSED CONSOLIDATED FINANCIAL STATEMENTS</w:t>
      </w:r>
    </w:p>
    <w:p>
      <w:pPr>
        <w:spacing w:after="0" w:line="214" w:lineRule="exact"/>
        <w:rPr>
          <w:sz w:val="20"/>
          <w:szCs w:val="20"/>
          <w:color w:val="auto"/>
        </w:rPr>
      </w:pPr>
    </w:p>
    <w:p>
      <w:pPr>
        <w:ind w:left="360" w:hanging="352"/>
        <w:spacing w:after="0"/>
        <w:tabs>
          <w:tab w:leader="none" w:pos="3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Arteris, Inc. was incorporated in Delaware on April 12, 2004. Arteris, Inc. and its subsidiaries (collectively, the Company or Arteris) develop, license, and support the on-chip interconnect fabric technology used in System-on-Chip (SoC) designs for a variety of devices and in the development and distribution of Network-on-Chip (NoC) interconnect intellectual property (IP). The Company also provides software and services to enable efficient deployment of NoC IP, IP support &amp; maintenance services, professional services and training and on-site support services. The Company is headquartered in Campbell, California and has offices in the United States, France, Japan, South Korea, Taiwan and China. In June 2024, the Company registered a subsidiary in Poland and is taking steps to establish an office there.</w:t>
      </w:r>
    </w:p>
    <w:p>
      <w:pPr>
        <w:spacing w:after="0" w:line="182" w:lineRule="exact"/>
        <w:rPr>
          <w:sz w:val="20"/>
          <w:szCs w:val="20"/>
          <w:color w:val="auto"/>
        </w:rPr>
      </w:pPr>
    </w:p>
    <w:p>
      <w:pPr>
        <w:ind w:left="360" w:hanging="352"/>
        <w:spacing w:after="0"/>
        <w:tabs>
          <w:tab w:leader="none" w:pos="3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SUMMARY OF SIGNIFICANT ACCOUNTING POLICIES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6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accounting principles generally accepted in the United States of America (GAAP) for interim financial information and do not include all disclosures normally required in annual consolidated financial statements prepared in accordance with GAAP. Accordingly, these unaudited condensed consolidated financial statements should be read in conjunction with the audited consolidated financial statements for the year ended December 31, 2023 and the related notes included in the Company’s Form 10-K filed on February 20, 2024 (2023 Form 10-K) with the U.S. Securities and Exchange Commission (SEC). The December 31, 2023 condensed consolidated balance sheet was derived from the audited consolidated financial statements as of that date. In management’s opinion, the unaudited interim consolidated financial statements have been prepared on the same basis as the annual financial statements and reflect all adjustments, which include only normal recurring adjustments necessary for the fair statement of the unaudited condensed consolidated financial statements.</w:t>
      </w:r>
    </w:p>
    <w:p>
      <w:pPr>
        <w:spacing w:after="0" w:line="12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operating results for the three and nine months ended September 30, 2024 are not necessarily indicative of the results to be expected for the full year or any other future interim or annual period.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69"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unaudited condensed consolidated financial statements include the accounts of Arteris, Inc. and its wholly-owned subsidiaries. All intercompany transactions and accounts have been eliminated.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6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preparation of the unaudited condensed consolidated financial statements in conformity with GAAP requires management to make estimates, judgments and assumptions that affect the reported amounts of assets and liabilities and disclosure of contingent liabilities at the date of the financial statements and the reported amounts of revenues and expenses during the reporting period. Such estimates relate to, among others, revenue recognition, the useful lives of assets, assessment of recoverability of property, plant and equipment, fair value of investments, impairment of the equity method investment, fair values of goodwill and other intangible assets, including impairments, leases, allowances for doubtful accounts, deferred tax assets and related valuation allowance, stock-based compensation, potential reserves relating to litigation and tax matters, collectability of certain receivables, fair value and amortization of deferred income, as well as other accruals or reserves. Actual results could differ from those estimates and such differences may be material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9" w:name="page10"/>
    <w:bookmarkEnd w:id="9"/>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16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considers all highly liquid investments purchased with original maturities of three months or less from the purchase date to be cash equivalents. The Company’s cash equivalents include deposits in money market accounts which were unrestricted as to withdrawal or use and are stated at fair value. The Company’s cash equivalents occasionally include certificates of deposit. As of September 30, 2024, cash and cash equivalents consisted primarily of checking, savings, money market accounts, certificates of deposit and highly liquid investments with original maturities of three months or less. Interest earned on cash and cash equivalents is included in other income (expense), net in the unaudited consolidated statements of operations.</w:t>
      </w:r>
    </w:p>
    <w:p>
      <w:pPr>
        <w:spacing w:after="0" w:line="12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of both September 30, 2024 and December 31, 2023, the Company’s long-term restricted cash balance was $0.4 million, primarily related to a letter of credit for its facility lease agreement. Restricted cash, noncurrent is included in other assets on the unaudited condensed consolidated balance sheets.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Financial instruments that potentially subject us to concentration of credit risk consist of cash and cash equivalents, investments and accounts receivable. Cash is currently held in three financial institutions that the Company believes are creditworthy. Cash held at these financial institutions generally exceed federally insured limits. The Company is exposed to credit risk in the event of default by the financial institution holding its cash, cash equivalents, and investments to the extent recorded in the balance sheet. The Company has not experienced any losses to date related to these concentrations.</w:t>
      </w:r>
    </w:p>
    <w:p>
      <w:pPr>
        <w:spacing w:after="0" w:line="1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Company’s accounts receivable are derived principally from revenue earned from customers located in Americas, Europe, Middle East and Asia Pacific regions.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from the Company’s major customers representing 10% or more of total accounts receivable was as follows:</w:t>
      </w:r>
    </w:p>
    <w:p>
      <w:pPr>
        <w:spacing w:after="0" w:line="275" w:lineRule="exact"/>
        <w:rPr>
          <w:sz w:val="20"/>
          <w:szCs w:val="20"/>
          <w:color w:val="auto"/>
        </w:rPr>
      </w:pPr>
    </w:p>
    <w:p>
      <w:pPr>
        <w:ind w:left="9220"/>
        <w:spacing w:after="0"/>
        <w:rPr>
          <w:sz w:val="20"/>
          <w:szCs w:val="20"/>
          <w:color w:val="auto"/>
        </w:rPr>
      </w:pPr>
      <w:r>
        <w:rPr>
          <w:rFonts w:ascii="Arial" w:cs="Arial" w:eastAsia="Arial" w:hAnsi="Arial"/>
          <w:sz w:val="14"/>
          <w:szCs w:val="14"/>
          <w:b w:val="1"/>
          <w:bCs w:val="1"/>
          <w:color w:val="auto"/>
        </w:rPr>
        <w:t>As of</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7540" w:type="dxa"/>
            <w:vAlign w:val="bottom"/>
          </w:tcPr>
          <w:p>
            <w:pPr>
              <w:spacing w:after="0"/>
              <w:rPr>
                <w:sz w:val="12"/>
                <w:szCs w:val="12"/>
                <w:color w:val="auto"/>
              </w:rPr>
            </w:pPr>
          </w:p>
        </w:tc>
        <w:tc>
          <w:tcPr>
            <w:tcW w:w="1420" w:type="dxa"/>
            <w:vAlign w:val="bottom"/>
            <w:tcBorders>
              <w:top w:val="single" w:sz="8" w:color="auto"/>
            </w:tcBorders>
          </w:tcPr>
          <w:p>
            <w:pPr>
              <w:jc w:val="center"/>
              <w:ind w:left="308"/>
              <w:spacing w:after="0" w:line="149" w:lineRule="exact"/>
              <w:rPr>
                <w:sz w:val="20"/>
                <w:szCs w:val="20"/>
                <w:color w:val="auto"/>
              </w:rPr>
            </w:pPr>
            <w:r>
              <w:rPr>
                <w:rFonts w:ascii="Arial" w:cs="Arial" w:eastAsia="Arial" w:hAnsi="Arial"/>
                <w:sz w:val="14"/>
                <w:szCs w:val="14"/>
                <w:b w:val="1"/>
                <w:bCs w:val="1"/>
                <w:color w:val="auto"/>
              </w:rPr>
              <w:t>September 30,</w:t>
            </w:r>
          </w:p>
        </w:tc>
        <w:tc>
          <w:tcPr>
            <w:tcW w:w="3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800" w:type="dxa"/>
            <w:vAlign w:val="bottom"/>
            <w:tcBorders>
              <w:top w:val="single" w:sz="8" w:color="auto"/>
            </w:tcBorders>
          </w:tcPr>
          <w:p>
            <w:pPr>
              <w:jc w:val="right"/>
              <w:ind w:right="368"/>
              <w:spacing w:after="0" w:line="149" w:lineRule="exact"/>
              <w:rPr>
                <w:sz w:val="20"/>
                <w:szCs w:val="20"/>
                <w:color w:val="auto"/>
              </w:rPr>
            </w:pPr>
            <w:r>
              <w:rPr>
                <w:rFonts w:ascii="Arial" w:cs="Arial" w:eastAsia="Arial" w:hAnsi="Arial"/>
                <w:sz w:val="14"/>
                <w:szCs w:val="14"/>
                <w:b w:val="1"/>
                <w:bCs w:val="1"/>
                <w:color w:val="auto"/>
              </w:rPr>
              <w:t>December 31,</w:t>
            </w:r>
          </w:p>
        </w:tc>
      </w:tr>
      <w:tr>
        <w:trPr>
          <w:trHeight w:val="185"/>
        </w:trPr>
        <w:tc>
          <w:tcPr>
            <w:tcW w:w="8960" w:type="dxa"/>
            <w:vAlign w:val="bottom"/>
            <w:gridSpan w:val="2"/>
          </w:tcPr>
          <w:p>
            <w:pPr>
              <w:jc w:val="right"/>
              <w:ind w:right="288"/>
              <w:spacing w:after="0"/>
              <w:rPr>
                <w:sz w:val="20"/>
                <w:szCs w:val="20"/>
                <w:color w:val="auto"/>
              </w:rPr>
            </w:pPr>
            <w:r>
              <w:rPr>
                <w:rFonts w:ascii="Arial" w:cs="Arial" w:eastAsia="Arial" w:hAnsi="Arial"/>
                <w:sz w:val="14"/>
                <w:szCs w:val="14"/>
                <w:b w:val="1"/>
                <w:bCs w:val="1"/>
                <w:color w:val="auto"/>
              </w:rPr>
              <w:t>2024</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tcPr>
          <w:p>
            <w:pPr>
              <w:jc w:val="right"/>
              <w:ind w:right="668"/>
              <w:spacing w:after="0"/>
              <w:rPr>
                <w:sz w:val="20"/>
                <w:szCs w:val="20"/>
                <w:color w:val="auto"/>
              </w:rPr>
            </w:pPr>
            <w:r>
              <w:rPr>
                <w:rFonts w:ascii="Arial" w:cs="Arial" w:eastAsia="Arial" w:hAnsi="Arial"/>
                <w:sz w:val="14"/>
                <w:szCs w:val="14"/>
                <w:b w:val="1"/>
                <w:bCs w:val="1"/>
                <w:color w:val="auto"/>
              </w:rPr>
              <w:t>2023</w:t>
            </w:r>
          </w:p>
        </w:tc>
      </w:tr>
      <w:tr>
        <w:trPr>
          <w:trHeight w:val="196"/>
        </w:trPr>
        <w:tc>
          <w:tcPr>
            <w:tcW w:w="7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Customer A</w:t>
            </w:r>
          </w:p>
        </w:tc>
        <w:tc>
          <w:tcPr>
            <w:tcW w:w="14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24 %</w:t>
            </w:r>
          </w:p>
        </w:tc>
        <w:tc>
          <w:tcPr>
            <w:tcW w:w="100" w:type="dxa"/>
            <w:vAlign w:val="bottom"/>
            <w:tcBorders>
              <w:top w:val="single" w:sz="8" w:color="CCEEFF"/>
            </w:tcBorders>
            <w:shd w:val="clear" w:color="auto" w:fill="CCEEFF"/>
          </w:tcPr>
          <w:p>
            <w:pPr>
              <w:spacing w:after="0"/>
              <w:rPr>
                <w:sz w:val="17"/>
                <w:szCs w:val="17"/>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15 %</w:t>
            </w:r>
          </w:p>
        </w:tc>
      </w:tr>
      <w:tr>
        <w:trPr>
          <w:trHeight w:val="198"/>
        </w:trPr>
        <w:tc>
          <w:tcPr>
            <w:tcW w:w="8960" w:type="dxa"/>
            <w:vAlign w:val="bottom"/>
            <w:gridSpan w:val="2"/>
          </w:tcPr>
          <w:p>
            <w:pPr>
              <w:ind w:left="20"/>
              <w:spacing w:after="0"/>
              <w:rPr>
                <w:sz w:val="20"/>
                <w:szCs w:val="20"/>
                <w:color w:val="auto"/>
              </w:rPr>
            </w:pPr>
            <w:r>
              <w:rPr>
                <w:rFonts w:ascii="Arial" w:cs="Arial" w:eastAsia="Arial" w:hAnsi="Arial"/>
                <w:sz w:val="14"/>
                <w:szCs w:val="14"/>
                <w:color w:val="auto"/>
              </w:rPr>
              <w:t>Customer B</w:t>
            </w:r>
          </w:p>
        </w:tc>
        <w:tc>
          <w:tcPr>
            <w:tcW w:w="380" w:type="dxa"/>
            <w:vAlign w:val="bottom"/>
          </w:tcPr>
          <w:p>
            <w:pPr>
              <w:jc w:val="right"/>
              <w:spacing w:after="0"/>
              <w:rPr>
                <w:sz w:val="20"/>
                <w:szCs w:val="20"/>
                <w:color w:val="auto"/>
              </w:rPr>
            </w:pPr>
            <w:r>
              <w:rPr>
                <w:rFonts w:ascii="Arial" w:cs="Arial" w:eastAsia="Arial" w:hAnsi="Arial"/>
                <w:sz w:val="14"/>
                <w:szCs w:val="14"/>
                <w:color w:val="auto"/>
              </w:rPr>
              <w:t>15 %</w:t>
            </w:r>
          </w:p>
        </w:tc>
        <w:tc>
          <w:tcPr>
            <w:tcW w:w="100" w:type="dxa"/>
            <w:vAlign w:val="bottom"/>
          </w:tcPr>
          <w:p>
            <w:pPr>
              <w:spacing w:after="0"/>
              <w:rPr>
                <w:sz w:val="17"/>
                <w:szCs w:val="17"/>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 %</w:t>
            </w:r>
          </w:p>
        </w:tc>
      </w:tr>
      <w:tr>
        <w:trPr>
          <w:trHeight w:val="207"/>
        </w:trPr>
        <w:tc>
          <w:tcPr>
            <w:tcW w:w="89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Customer C</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26 %</w:t>
            </w: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 Customer accounted for less than 10% of total accounts receivable at period end.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Revenue from the Company’s major customers representing 10% or more of total revenue was as follows: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2540" w:type="dxa"/>
            <w:vAlign w:val="bottom"/>
            <w:gridSpan w:val="3"/>
          </w:tcPr>
          <w:p>
            <w:pPr>
              <w:jc w:val="center"/>
              <w:ind w:left="1008"/>
              <w:spacing w:after="0"/>
              <w:rPr>
                <w:sz w:val="20"/>
                <w:szCs w:val="20"/>
                <w:color w:val="auto"/>
              </w:rPr>
            </w:pPr>
            <w:r>
              <w:rPr>
                <w:rFonts w:ascii="Arial" w:cs="Arial" w:eastAsia="Arial" w:hAnsi="Arial"/>
                <w:sz w:val="14"/>
                <w:szCs w:val="14"/>
                <w:b w:val="1"/>
                <w:bCs w:val="1"/>
                <w:color w:val="auto"/>
              </w:rPr>
              <w:t>Three Months Ended</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60" w:type="dxa"/>
            <w:vAlign w:val="bottom"/>
            <w:gridSpan w:val="3"/>
          </w:tcPr>
          <w:p>
            <w:pPr>
              <w:jc w:val="center"/>
              <w:ind w:left="968"/>
              <w:spacing w:after="0"/>
              <w:rPr>
                <w:sz w:val="20"/>
                <w:szCs w:val="20"/>
                <w:color w:val="auto"/>
              </w:rPr>
            </w:pPr>
            <w:r>
              <w:rPr>
                <w:rFonts w:ascii="Arial" w:cs="Arial" w:eastAsia="Arial" w:hAnsi="Arial"/>
                <w:sz w:val="14"/>
                <w:szCs w:val="14"/>
                <w:b w:val="1"/>
                <w:bCs w:val="1"/>
                <w:color w:val="auto"/>
              </w:rPr>
              <w:t>Nine Months Ended</w:t>
            </w:r>
          </w:p>
        </w:tc>
        <w:tc>
          <w:tcPr>
            <w:tcW w:w="1040" w:type="dxa"/>
            <w:vAlign w:val="bottom"/>
          </w:tcPr>
          <w:p>
            <w:pPr>
              <w:spacing w:after="0"/>
              <w:rPr>
                <w:sz w:val="14"/>
                <w:szCs w:val="14"/>
                <w:color w:val="auto"/>
              </w:rPr>
            </w:pPr>
          </w:p>
        </w:tc>
      </w:tr>
      <w:tr>
        <w:trPr>
          <w:trHeight w:val="185"/>
        </w:trPr>
        <w:tc>
          <w:tcPr>
            <w:tcW w:w="4040" w:type="dxa"/>
            <w:vAlign w:val="bottom"/>
          </w:tcPr>
          <w:p>
            <w:pPr>
              <w:spacing w:after="0"/>
              <w:rPr>
                <w:sz w:val="16"/>
                <w:szCs w:val="16"/>
                <w:color w:val="auto"/>
              </w:rPr>
            </w:pPr>
          </w:p>
        </w:tc>
        <w:tc>
          <w:tcPr>
            <w:tcW w:w="2540" w:type="dxa"/>
            <w:vAlign w:val="bottom"/>
            <w:tcBorders>
              <w:bottom w:val="single" w:sz="8" w:color="auto"/>
            </w:tcBorders>
            <w:gridSpan w:val="3"/>
          </w:tcPr>
          <w:p>
            <w:pPr>
              <w:jc w:val="center"/>
              <w:ind w:left="1008"/>
              <w:spacing w:after="0"/>
              <w:rPr>
                <w:sz w:val="20"/>
                <w:szCs w:val="20"/>
                <w:color w:val="auto"/>
              </w:rPr>
            </w:pPr>
            <w:r>
              <w:rPr>
                <w:rFonts w:ascii="Arial" w:cs="Arial" w:eastAsia="Arial" w:hAnsi="Arial"/>
                <w:sz w:val="14"/>
                <w:szCs w:val="14"/>
                <w:b w:val="1"/>
                <w:bCs w:val="1"/>
                <w:color w:val="auto"/>
              </w:rPr>
              <w:t>September 30,</w:t>
            </w: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60" w:type="dxa"/>
            <w:vAlign w:val="bottom"/>
            <w:tcBorders>
              <w:bottom w:val="single" w:sz="8" w:color="auto"/>
            </w:tcBorders>
            <w:gridSpan w:val="3"/>
          </w:tcPr>
          <w:p>
            <w:pPr>
              <w:jc w:val="center"/>
              <w:ind w:left="968"/>
              <w:spacing w:after="0"/>
              <w:rPr>
                <w:sz w:val="20"/>
                <w:szCs w:val="20"/>
                <w:color w:val="auto"/>
              </w:rPr>
            </w:pPr>
            <w:r>
              <w:rPr>
                <w:rFonts w:ascii="Arial" w:cs="Arial" w:eastAsia="Arial" w:hAnsi="Arial"/>
                <w:sz w:val="14"/>
                <w:szCs w:val="14"/>
                <w:b w:val="1"/>
                <w:bCs w:val="1"/>
                <w:color w:val="auto"/>
              </w:rPr>
              <w:t>September 30,</w:t>
            </w:r>
          </w:p>
        </w:tc>
        <w:tc>
          <w:tcPr>
            <w:tcW w:w="1040" w:type="dxa"/>
            <w:vAlign w:val="bottom"/>
            <w:tcBorders>
              <w:bottom w:val="single" w:sz="8" w:color="auto"/>
            </w:tcBorders>
          </w:tcPr>
          <w:p>
            <w:pPr>
              <w:spacing w:after="0"/>
              <w:rPr>
                <w:sz w:val="16"/>
                <w:szCs w:val="16"/>
                <w:color w:val="auto"/>
              </w:rPr>
            </w:pPr>
          </w:p>
        </w:tc>
      </w:tr>
      <w:tr>
        <w:trPr>
          <w:trHeight w:val="195"/>
        </w:trPr>
        <w:tc>
          <w:tcPr>
            <w:tcW w:w="4040" w:type="dxa"/>
            <w:vAlign w:val="bottom"/>
            <w:tcBorders>
              <w:bottom w:val="single" w:sz="8" w:color="CCEEFF"/>
            </w:tcBorders>
          </w:tcPr>
          <w:p>
            <w:pPr>
              <w:spacing w:after="0"/>
              <w:rPr>
                <w:sz w:val="16"/>
                <w:szCs w:val="16"/>
                <w:color w:val="auto"/>
              </w:rPr>
            </w:pPr>
          </w:p>
        </w:tc>
        <w:tc>
          <w:tcPr>
            <w:tcW w:w="176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2023</w:t>
            </w:r>
          </w:p>
        </w:tc>
      </w:tr>
      <w:tr>
        <w:trPr>
          <w:trHeight w:val="197"/>
        </w:trPr>
        <w:tc>
          <w:tcPr>
            <w:tcW w:w="4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Customer A</w:t>
            </w:r>
          </w:p>
        </w:tc>
        <w:tc>
          <w:tcPr>
            <w:tcW w:w="1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15 %</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13 %</w:t>
            </w:r>
          </w:p>
        </w:tc>
        <w:tc>
          <w:tcPr>
            <w:tcW w:w="100" w:type="dxa"/>
            <w:vAlign w:val="bottom"/>
            <w:shd w:val="clear" w:color="auto" w:fill="CCEEFF"/>
          </w:tcPr>
          <w:p>
            <w:pPr>
              <w:spacing w:after="0"/>
              <w:rPr>
                <w:sz w:val="17"/>
                <w:szCs w:val="17"/>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15 %</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 Customer accounted for less than 10% of total revenue during the period.</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6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measures equity classified stock-based awards, including stock options and RSUs granted to employees, directors, and non-employees based on the estimated fair values of the awards on the date of the grant. Stock-based compensation expense for awards with service-based vesting only is recognized on a straight-line basis over the requisite service period which is generally the vesting period of such awards, as a component of operating expenses within the consolidated statements of operations. For awards that include performance conditions stock-based compensation expense is recognized on a graded vesting basis over the requisite service period. Compensation expense is not recognized until the performance condition becomes probable. The Company accounts for forfeitures related to these awards as they occur.</w:t>
      </w:r>
    </w:p>
    <w:p>
      <w:pPr>
        <w:spacing w:after="0" w:line="12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fair value of each stock option grant is estimated on the date of grant using the Black-Scholes option-pricing model. This valuation model for stock-based compensation expense requires the Company to make assumptions and judgments about the variables used in the calculation including the expected term, the volatility of the Company’s common stock, and an assumed risk-free interest rate.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0" w:name="page11"/>
    <w:bookmarkEnd w:id="10"/>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RSUs granted is measured as the fair value per share of the Company’s common stock on the date of grant.</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adopted the 2021 Employee Stock Purchase Plan (the 2021 ESPP) effective on October 26, 2021. The first offering under the 2021 ESPP began on May 22, 2024. Eligible employees are entitled to purchase common stock at the end of six-month offering periods, by means of limited payroll deductions, at a 15% discount from the fair market value of the common stock as of specific dates.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shares of common stock to be issued under the 2021 ESPP is estimated using the Black-Scholes option pricing model.</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Stock-based compensation expense for ESPP awards is recognized on a straight-line basis over the term of each ESPP offering period.</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16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There have been no significant changes to the Company’s significant accounting policies during the nine months ended September 30, 2024 from those disclosed in the annual consolidated financial statements for the year ended December 31, 2023.</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Pronouncements</w:t>
      </w:r>
    </w:p>
    <w:p>
      <w:pPr>
        <w:spacing w:after="0" w:line="16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December 2023, the FASB issued ASU 2023-09, </w:t>
      </w:r>
      <w:r>
        <w:rPr>
          <w:rFonts w:ascii="Arial" w:cs="Arial" w:eastAsia="Arial" w:hAnsi="Arial"/>
          <w:sz w:val="18"/>
          <w:szCs w:val="18"/>
          <w:i w:val="1"/>
          <w:iCs w:val="1"/>
          <w:color w:val="auto"/>
        </w:rPr>
        <w:t>Improvements to Income Tax Disclosures</w:t>
      </w:r>
      <w:r>
        <w:rPr>
          <w:rFonts w:ascii="Arial" w:cs="Arial" w:eastAsia="Arial" w:hAnsi="Arial"/>
          <w:sz w:val="18"/>
          <w:szCs w:val="18"/>
          <w:color w:val="auto"/>
        </w:rPr>
        <w:t>, which amends the guidance in ASC 740, Income Taxes. This ASU is intended to improve the transparency of income tax disclosures by requiring (1) consistent categories and greater disaggregation of information in the rate reconciliation and (2) income taxes paid disaggregated by jurisdiction. It also includes certain other amendments to improve the effectiveness of income tax disclosures. This ASU is effective for fiscal years beginning after December 15, 2024. The Company does not expect the adoption of ASU 2023-09 to have a significant impact on its consolidated financial statements and will adopt the standard effective January 1, 2025.</w:t>
      </w:r>
    </w:p>
    <w:p>
      <w:pPr>
        <w:spacing w:after="0" w:line="12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November 2023, the FASB issued ASU No. 2023-07, </w:t>
      </w:r>
      <w:r>
        <w:rPr>
          <w:rFonts w:ascii="Arial" w:cs="Arial" w:eastAsia="Arial" w:hAnsi="Arial"/>
          <w:sz w:val="18"/>
          <w:szCs w:val="18"/>
          <w:i w:val="1"/>
          <w:iCs w:val="1"/>
          <w:color w:val="auto"/>
        </w:rPr>
        <w:t>Segment Reporting (Topic 280): Improvements to Reportable Segment Disclosures</w:t>
      </w:r>
      <w:r>
        <w:rPr>
          <w:rFonts w:ascii="Arial" w:cs="Arial" w:eastAsia="Arial" w:hAnsi="Arial"/>
          <w:sz w:val="18"/>
          <w:szCs w:val="18"/>
          <w:color w:val="auto"/>
        </w:rPr>
        <w:t>, which requires disclosure of incremental segment information on an annual and interim basis. This ASU is effective for fiscal years beginning after December 15, 2023, and interim periods within fiscal years beginning after December 15, 2024, and requires retrospective application to all prior periods presented in the financial statements. The Company plans to adopt ASU 2023-07 effective for the Annual Report on Form 10-K for the year ending December 31, 2024 and subsequent interim periods. The adoption of ASU 2023-07 is not expected to have a significant impact on the Company’s consolidated financial statements.</w:t>
      </w:r>
    </w:p>
    <w:p>
      <w:pPr>
        <w:spacing w:after="0" w:line="182" w:lineRule="exact"/>
        <w:rPr>
          <w:sz w:val="20"/>
          <w:szCs w:val="20"/>
          <w:color w:val="auto"/>
        </w:rPr>
      </w:pPr>
    </w:p>
    <w:p>
      <w:pPr>
        <w:ind w:left="360" w:hanging="352"/>
        <w:spacing w:after="0"/>
        <w:tabs>
          <w:tab w:leader="none" w:pos="3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REVENUE</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Disaggregated Revenue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revenue by product and services groups (in thousands):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60" w:type="dxa"/>
            <w:vAlign w:val="bottom"/>
            <w:gridSpan w:val="3"/>
          </w:tcPr>
          <w:p>
            <w:pPr>
              <w:jc w:val="right"/>
              <w:ind w:right="368"/>
              <w:spacing w:after="0"/>
              <w:rPr>
                <w:sz w:val="20"/>
                <w:szCs w:val="20"/>
                <w:color w:val="auto"/>
              </w:rPr>
            </w:pPr>
            <w:r>
              <w:rPr>
                <w:rFonts w:ascii="Arial" w:cs="Arial" w:eastAsia="Arial" w:hAnsi="Arial"/>
                <w:sz w:val="14"/>
                <w:szCs w:val="14"/>
                <w:b w:val="1"/>
                <w:bCs w:val="1"/>
                <w:color w:val="auto"/>
              </w:rPr>
              <w:t>Three Months Ended</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2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1040" w:type="dxa"/>
            <w:vAlign w:val="bottom"/>
          </w:tcPr>
          <w:p>
            <w:pPr>
              <w:spacing w:after="0"/>
              <w:rPr>
                <w:sz w:val="14"/>
                <w:szCs w:val="14"/>
                <w:color w:val="auto"/>
              </w:rPr>
            </w:pPr>
          </w:p>
        </w:tc>
      </w:tr>
      <w:tr>
        <w:trPr>
          <w:trHeight w:val="185"/>
        </w:trPr>
        <w:tc>
          <w:tcPr>
            <w:tcW w:w="418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ind w:right="588"/>
              <w:spacing w:after="0"/>
              <w:rPr>
                <w:sz w:val="20"/>
                <w:szCs w:val="20"/>
                <w:color w:val="auto"/>
              </w:rPr>
            </w:pPr>
            <w:r>
              <w:rPr>
                <w:rFonts w:ascii="Arial" w:cs="Arial" w:eastAsia="Arial" w:hAnsi="Arial"/>
                <w:sz w:val="14"/>
                <w:szCs w:val="14"/>
                <w:b w:val="1"/>
                <w:bCs w:val="1"/>
                <w:color w:val="auto"/>
              </w:rPr>
              <w:t>September 30,</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148"/>
              <w:spacing w:after="0"/>
              <w:rPr>
                <w:sz w:val="20"/>
                <w:szCs w:val="20"/>
                <w:color w:val="auto"/>
              </w:rPr>
            </w:pPr>
            <w:r>
              <w:rPr>
                <w:rFonts w:ascii="Arial" w:cs="Arial" w:eastAsia="Arial" w:hAnsi="Arial"/>
                <w:sz w:val="14"/>
                <w:szCs w:val="14"/>
                <w:b w:val="1"/>
                <w:bCs w:val="1"/>
                <w:color w:val="auto"/>
              </w:rPr>
              <w:t>September 30,</w:t>
            </w:r>
          </w:p>
        </w:tc>
        <w:tc>
          <w:tcPr>
            <w:tcW w:w="1040" w:type="dxa"/>
            <w:vAlign w:val="bottom"/>
            <w:tcBorders>
              <w:bottom w:val="single" w:sz="8" w:color="auto"/>
            </w:tcBorders>
          </w:tcPr>
          <w:p>
            <w:pPr>
              <w:spacing w:after="0"/>
              <w:rPr>
                <w:sz w:val="16"/>
                <w:szCs w:val="16"/>
                <w:color w:val="auto"/>
              </w:rPr>
            </w:pPr>
          </w:p>
        </w:tc>
      </w:tr>
      <w:tr>
        <w:trPr>
          <w:trHeight w:val="195"/>
        </w:trPr>
        <w:tc>
          <w:tcPr>
            <w:tcW w:w="418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2023</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2023</w:t>
            </w:r>
          </w:p>
        </w:tc>
      </w:tr>
      <w:tr>
        <w:trPr>
          <w:trHeight w:val="197"/>
        </w:trPr>
        <w:tc>
          <w:tcPr>
            <w:tcW w:w="4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Licensing, support and maintenance</w:t>
            </w:r>
          </w:p>
        </w:tc>
        <w:tc>
          <w:tcPr>
            <w:tcW w:w="1020" w:type="dxa"/>
            <w:vAlign w:val="bottom"/>
            <w:shd w:val="clear" w:color="auto" w:fill="CCEEFF"/>
          </w:tcPr>
          <w:p>
            <w:pPr>
              <w:jc w:val="right"/>
              <w:ind w:right="84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13,507</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928"/>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12,084</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86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38,799</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48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36,926</w:t>
            </w:r>
          </w:p>
        </w:tc>
      </w:tr>
      <w:tr>
        <w:trPr>
          <w:trHeight w:val="199"/>
        </w:trPr>
        <w:tc>
          <w:tcPr>
            <w:tcW w:w="4180" w:type="dxa"/>
            <w:vAlign w:val="bottom"/>
          </w:tcPr>
          <w:p>
            <w:pPr>
              <w:ind w:left="20"/>
              <w:spacing w:after="0"/>
              <w:rPr>
                <w:sz w:val="20"/>
                <w:szCs w:val="20"/>
                <w:color w:val="auto"/>
              </w:rPr>
            </w:pPr>
            <w:r>
              <w:rPr>
                <w:rFonts w:ascii="Arial" w:cs="Arial" w:eastAsia="Arial" w:hAnsi="Arial"/>
                <w:sz w:val="14"/>
                <w:szCs w:val="14"/>
                <w:color w:val="auto"/>
              </w:rPr>
              <w:t>Variable royalties</w:t>
            </w:r>
          </w:p>
        </w:tc>
        <w:tc>
          <w:tcPr>
            <w:tcW w:w="10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1,176</w:t>
            </w: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1,068</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2,965</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4,058</w:t>
            </w:r>
          </w:p>
        </w:tc>
      </w:tr>
      <w:tr>
        <w:trPr>
          <w:trHeight w:val="206"/>
        </w:trPr>
        <w:tc>
          <w:tcPr>
            <w:tcW w:w="4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10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122</w:t>
            </w:r>
          </w:p>
        </w:tc>
        <w:tc>
          <w:tcPr>
            <w:tcW w:w="100" w:type="dxa"/>
            <w:vAlign w:val="bottom"/>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471</w:t>
            </w:r>
          </w:p>
        </w:tc>
        <w:tc>
          <w:tcPr>
            <w:tcW w:w="10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178</w:t>
            </w:r>
          </w:p>
        </w:tc>
      </w:tr>
      <w:tr>
        <w:trPr>
          <w:trHeight w:val="192"/>
        </w:trPr>
        <w:tc>
          <w:tcPr>
            <w:tcW w:w="4180" w:type="dxa"/>
            <w:vAlign w:val="bottom"/>
          </w:tcPr>
          <w:p>
            <w:pPr>
              <w:ind w:left="20"/>
              <w:spacing w:after="0"/>
              <w:rPr>
                <w:sz w:val="20"/>
                <w:szCs w:val="20"/>
                <w:color w:val="auto"/>
              </w:rPr>
            </w:pPr>
            <w:r>
              <w:rPr>
                <w:rFonts w:ascii="Arial" w:cs="Arial" w:eastAsia="Arial" w:hAnsi="Arial"/>
                <w:sz w:val="14"/>
                <w:szCs w:val="14"/>
                <w:color w:val="auto"/>
              </w:rPr>
              <w:t>Total</w:t>
            </w:r>
          </w:p>
        </w:tc>
        <w:tc>
          <w:tcPr>
            <w:tcW w:w="1020" w:type="dxa"/>
            <w:vAlign w:val="bottom"/>
            <w:tcBorders>
              <w:bottom w:val="single" w:sz="8" w:color="auto"/>
            </w:tcBorders>
          </w:tcPr>
          <w:p>
            <w:pPr>
              <w:jc w:val="right"/>
              <w:ind w:right="84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14,713</w:t>
            </w:r>
          </w:p>
        </w:tc>
        <w:tc>
          <w:tcPr>
            <w:tcW w:w="100" w:type="dxa"/>
            <w:vAlign w:val="bottom"/>
          </w:tcPr>
          <w:p>
            <w:pPr>
              <w:spacing w:after="0"/>
              <w:rPr>
                <w:sz w:val="16"/>
                <w:szCs w:val="16"/>
                <w:color w:val="auto"/>
              </w:rPr>
            </w:pPr>
          </w:p>
        </w:tc>
        <w:tc>
          <w:tcPr>
            <w:tcW w:w="1100" w:type="dxa"/>
            <w:vAlign w:val="bottom"/>
            <w:tcBorders>
              <w:bottom w:val="single" w:sz="8" w:color="auto"/>
            </w:tcBorders>
          </w:tcPr>
          <w:p>
            <w:pPr>
              <w:jc w:val="right"/>
              <w:ind w:right="92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13,274</w:t>
            </w:r>
          </w:p>
        </w:tc>
        <w:tc>
          <w:tcPr>
            <w:tcW w:w="100" w:type="dxa"/>
            <w:vAlign w:val="bottom"/>
          </w:tcPr>
          <w:p>
            <w:pPr>
              <w:spacing w:after="0"/>
              <w:rPr>
                <w:sz w:val="16"/>
                <w:szCs w:val="16"/>
                <w:color w:val="auto"/>
              </w:rPr>
            </w:pPr>
          </w:p>
        </w:tc>
        <w:tc>
          <w:tcPr>
            <w:tcW w:w="1040" w:type="dxa"/>
            <w:vAlign w:val="bottom"/>
            <w:tcBorders>
              <w:bottom w:val="single" w:sz="8" w:color="auto"/>
            </w:tcBorders>
          </w:tcPr>
          <w:p>
            <w:pPr>
              <w:jc w:val="right"/>
              <w:ind w:right="86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42,235</w:t>
            </w:r>
          </w:p>
        </w:tc>
        <w:tc>
          <w:tcPr>
            <w:tcW w:w="100" w:type="dxa"/>
            <w:vAlign w:val="bottom"/>
          </w:tcPr>
          <w:p>
            <w:pPr>
              <w:spacing w:after="0"/>
              <w:rPr>
                <w:sz w:val="16"/>
                <w:szCs w:val="16"/>
                <w:color w:val="auto"/>
              </w:rPr>
            </w:pPr>
          </w:p>
        </w:tc>
        <w:tc>
          <w:tcPr>
            <w:tcW w:w="6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41,162</w:t>
            </w:r>
          </w:p>
        </w:tc>
      </w:tr>
      <w:tr>
        <w:trPr>
          <w:trHeight w:val="25"/>
        </w:trPr>
        <w:tc>
          <w:tcPr>
            <w:tcW w:w="41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11" w:name="page12"/>
    <w:bookmarkEnd w:id="11"/>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about accounts receivable, net, contract assets and deferred revenue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7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As of</w:t>
            </w:r>
          </w:p>
        </w:tc>
        <w:tc>
          <w:tcPr>
            <w:tcW w:w="1440" w:type="dxa"/>
            <w:vAlign w:val="bottom"/>
            <w:tcBorders>
              <w:bottom w:val="single" w:sz="8" w:color="auto"/>
            </w:tcBorders>
          </w:tcPr>
          <w:p>
            <w:pPr>
              <w:spacing w:after="0"/>
              <w:rPr>
                <w:sz w:val="17"/>
                <w:szCs w:val="17"/>
                <w:color w:val="auto"/>
              </w:rPr>
            </w:pPr>
          </w:p>
        </w:tc>
      </w:tr>
      <w:tr>
        <w:trPr>
          <w:trHeight w:val="147"/>
        </w:trPr>
        <w:tc>
          <w:tcPr>
            <w:tcW w:w="7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60" w:type="dxa"/>
            <w:vAlign w:val="bottom"/>
            <w:gridSpan w:val="2"/>
          </w:tcPr>
          <w:p>
            <w:pPr>
              <w:ind w:left="120"/>
              <w:spacing w:after="0" w:line="147" w:lineRule="exact"/>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2"/>
                <w:szCs w:val="12"/>
                <w:color w:val="auto"/>
              </w:rPr>
            </w:pPr>
          </w:p>
        </w:tc>
        <w:tc>
          <w:tcPr>
            <w:tcW w:w="1440" w:type="dxa"/>
            <w:vAlign w:val="bottom"/>
          </w:tcPr>
          <w:p>
            <w:pPr>
              <w:jc w:val="right"/>
              <w:ind w:right="308"/>
              <w:spacing w:after="0" w:line="147" w:lineRule="exact"/>
              <w:rPr>
                <w:sz w:val="20"/>
                <w:szCs w:val="20"/>
                <w:color w:val="auto"/>
              </w:rPr>
            </w:pPr>
            <w:r>
              <w:rPr>
                <w:rFonts w:ascii="Arial" w:cs="Arial" w:eastAsia="Arial" w:hAnsi="Arial"/>
                <w:sz w:val="14"/>
                <w:szCs w:val="14"/>
                <w:b w:val="1"/>
                <w:bCs w:val="1"/>
                <w:color w:val="auto"/>
              </w:rPr>
              <w:t>December 31,</w:t>
            </w:r>
          </w:p>
        </w:tc>
      </w:tr>
      <w:tr>
        <w:trPr>
          <w:trHeight w:val="185"/>
        </w:trPr>
        <w:tc>
          <w:tcPr>
            <w:tcW w:w="77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2023</w:t>
            </w:r>
          </w:p>
        </w:tc>
      </w:tr>
      <w:tr>
        <w:trPr>
          <w:trHeight w:val="196"/>
        </w:trPr>
        <w:tc>
          <w:tcPr>
            <w:tcW w:w="7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Accounts receivable, net</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8,715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12,003</w:t>
            </w:r>
          </w:p>
        </w:tc>
      </w:tr>
      <w:tr>
        <w:trPr>
          <w:trHeight w:val="198"/>
        </w:trPr>
        <w:tc>
          <w:tcPr>
            <w:tcW w:w="7740" w:type="dxa"/>
            <w:vAlign w:val="bottom"/>
          </w:tcPr>
          <w:p>
            <w:pPr>
              <w:ind w:left="20"/>
              <w:spacing w:after="0"/>
              <w:rPr>
                <w:sz w:val="20"/>
                <w:szCs w:val="20"/>
                <w:color w:val="auto"/>
              </w:rPr>
            </w:pPr>
            <w:r>
              <w:rPr>
                <w:rFonts w:ascii="Arial" w:cs="Arial" w:eastAsia="Arial" w:hAnsi="Arial"/>
                <w:sz w:val="14"/>
                <w:szCs w:val="14"/>
                <w:color w:val="auto"/>
              </w:rPr>
              <w:t>Contract assets, current portion</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187</w:t>
            </w:r>
          </w:p>
        </w:tc>
        <w:tc>
          <w:tcPr>
            <w:tcW w:w="100" w:type="dxa"/>
            <w:vAlign w:val="bottom"/>
          </w:tcPr>
          <w:p>
            <w:pPr>
              <w:spacing w:after="0"/>
              <w:rPr>
                <w:sz w:val="17"/>
                <w:szCs w:val="17"/>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312</w:t>
            </w:r>
          </w:p>
        </w:tc>
      </w:tr>
      <w:tr>
        <w:trPr>
          <w:trHeight w:val="207"/>
        </w:trPr>
        <w:tc>
          <w:tcPr>
            <w:tcW w:w="7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Contract assets, noncurrent portion</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566</w:t>
            </w:r>
          </w:p>
        </w:tc>
      </w:tr>
      <w:tr>
        <w:trPr>
          <w:trHeight w:val="194"/>
        </w:trPr>
        <w:tc>
          <w:tcPr>
            <w:tcW w:w="7740" w:type="dxa"/>
            <w:vAlign w:val="bottom"/>
          </w:tcPr>
          <w:p>
            <w:pPr>
              <w:ind w:left="20"/>
              <w:spacing w:after="0"/>
              <w:rPr>
                <w:sz w:val="20"/>
                <w:szCs w:val="20"/>
                <w:color w:val="auto"/>
              </w:rPr>
            </w:pPr>
            <w:r>
              <w:rPr>
                <w:rFonts w:ascii="Arial" w:cs="Arial" w:eastAsia="Arial" w:hAnsi="Arial"/>
                <w:sz w:val="14"/>
                <w:szCs w:val="14"/>
                <w:color w:val="auto"/>
              </w:rPr>
              <w:t>Deferred revenue</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65,502</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56,709</w:t>
            </w:r>
          </w:p>
        </w:tc>
      </w:tr>
    </w:tbl>
    <w:p>
      <w:pPr>
        <w:spacing w:after="0" w:line="24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 recognized revenue of $12.3 million and $10.7 million for the three months ended September 30, 2024 and 2023, respectively, and $28.9 million and $ 23.7 million for the nine months ended September 30, 2024 and 2023, respectively, that was included in the deferred revenue balance at the beginning of the respective periods. Contract assets, current, and contract assets, noncurrent are included in prepaid expenses and other current assets and other assets, respectively, on the unaudited condensed consolidated balance sheets.</w:t>
      </w:r>
    </w:p>
    <w:p>
      <w:pPr>
        <w:spacing w:after="0" w:line="12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September 30, 2024, non-cancelable contracted but unsatisfied or partially satisfied performance obligations that have not yet been recognized is $76.6 million which includes deferred revenue, amounts that will be invoiced and recognized as revenues in future periods and Flexible Spending Accounts (FSA) commitments, from customers where actual product selection and quantities of specific products are to be determined by customers at a future period. The Company expects to recognize $42.5 million of this balance over the next 12 months and the remainder thereafter. FSA commitments amounted to $3.2 million and $ 6.2 million as of September 30, 2024 and December 31, 2023, respectively. The Company has elected to exclude the potential future royalty receipts from these amounts.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of Obtaining a Contract with a Customer</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Incremental costs of obtaining a contract with a customer consist primarily of direct sales commissions incurred upon execution of the contract. These costs are required to be capitalized under ASC 340-40, </w:t>
      </w:r>
      <w:r>
        <w:rPr>
          <w:rFonts w:ascii="Arial" w:cs="Arial" w:eastAsia="Arial" w:hAnsi="Arial"/>
          <w:sz w:val="18"/>
          <w:szCs w:val="18"/>
          <w:i w:val="1"/>
          <w:iCs w:val="1"/>
          <w:color w:val="auto"/>
        </w:rPr>
        <w:t>Other Assets and Deferred Costs—Contracts With Customers</w:t>
      </w:r>
      <w:r>
        <w:rPr>
          <w:rFonts w:ascii="Arial" w:cs="Arial" w:eastAsia="Arial" w:hAnsi="Arial"/>
          <w:sz w:val="18"/>
          <w:szCs w:val="18"/>
          <w:color w:val="auto"/>
        </w:rPr>
        <w:t>, and amortized over the license term. As direct sales commissions paid for term extensions are commensurate with the amounts paid for initial contracts, the deferred incremental costs for initial contracts and for term extensions are recognized over the respective contract terms. Total capitalized direct commission costs were as follows (in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7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As of</w:t>
            </w:r>
          </w:p>
        </w:tc>
        <w:tc>
          <w:tcPr>
            <w:tcW w:w="1440" w:type="dxa"/>
            <w:vAlign w:val="bottom"/>
            <w:tcBorders>
              <w:bottom w:val="single" w:sz="8" w:color="auto"/>
            </w:tcBorders>
          </w:tcPr>
          <w:p>
            <w:pPr>
              <w:spacing w:after="0"/>
              <w:rPr>
                <w:sz w:val="17"/>
                <w:szCs w:val="17"/>
                <w:color w:val="auto"/>
              </w:rPr>
            </w:pPr>
          </w:p>
        </w:tc>
      </w:tr>
      <w:tr>
        <w:trPr>
          <w:trHeight w:val="143"/>
        </w:trPr>
        <w:tc>
          <w:tcPr>
            <w:tcW w:w="7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60" w:type="dxa"/>
            <w:vAlign w:val="bottom"/>
            <w:gridSpan w:val="2"/>
          </w:tcPr>
          <w:p>
            <w:pPr>
              <w:ind w:left="120"/>
              <w:spacing w:after="0" w:line="143" w:lineRule="exact"/>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2"/>
                <w:szCs w:val="12"/>
                <w:color w:val="auto"/>
              </w:rPr>
            </w:pPr>
          </w:p>
        </w:tc>
        <w:tc>
          <w:tcPr>
            <w:tcW w:w="1440" w:type="dxa"/>
            <w:vAlign w:val="bottom"/>
          </w:tcPr>
          <w:p>
            <w:pPr>
              <w:jc w:val="right"/>
              <w:ind w:right="308"/>
              <w:spacing w:after="0" w:line="143" w:lineRule="exact"/>
              <w:rPr>
                <w:sz w:val="20"/>
                <w:szCs w:val="20"/>
                <w:color w:val="auto"/>
              </w:rPr>
            </w:pPr>
            <w:r>
              <w:rPr>
                <w:rFonts w:ascii="Arial" w:cs="Arial" w:eastAsia="Arial" w:hAnsi="Arial"/>
                <w:sz w:val="14"/>
                <w:szCs w:val="14"/>
                <w:b w:val="1"/>
                <w:bCs w:val="1"/>
                <w:color w:val="auto"/>
              </w:rPr>
              <w:t>December 31,</w:t>
            </w:r>
          </w:p>
        </w:tc>
      </w:tr>
      <w:tr>
        <w:trPr>
          <w:trHeight w:val="189"/>
        </w:trPr>
        <w:tc>
          <w:tcPr>
            <w:tcW w:w="77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2023</w:t>
            </w:r>
          </w:p>
        </w:tc>
      </w:tr>
      <w:tr>
        <w:trPr>
          <w:trHeight w:val="196"/>
        </w:trPr>
        <w:tc>
          <w:tcPr>
            <w:tcW w:w="7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Short-term commission capitalized in prepaid expenses and other current assets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2,136</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2,408</w:t>
            </w:r>
          </w:p>
        </w:tc>
      </w:tr>
      <w:tr>
        <w:trPr>
          <w:trHeight w:val="198"/>
        </w:trPr>
        <w:tc>
          <w:tcPr>
            <w:tcW w:w="77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Long-term commission capitalized in other assets</w:t>
            </w:r>
          </w:p>
        </w:tc>
        <w:tc>
          <w:tcPr>
            <w:tcW w:w="2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1,450</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1,353</w:t>
            </w:r>
          </w:p>
        </w:tc>
      </w:tr>
      <w:tr>
        <w:trPr>
          <w:trHeight w:val="221"/>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3,586</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3,761</w:t>
            </w: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Amortization of capitalized sales commissions was $0.8 million and $0.9 million for the three months ended September 30, 2024 and 2023, respectively, and $2.6 million and $ 2.8 million for the nine months ended September 30, 2024 and 2023, respectively, and are included in sales and marketing expense in the unaudited condensed consolidated statements of operations.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12" w:name="page13"/>
    <w:bookmarkEnd w:id="12"/>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360" w:hanging="352"/>
        <w:spacing w:after="0"/>
        <w:tabs>
          <w:tab w:leader="none" w:pos="3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w:t>
      </w:r>
    </w:p>
    <w:p>
      <w:pPr>
        <w:spacing w:after="0" w:line="171"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following table presents the calculation of basic and diluted net loss per share attributable to common stockholders (in thousands, except share and per share data):</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6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1040" w:type="dxa"/>
            <w:vAlign w:val="bottom"/>
          </w:tcPr>
          <w:p>
            <w:pPr>
              <w:spacing w:after="0"/>
              <w:rPr>
                <w:sz w:val="14"/>
                <w:szCs w:val="14"/>
                <w:color w:val="auto"/>
              </w:rPr>
            </w:pPr>
          </w:p>
        </w:tc>
      </w:tr>
      <w:tr>
        <w:trPr>
          <w:trHeight w:val="185"/>
        </w:trPr>
        <w:tc>
          <w:tcPr>
            <w:tcW w:w="41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right"/>
              <w:ind w:right="168"/>
              <w:spacing w:after="0"/>
              <w:rPr>
                <w:sz w:val="20"/>
                <w:szCs w:val="20"/>
                <w:color w:val="auto"/>
              </w:rPr>
            </w:pPr>
            <w:r>
              <w:rPr>
                <w:rFonts w:ascii="Arial" w:cs="Arial" w:eastAsia="Arial" w:hAnsi="Arial"/>
                <w:sz w:val="14"/>
                <w:szCs w:val="14"/>
                <w:b w:val="1"/>
                <w:bCs w:val="1"/>
                <w:color w:val="auto"/>
              </w:rPr>
              <w:t>September 30,</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right"/>
              <w:ind w:right="148"/>
              <w:spacing w:after="0"/>
              <w:rPr>
                <w:sz w:val="20"/>
                <w:szCs w:val="20"/>
                <w:color w:val="auto"/>
              </w:rPr>
            </w:pPr>
            <w:r>
              <w:rPr>
                <w:rFonts w:ascii="Arial" w:cs="Arial" w:eastAsia="Arial" w:hAnsi="Arial"/>
                <w:sz w:val="14"/>
                <w:szCs w:val="14"/>
                <w:b w:val="1"/>
                <w:bCs w:val="1"/>
                <w:color w:val="auto"/>
              </w:rPr>
              <w:t>September 30,</w:t>
            </w:r>
          </w:p>
        </w:tc>
        <w:tc>
          <w:tcPr>
            <w:tcW w:w="1040" w:type="dxa"/>
            <w:vAlign w:val="bottom"/>
            <w:tcBorders>
              <w:bottom w:val="single" w:sz="8" w:color="auto"/>
            </w:tcBorders>
          </w:tcPr>
          <w:p>
            <w:pPr>
              <w:spacing w:after="0"/>
              <w:rPr>
                <w:sz w:val="16"/>
                <w:szCs w:val="16"/>
                <w:color w:val="auto"/>
              </w:rPr>
            </w:pPr>
          </w:p>
        </w:tc>
      </w:tr>
      <w:tr>
        <w:trPr>
          <w:trHeight w:val="195"/>
        </w:trPr>
        <w:tc>
          <w:tcPr>
            <w:tcW w:w="41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w w:val="96"/>
              </w:rPr>
              <w:t>2023</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2023</w:t>
            </w:r>
          </w:p>
        </w:tc>
      </w:tr>
      <w:tr>
        <w:trPr>
          <w:trHeight w:val="184"/>
        </w:trPr>
        <w:tc>
          <w:tcPr>
            <w:tcW w:w="4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Numerator:</w:t>
            </w: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198"/>
        </w:trPr>
        <w:tc>
          <w:tcPr>
            <w:tcW w:w="4180" w:type="dxa"/>
            <w:vAlign w:val="bottom"/>
          </w:tcPr>
          <w:p>
            <w:pPr>
              <w:ind w:left="180"/>
              <w:spacing w:after="0"/>
              <w:rPr>
                <w:sz w:val="20"/>
                <w:szCs w:val="20"/>
                <w:color w:val="auto"/>
              </w:rPr>
            </w:pPr>
            <w:r>
              <w:rPr>
                <w:rFonts w:ascii="Arial" w:cs="Arial" w:eastAsia="Arial" w:hAnsi="Arial"/>
                <w:sz w:val="14"/>
                <w:szCs w:val="14"/>
                <w:color w:val="auto"/>
              </w:rPr>
              <w:t>Net loss</w:t>
            </w: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(7,687)</w:t>
            </w:r>
          </w:p>
        </w:tc>
        <w:tc>
          <w:tcPr>
            <w:tcW w:w="100" w:type="dxa"/>
            <w:vAlign w:val="bottom"/>
          </w:tcPr>
          <w:p>
            <w:pPr>
              <w:spacing w:after="0"/>
              <w:rPr>
                <w:sz w:val="17"/>
                <w:szCs w:val="17"/>
                <w:color w:val="auto"/>
              </w:rPr>
            </w:pPr>
          </w:p>
        </w:tc>
        <w:tc>
          <w:tcPr>
            <w:tcW w:w="680" w:type="dxa"/>
            <w:vAlign w:val="bottom"/>
          </w:tcPr>
          <w:p>
            <w:pPr>
              <w:jc w:val="right"/>
              <w:ind w:right="50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(8,153)</w:t>
            </w:r>
          </w:p>
        </w:tc>
        <w:tc>
          <w:tcPr>
            <w:tcW w:w="100" w:type="dxa"/>
            <w:vAlign w:val="bottom"/>
          </w:tcPr>
          <w:p>
            <w:pPr>
              <w:spacing w:after="0"/>
              <w:rPr>
                <w:sz w:val="17"/>
                <w:szCs w:val="17"/>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(25,434)</w:t>
            </w:r>
          </w:p>
        </w:tc>
        <w:tc>
          <w:tcPr>
            <w:tcW w:w="100" w:type="dxa"/>
            <w:vAlign w:val="bottom"/>
          </w:tcPr>
          <w:p>
            <w:pPr>
              <w:spacing w:after="0"/>
              <w:rPr>
                <w:sz w:val="17"/>
                <w:szCs w:val="17"/>
                <w:color w:val="auto"/>
              </w:rPr>
            </w:pPr>
          </w:p>
        </w:tc>
        <w:tc>
          <w:tcPr>
            <w:tcW w:w="660" w:type="dxa"/>
            <w:vAlign w:val="bottom"/>
          </w:tcPr>
          <w:p>
            <w:pPr>
              <w:jc w:val="right"/>
              <w:ind w:right="48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(26,328)</w:t>
            </w:r>
          </w:p>
        </w:tc>
      </w:tr>
      <w:tr>
        <w:trPr>
          <w:trHeight w:val="207"/>
        </w:trPr>
        <w:tc>
          <w:tcPr>
            <w:tcW w:w="4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Denominator:</w:t>
            </w: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198"/>
        </w:trPr>
        <w:tc>
          <w:tcPr>
            <w:tcW w:w="41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Weighted-average shares outstanding, basic and diluted</w:t>
            </w: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39,295,743</w:t>
            </w:r>
          </w:p>
        </w:tc>
        <w:tc>
          <w:tcPr>
            <w:tcW w:w="100" w:type="dxa"/>
            <w:vAlign w:val="bottom"/>
            <w:tcBorders>
              <w:bottom w:val="single" w:sz="8" w:color="CCEEFF"/>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36,010,106</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38,496,838</w:t>
            </w:r>
          </w:p>
        </w:tc>
        <w:tc>
          <w:tcPr>
            <w:tcW w:w="10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35,291,207</w:t>
            </w:r>
          </w:p>
        </w:tc>
      </w:tr>
      <w:tr>
        <w:trPr>
          <w:trHeight w:val="221"/>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 per share, basic and diluted</w:t>
            </w: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(0.20)</w:t>
            </w:r>
          </w:p>
        </w:tc>
        <w:tc>
          <w:tcPr>
            <w:tcW w:w="1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50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(0.23)</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(0.66)</w:t>
            </w:r>
          </w:p>
        </w:tc>
        <w:tc>
          <w:tcPr>
            <w:tcW w:w="1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48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(0.75)</w:t>
            </w: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Since the Company was in a loss position for all periods presented, the diluted earnings per share is equal to the basic earnings per share as the effect of potentially dilutive securities would have been antidilutive.</w:t>
      </w:r>
    </w:p>
    <w:p>
      <w:pPr>
        <w:spacing w:after="0" w:line="9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following table summarizes the potentially dilutive securities that were excluded from the calculation of diluted earnings per share because they would be anti-dilutive: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740" w:type="dxa"/>
            <w:vAlign w:val="bottom"/>
          </w:tcPr>
          <w:p>
            <w:pPr>
              <w:spacing w:after="0"/>
              <w:rPr>
                <w:sz w:val="17"/>
                <w:szCs w:val="17"/>
                <w:color w:val="auto"/>
              </w:rPr>
            </w:pPr>
          </w:p>
        </w:tc>
        <w:tc>
          <w:tcPr>
            <w:tcW w:w="1960" w:type="dxa"/>
            <w:vAlign w:val="bottom"/>
            <w:tcBorders>
              <w:bottom w:val="single" w:sz="8" w:color="auto"/>
            </w:tcBorders>
            <w:gridSpan w:val="3"/>
          </w:tcPr>
          <w:p>
            <w:pPr>
              <w:ind w:left="1580"/>
              <w:spacing w:after="0"/>
              <w:rPr>
                <w:sz w:val="20"/>
                <w:szCs w:val="20"/>
                <w:color w:val="auto"/>
              </w:rPr>
            </w:pPr>
            <w:r>
              <w:rPr>
                <w:rFonts w:ascii="Arial" w:cs="Arial" w:eastAsia="Arial" w:hAnsi="Arial"/>
                <w:sz w:val="14"/>
                <w:szCs w:val="14"/>
                <w:b w:val="1"/>
                <w:bCs w:val="1"/>
                <w:color w:val="auto"/>
              </w:rPr>
              <w:t>As of</w:t>
            </w:r>
          </w:p>
        </w:tc>
        <w:tc>
          <w:tcPr>
            <w:tcW w:w="1540" w:type="dxa"/>
            <w:vAlign w:val="bottom"/>
            <w:tcBorders>
              <w:bottom w:val="single" w:sz="8" w:color="auto"/>
            </w:tcBorders>
          </w:tcPr>
          <w:p>
            <w:pPr>
              <w:spacing w:after="0"/>
              <w:rPr>
                <w:sz w:val="17"/>
                <w:szCs w:val="17"/>
                <w:color w:val="auto"/>
              </w:rPr>
            </w:pPr>
          </w:p>
        </w:tc>
      </w:tr>
      <w:tr>
        <w:trPr>
          <w:trHeight w:val="196"/>
        </w:trPr>
        <w:tc>
          <w:tcPr>
            <w:tcW w:w="7740" w:type="dxa"/>
            <w:vAlign w:val="bottom"/>
          </w:tcPr>
          <w:p>
            <w:pPr>
              <w:spacing w:after="0"/>
              <w:rPr>
                <w:sz w:val="17"/>
                <w:szCs w:val="17"/>
                <w:color w:val="auto"/>
              </w:rPr>
            </w:pPr>
          </w:p>
        </w:tc>
        <w:tc>
          <w:tcPr>
            <w:tcW w:w="1960" w:type="dxa"/>
            <w:vAlign w:val="bottom"/>
            <w:gridSpan w:val="3"/>
          </w:tcPr>
          <w:p>
            <w:pPr>
              <w:ind w:left="180"/>
              <w:spacing w:after="0"/>
              <w:rPr>
                <w:sz w:val="20"/>
                <w:szCs w:val="20"/>
                <w:color w:val="auto"/>
              </w:rPr>
            </w:pPr>
            <w:r>
              <w:rPr>
                <w:rFonts w:ascii="Arial" w:cs="Arial" w:eastAsia="Arial" w:hAnsi="Arial"/>
                <w:sz w:val="14"/>
                <w:szCs w:val="14"/>
                <w:b w:val="1"/>
                <w:bCs w:val="1"/>
                <w:color w:val="auto"/>
              </w:rPr>
              <w:t>September 30, 2024</w:t>
            </w:r>
          </w:p>
        </w:tc>
        <w:tc>
          <w:tcPr>
            <w:tcW w:w="1540" w:type="dxa"/>
            <w:vAlign w:val="bottom"/>
          </w:tcPr>
          <w:p>
            <w:pPr>
              <w:jc w:val="right"/>
              <w:ind w:right="108"/>
              <w:spacing w:after="0"/>
              <w:rPr>
                <w:sz w:val="20"/>
                <w:szCs w:val="20"/>
                <w:color w:val="auto"/>
              </w:rPr>
            </w:pPr>
            <w:r>
              <w:rPr>
                <w:rFonts w:ascii="Arial" w:cs="Arial" w:eastAsia="Arial" w:hAnsi="Arial"/>
                <w:sz w:val="14"/>
                <w:szCs w:val="14"/>
                <w:b w:val="1"/>
                <w:bCs w:val="1"/>
                <w:color w:val="auto"/>
              </w:rPr>
              <w:t>September 30, 2023</w:t>
            </w:r>
          </w:p>
        </w:tc>
      </w:tr>
      <w:tr>
        <w:trPr>
          <w:trHeight w:val="197"/>
        </w:trPr>
        <w:tc>
          <w:tcPr>
            <w:tcW w:w="7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Stock options</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2,259,303</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2,997,359</w:t>
            </w:r>
          </w:p>
        </w:tc>
      </w:tr>
      <w:tr>
        <w:trPr>
          <w:trHeight w:val="198"/>
        </w:trPr>
        <w:tc>
          <w:tcPr>
            <w:tcW w:w="7740" w:type="dxa"/>
            <w:vAlign w:val="bottom"/>
          </w:tcPr>
          <w:p>
            <w:pPr>
              <w:ind w:left="20"/>
              <w:spacing w:after="0"/>
              <w:rPr>
                <w:sz w:val="20"/>
                <w:szCs w:val="20"/>
                <w:color w:val="auto"/>
              </w:rPr>
            </w:pPr>
            <w:r>
              <w:rPr>
                <w:rFonts w:ascii="Arial" w:cs="Arial" w:eastAsia="Arial" w:hAnsi="Arial"/>
                <w:sz w:val="14"/>
                <w:szCs w:val="14"/>
                <w:color w:val="auto"/>
              </w:rPr>
              <w:t>Restricted stock units</w:t>
            </w:r>
          </w:p>
        </w:tc>
        <w:tc>
          <w:tcPr>
            <w:tcW w:w="1700" w:type="dxa"/>
            <w:vAlign w:val="bottom"/>
          </w:tcPr>
          <w:p>
            <w:pPr>
              <w:jc w:val="right"/>
              <w:spacing w:after="0"/>
              <w:rPr>
                <w:sz w:val="20"/>
                <w:szCs w:val="20"/>
                <w:color w:val="auto"/>
              </w:rPr>
            </w:pPr>
            <w:r>
              <w:rPr>
                <w:rFonts w:ascii="Arial" w:cs="Arial" w:eastAsia="Arial" w:hAnsi="Arial"/>
                <w:sz w:val="14"/>
                <w:szCs w:val="14"/>
                <w:color w:val="auto"/>
              </w:rPr>
              <w:t>5,647,231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6,234,174</w:t>
            </w:r>
          </w:p>
        </w:tc>
      </w:tr>
      <w:tr>
        <w:trPr>
          <w:trHeight w:val="207"/>
        </w:trPr>
        <w:tc>
          <w:tcPr>
            <w:tcW w:w="7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common shares issued for business combination</w:t>
            </w: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234,859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331,574</w:t>
            </w:r>
          </w:p>
        </w:tc>
      </w:tr>
      <w:tr>
        <w:trPr>
          <w:trHeight w:val="198"/>
        </w:trPr>
        <w:tc>
          <w:tcPr>
            <w:tcW w:w="77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Shares committed under the 2021 ESPP</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81,545</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21"/>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8,222,938</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9,563,107</w:t>
            </w: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ind w:left="360" w:hanging="352"/>
        <w:spacing w:after="0"/>
        <w:tabs>
          <w:tab w:leader="none" w:pos="3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w:t>
      </w:r>
    </w:p>
    <w:p>
      <w:pPr>
        <w:spacing w:after="0" w:line="171"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The following tables summarize the fair value and amortized cost of the Company’s cash equivalents and available-for-sale securities by major security type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9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As of September 30, 2024</w:t>
            </w:r>
          </w:p>
        </w:tc>
        <w:tc>
          <w:tcPr>
            <w:tcW w:w="1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spacing w:after="0"/>
              <w:rPr>
                <w:sz w:val="17"/>
                <w:szCs w:val="17"/>
                <w:color w:val="auto"/>
              </w:rPr>
            </w:pPr>
          </w:p>
        </w:tc>
      </w:tr>
      <w:tr>
        <w:trPr>
          <w:trHeight w:val="196"/>
        </w:trPr>
        <w:tc>
          <w:tcPr>
            <w:tcW w:w="5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jc w:val="right"/>
              <w:ind w:right="228"/>
              <w:spacing w:after="0"/>
              <w:rPr>
                <w:sz w:val="20"/>
                <w:szCs w:val="20"/>
                <w:color w:val="auto"/>
              </w:rPr>
            </w:pPr>
            <w:r>
              <w:rPr>
                <w:rFonts w:ascii="Arial" w:cs="Arial" w:eastAsia="Arial" w:hAnsi="Arial"/>
                <w:sz w:val="14"/>
                <w:szCs w:val="14"/>
                <w:b w:val="1"/>
                <w:bCs w:val="1"/>
                <w:color w:val="auto"/>
              </w:rPr>
              <w:t>Amortized Cost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Unrealized Gains</w:t>
            </w:r>
          </w:p>
        </w:tc>
        <w:tc>
          <w:tcPr>
            <w:tcW w:w="120" w:type="dxa"/>
            <w:vAlign w:val="bottom"/>
          </w:tcPr>
          <w:p>
            <w:pPr>
              <w:spacing w:after="0"/>
              <w:rPr>
                <w:sz w:val="17"/>
                <w:szCs w:val="17"/>
                <w:color w:val="auto"/>
              </w:rPr>
            </w:pPr>
          </w:p>
        </w:tc>
        <w:tc>
          <w:tcPr>
            <w:tcW w:w="1580" w:type="dxa"/>
            <w:vAlign w:val="bottom"/>
          </w:tcPr>
          <w:p>
            <w:pPr>
              <w:jc w:val="right"/>
              <w:ind w:right="68"/>
              <w:spacing w:after="0"/>
              <w:rPr>
                <w:sz w:val="20"/>
                <w:szCs w:val="20"/>
                <w:color w:val="auto"/>
              </w:rPr>
            </w:pPr>
            <w:r>
              <w:rPr>
                <w:rFonts w:ascii="Arial" w:cs="Arial" w:eastAsia="Arial" w:hAnsi="Arial"/>
                <w:sz w:val="14"/>
                <w:szCs w:val="14"/>
                <w:b w:val="1"/>
                <w:bCs w:val="1"/>
                <w:color w:val="auto"/>
              </w:rPr>
              <w:t>Aggregate Fair Value</w:t>
            </w:r>
          </w:p>
        </w:tc>
      </w:tr>
      <w:tr>
        <w:trPr>
          <w:trHeight w:val="190"/>
        </w:trPr>
        <w:tc>
          <w:tcPr>
            <w:tcW w:w="5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220" w:type="dxa"/>
            <w:vAlign w:val="bottom"/>
            <w:tcBorders>
              <w:top w:val="single" w:sz="8" w:color="auto"/>
              <w:bottom w:val="single" w:sz="8" w:color="CCEEFF"/>
            </w:tcBorders>
            <w:shd w:val="clear" w:color="auto" w:fill="CCEEFF"/>
          </w:tcPr>
          <w:p>
            <w:pPr>
              <w:spacing w:after="0"/>
              <w:rPr>
                <w:sz w:val="16"/>
                <w:szCs w:val="16"/>
                <w:color w:val="auto"/>
              </w:rPr>
            </w:pPr>
          </w:p>
        </w:tc>
        <w:tc>
          <w:tcPr>
            <w:tcW w:w="148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CCEEFF"/>
            </w:tcBorders>
            <w:shd w:val="clear" w:color="auto" w:fill="CCEEFF"/>
          </w:tcPr>
          <w:p>
            <w:pPr>
              <w:spacing w:after="0"/>
              <w:rPr>
                <w:sz w:val="16"/>
                <w:szCs w:val="16"/>
                <w:color w:val="auto"/>
              </w:rPr>
            </w:pPr>
          </w:p>
        </w:tc>
        <w:tc>
          <w:tcPr>
            <w:tcW w:w="152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1580" w:type="dxa"/>
            <w:vAlign w:val="bottom"/>
            <w:tcBorders>
              <w:top w:val="single" w:sz="8" w:color="auto"/>
              <w:bottom w:val="single" w:sz="8" w:color="CCEEFF"/>
            </w:tcBorders>
            <w:shd w:val="clear" w:color="auto" w:fill="CCEEFF"/>
          </w:tcPr>
          <w:p>
            <w:pPr>
              <w:spacing w:after="0"/>
              <w:rPr>
                <w:sz w:val="16"/>
                <w:szCs w:val="16"/>
                <w:color w:val="auto"/>
              </w:rPr>
            </w:pPr>
          </w:p>
        </w:tc>
      </w:tr>
      <w:tr>
        <w:trPr>
          <w:trHeight w:val="225"/>
        </w:trPr>
        <w:tc>
          <w:tcPr>
            <w:tcW w:w="5940" w:type="dxa"/>
            <w:vAlign w:val="bottom"/>
          </w:tcPr>
          <w:p>
            <w:pPr>
              <w:ind w:left="20"/>
              <w:spacing w:after="0"/>
              <w:rPr>
                <w:sz w:val="20"/>
                <w:szCs w:val="20"/>
                <w:color w:val="auto"/>
              </w:rPr>
            </w:pPr>
            <w:r>
              <w:rPr>
                <w:rFonts w:ascii="Arial" w:cs="Arial" w:eastAsia="Arial" w:hAnsi="Arial"/>
                <w:sz w:val="14"/>
                <w:szCs w:val="14"/>
                <w:color w:val="auto"/>
              </w:rPr>
              <w:t>U.S. government agency securities</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80" w:type="dxa"/>
            <w:vAlign w:val="bottom"/>
          </w:tcPr>
          <w:p>
            <w:pPr>
              <w:jc w:val="right"/>
              <w:spacing w:after="0"/>
              <w:rPr>
                <w:sz w:val="20"/>
                <w:szCs w:val="20"/>
                <w:color w:val="auto"/>
              </w:rPr>
            </w:pPr>
            <w:r>
              <w:rPr>
                <w:rFonts w:ascii="Arial" w:cs="Arial" w:eastAsia="Arial" w:hAnsi="Arial"/>
                <w:sz w:val="14"/>
                <w:szCs w:val="14"/>
                <w:color w:val="auto"/>
              </w:rPr>
              <w:t>17,184</w:t>
            </w:r>
          </w:p>
        </w:tc>
        <w:tc>
          <w:tcPr>
            <w:tcW w:w="28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1520" w:type="dxa"/>
            <w:vAlign w:val="bottom"/>
          </w:tcPr>
          <w:p>
            <w:pPr>
              <w:jc w:val="right"/>
              <w:spacing w:after="0"/>
              <w:rPr>
                <w:sz w:val="20"/>
                <w:szCs w:val="20"/>
                <w:color w:val="auto"/>
              </w:rPr>
            </w:pPr>
            <w:r>
              <w:rPr>
                <w:rFonts w:ascii="Arial" w:cs="Arial" w:eastAsia="Arial" w:hAnsi="Arial"/>
                <w:sz w:val="14"/>
                <w:szCs w:val="14"/>
                <w:color w:val="auto"/>
              </w:rPr>
              <w:t>64</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580" w:type="dxa"/>
            <w:vAlign w:val="bottom"/>
          </w:tcPr>
          <w:p>
            <w:pPr>
              <w:jc w:val="right"/>
              <w:spacing w:after="0"/>
              <w:rPr>
                <w:sz w:val="20"/>
                <w:szCs w:val="20"/>
                <w:color w:val="auto"/>
              </w:rPr>
            </w:pPr>
            <w:r>
              <w:rPr>
                <w:rFonts w:ascii="Arial" w:cs="Arial" w:eastAsia="Arial" w:hAnsi="Arial"/>
                <w:sz w:val="14"/>
                <w:szCs w:val="14"/>
                <w:color w:val="auto"/>
              </w:rPr>
              <w:t>17,248</w:t>
            </w:r>
          </w:p>
        </w:tc>
      </w:tr>
      <w:tr>
        <w:trPr>
          <w:trHeight w:val="214"/>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U.S. treasury securities</w:t>
            </w:r>
          </w:p>
        </w:tc>
        <w:tc>
          <w:tcPr>
            <w:tcW w:w="22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11,159</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11,169</w:t>
            </w:r>
          </w:p>
        </w:tc>
      </w:tr>
      <w:tr>
        <w:trPr>
          <w:trHeight w:val="225"/>
        </w:trPr>
        <w:tc>
          <w:tcPr>
            <w:tcW w:w="5940" w:type="dxa"/>
            <w:vAlign w:val="bottom"/>
          </w:tcPr>
          <w:p>
            <w:pPr>
              <w:ind w:left="20"/>
              <w:spacing w:after="0"/>
              <w:rPr>
                <w:sz w:val="20"/>
                <w:szCs w:val="20"/>
                <w:color w:val="auto"/>
              </w:rPr>
            </w:pPr>
            <w:r>
              <w:rPr>
                <w:rFonts w:ascii="Arial" w:cs="Arial" w:eastAsia="Arial" w:hAnsi="Arial"/>
                <w:sz w:val="14"/>
                <w:szCs w:val="14"/>
                <w:color w:val="auto"/>
              </w:rPr>
              <w:t>Corporate bonds</w:t>
            </w: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8,257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8,275</w:t>
            </w:r>
          </w:p>
        </w:tc>
      </w:tr>
      <w:tr>
        <w:trPr>
          <w:trHeight w:val="233"/>
        </w:trPr>
        <w:tc>
          <w:tcPr>
            <w:tcW w:w="5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Money market funds</w:t>
            </w:r>
          </w:p>
        </w:tc>
        <w:tc>
          <w:tcPr>
            <w:tcW w:w="22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7,402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7,402</w:t>
            </w:r>
          </w:p>
        </w:tc>
      </w:tr>
      <w:tr>
        <w:trPr>
          <w:trHeight w:val="208"/>
        </w:trPr>
        <w:tc>
          <w:tcPr>
            <w:tcW w:w="5940" w:type="dxa"/>
            <w:vAlign w:val="bottom"/>
          </w:tcPr>
          <w:p>
            <w:pPr>
              <w:ind w:left="20"/>
              <w:spacing w:after="0"/>
              <w:rPr>
                <w:sz w:val="20"/>
                <w:szCs w:val="20"/>
                <w:color w:val="auto"/>
              </w:rPr>
            </w:pPr>
            <w:r>
              <w:rPr>
                <w:rFonts w:ascii="Arial" w:cs="Arial" w:eastAsia="Arial" w:hAnsi="Arial"/>
                <w:sz w:val="14"/>
                <w:szCs w:val="14"/>
                <w:color w:val="auto"/>
              </w:rPr>
              <w:t>Certificate of deposit</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5,000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5,000</w:t>
            </w:r>
          </w:p>
        </w:tc>
      </w:tr>
      <w:tr>
        <w:trPr>
          <w:trHeight w:val="22"/>
        </w:trPr>
        <w:tc>
          <w:tcPr>
            <w:tcW w:w="5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230"/>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Commercial paper</w:t>
            </w:r>
          </w:p>
        </w:tc>
        <w:tc>
          <w:tcPr>
            <w:tcW w:w="22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1,486</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1,486</w:t>
            </w:r>
          </w:p>
        </w:tc>
      </w:tr>
      <w:tr>
        <w:trPr>
          <w:trHeight w:val="196"/>
        </w:trPr>
        <w:tc>
          <w:tcPr>
            <w:tcW w:w="5940" w:type="dxa"/>
            <w:vAlign w:val="bottom"/>
          </w:tcPr>
          <w:p>
            <w:pPr>
              <w:ind w:left="140"/>
              <w:spacing w:after="0"/>
              <w:rPr>
                <w:sz w:val="20"/>
                <w:szCs w:val="20"/>
                <w:color w:val="auto"/>
              </w:rPr>
            </w:pPr>
            <w:r>
              <w:rPr>
                <w:rFonts w:ascii="Arial" w:cs="Arial" w:eastAsia="Arial" w:hAnsi="Arial"/>
                <w:sz w:val="14"/>
                <w:szCs w:val="14"/>
                <w:color w:val="auto"/>
              </w:rPr>
              <w:t>Total financial assets</w:t>
            </w: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50,488</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92</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50,580</w:t>
            </w:r>
          </w:p>
        </w:tc>
      </w:tr>
      <w:tr>
        <w:trPr>
          <w:trHeight w:val="20"/>
        </w:trPr>
        <w:tc>
          <w:tcPr>
            <w:tcW w:w="5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9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As of December 31, 2023</w:t>
            </w:r>
          </w:p>
        </w:tc>
        <w:tc>
          <w:tcPr>
            <w:tcW w:w="1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5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Amortized Cost</w:t>
            </w:r>
          </w:p>
        </w:tc>
        <w:tc>
          <w:tcPr>
            <w:tcW w:w="180" w:type="dxa"/>
            <w:vAlign w:val="bottom"/>
          </w:tcPr>
          <w:p>
            <w:pPr>
              <w:spacing w:after="0"/>
              <w:rPr>
                <w:sz w:val="12"/>
                <w:szCs w:val="12"/>
                <w:color w:val="auto"/>
              </w:rPr>
            </w:pPr>
          </w:p>
        </w:tc>
        <w:tc>
          <w:tcPr>
            <w:tcW w:w="162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rPr>
              <w:t>Unrealized Gains</w:t>
            </w:r>
          </w:p>
        </w:tc>
        <w:tc>
          <w:tcPr>
            <w:tcW w:w="120" w:type="dxa"/>
            <w:vAlign w:val="bottom"/>
          </w:tcPr>
          <w:p>
            <w:pPr>
              <w:spacing w:after="0"/>
              <w:rPr>
                <w:sz w:val="12"/>
                <w:szCs w:val="12"/>
                <w:color w:val="auto"/>
              </w:rPr>
            </w:pPr>
          </w:p>
        </w:tc>
        <w:tc>
          <w:tcPr>
            <w:tcW w:w="158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Aggregate Fair Value</w:t>
            </w:r>
          </w:p>
        </w:tc>
        <w:tc>
          <w:tcPr>
            <w:tcW w:w="0" w:type="dxa"/>
            <w:vAlign w:val="bottom"/>
          </w:tcPr>
          <w:p>
            <w:pPr>
              <w:spacing w:after="0"/>
              <w:rPr>
                <w:sz w:val="1"/>
                <w:szCs w:val="1"/>
                <w:color w:val="auto"/>
              </w:rPr>
            </w:pPr>
          </w:p>
        </w:tc>
      </w:tr>
      <w:tr>
        <w:trPr>
          <w:trHeight w:val="185"/>
        </w:trPr>
        <w:tc>
          <w:tcPr>
            <w:tcW w:w="5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(Losses)</w:t>
            </w:r>
          </w:p>
        </w:tc>
        <w:tc>
          <w:tcPr>
            <w:tcW w:w="120" w:type="dxa"/>
            <w:vAlign w:val="bottom"/>
          </w:tcPr>
          <w:p>
            <w:pPr>
              <w:spacing w:after="0"/>
              <w:rPr>
                <w:sz w:val="16"/>
                <w:szCs w:val="16"/>
                <w:color w:val="auto"/>
              </w:rPr>
            </w:pPr>
          </w:p>
        </w:tc>
        <w:tc>
          <w:tcPr>
            <w:tcW w:w="1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220" w:type="dxa"/>
            <w:vAlign w:val="bottom"/>
            <w:tcBorders>
              <w:top w:val="single" w:sz="8" w:color="auto"/>
              <w:bottom w:val="single" w:sz="8" w:color="CCEEFF"/>
            </w:tcBorders>
            <w:shd w:val="clear" w:color="auto" w:fill="CCEEFF"/>
          </w:tcPr>
          <w:p>
            <w:pPr>
              <w:spacing w:after="0"/>
              <w:rPr>
                <w:sz w:val="16"/>
                <w:szCs w:val="16"/>
                <w:color w:val="auto"/>
              </w:rPr>
            </w:pPr>
          </w:p>
        </w:tc>
        <w:tc>
          <w:tcPr>
            <w:tcW w:w="148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CCEEFF"/>
            </w:tcBorders>
            <w:shd w:val="clear" w:color="auto" w:fill="CCEEFF"/>
          </w:tcPr>
          <w:p>
            <w:pPr>
              <w:spacing w:after="0"/>
              <w:rPr>
                <w:sz w:val="16"/>
                <w:szCs w:val="16"/>
                <w:color w:val="auto"/>
              </w:rPr>
            </w:pPr>
          </w:p>
        </w:tc>
        <w:tc>
          <w:tcPr>
            <w:tcW w:w="152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1580" w:type="dxa"/>
            <w:vAlign w:val="bottom"/>
            <w:tcBorders>
              <w:top w:val="single" w:sz="8" w:color="auto"/>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5940" w:type="dxa"/>
            <w:vAlign w:val="bottom"/>
          </w:tcPr>
          <w:p>
            <w:pPr>
              <w:ind w:left="20"/>
              <w:spacing w:after="0"/>
              <w:rPr>
                <w:sz w:val="20"/>
                <w:szCs w:val="20"/>
                <w:color w:val="auto"/>
              </w:rPr>
            </w:pPr>
            <w:r>
              <w:rPr>
                <w:rFonts w:ascii="Arial" w:cs="Arial" w:eastAsia="Arial" w:hAnsi="Arial"/>
                <w:sz w:val="14"/>
                <w:szCs w:val="14"/>
                <w:color w:val="auto"/>
              </w:rPr>
              <w:t>U.S. government agency securities</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80" w:type="dxa"/>
            <w:vAlign w:val="bottom"/>
          </w:tcPr>
          <w:p>
            <w:pPr>
              <w:jc w:val="right"/>
              <w:spacing w:after="0"/>
              <w:rPr>
                <w:sz w:val="20"/>
                <w:szCs w:val="20"/>
                <w:color w:val="auto"/>
              </w:rPr>
            </w:pPr>
            <w:r>
              <w:rPr>
                <w:rFonts w:ascii="Arial" w:cs="Arial" w:eastAsia="Arial" w:hAnsi="Arial"/>
                <w:sz w:val="14"/>
                <w:szCs w:val="14"/>
                <w:color w:val="auto"/>
              </w:rPr>
              <w:t>19,461</w:t>
            </w:r>
          </w:p>
        </w:tc>
        <w:tc>
          <w:tcPr>
            <w:tcW w:w="10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Arial" w:cs="Arial" w:eastAsia="Arial" w:hAnsi="Arial"/>
                <w:sz w:val="14"/>
                <w:szCs w:val="14"/>
                <w:color w:val="auto"/>
              </w:rPr>
              <w:t>$</w:t>
            </w:r>
          </w:p>
        </w:tc>
        <w:tc>
          <w:tcPr>
            <w:tcW w:w="1520" w:type="dxa"/>
            <w:vAlign w:val="bottom"/>
          </w:tcPr>
          <w:p>
            <w:pPr>
              <w:jc w:val="right"/>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580" w:type="dxa"/>
            <w:vAlign w:val="bottom"/>
          </w:tcPr>
          <w:p>
            <w:pPr>
              <w:jc w:val="right"/>
              <w:spacing w:after="0"/>
              <w:rPr>
                <w:sz w:val="20"/>
                <w:szCs w:val="20"/>
                <w:color w:val="auto"/>
              </w:rPr>
            </w:pPr>
            <w:r>
              <w:rPr>
                <w:rFonts w:ascii="Arial" w:cs="Arial" w:eastAsia="Arial" w:hAnsi="Arial"/>
                <w:sz w:val="14"/>
                <w:szCs w:val="14"/>
                <w:color w:val="auto"/>
              </w:rPr>
              <w:t>19,490</w:t>
            </w:r>
          </w:p>
        </w:tc>
        <w:tc>
          <w:tcPr>
            <w:tcW w:w="0" w:type="dxa"/>
            <w:vAlign w:val="bottom"/>
          </w:tcPr>
          <w:p>
            <w:pPr>
              <w:spacing w:after="0"/>
              <w:rPr>
                <w:sz w:val="1"/>
                <w:szCs w:val="1"/>
                <w:color w:val="auto"/>
              </w:rPr>
            </w:pPr>
          </w:p>
        </w:tc>
      </w:tr>
      <w:tr>
        <w:trPr>
          <w:trHeight w:val="21"/>
        </w:trPr>
        <w:tc>
          <w:tcPr>
            <w:tcW w:w="5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U.S. treasury securities</w:t>
            </w:r>
          </w:p>
        </w:tc>
        <w:tc>
          <w:tcPr>
            <w:tcW w:w="22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10,630</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10,633</w:t>
            </w:r>
          </w:p>
        </w:tc>
        <w:tc>
          <w:tcPr>
            <w:tcW w:w="0" w:type="dxa"/>
            <w:vAlign w:val="bottom"/>
          </w:tcPr>
          <w:p>
            <w:pPr>
              <w:spacing w:after="0"/>
              <w:rPr>
                <w:sz w:val="1"/>
                <w:szCs w:val="1"/>
                <w:color w:val="auto"/>
              </w:rPr>
            </w:pPr>
          </w:p>
        </w:tc>
      </w:tr>
      <w:tr>
        <w:trPr>
          <w:trHeight w:val="208"/>
        </w:trPr>
        <w:tc>
          <w:tcPr>
            <w:tcW w:w="5940" w:type="dxa"/>
            <w:vAlign w:val="bottom"/>
          </w:tcPr>
          <w:p>
            <w:pPr>
              <w:ind w:left="20"/>
              <w:spacing w:after="0"/>
              <w:rPr>
                <w:sz w:val="20"/>
                <w:szCs w:val="20"/>
                <w:color w:val="auto"/>
              </w:rPr>
            </w:pPr>
            <w:r>
              <w:rPr>
                <w:rFonts w:ascii="Arial" w:cs="Arial" w:eastAsia="Arial" w:hAnsi="Arial"/>
                <w:sz w:val="14"/>
                <w:szCs w:val="14"/>
                <w:color w:val="auto"/>
              </w:rPr>
              <w:t>Money market funds</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8,026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8,026</w:t>
            </w:r>
          </w:p>
        </w:tc>
        <w:tc>
          <w:tcPr>
            <w:tcW w:w="0" w:type="dxa"/>
            <w:vAlign w:val="bottom"/>
          </w:tcPr>
          <w:p>
            <w:pPr>
              <w:spacing w:after="0"/>
              <w:rPr>
                <w:sz w:val="1"/>
                <w:szCs w:val="1"/>
                <w:color w:val="auto"/>
              </w:rPr>
            </w:pPr>
          </w:p>
        </w:tc>
      </w:tr>
      <w:tr>
        <w:trPr>
          <w:trHeight w:val="21"/>
        </w:trPr>
        <w:tc>
          <w:tcPr>
            <w:tcW w:w="5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Corporate bonds</w:t>
            </w:r>
          </w:p>
        </w:tc>
        <w:tc>
          <w:tcPr>
            <w:tcW w:w="22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5,649</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5,658</w:t>
            </w:r>
          </w:p>
        </w:tc>
        <w:tc>
          <w:tcPr>
            <w:tcW w:w="0" w:type="dxa"/>
            <w:vAlign w:val="bottom"/>
          </w:tcPr>
          <w:p>
            <w:pPr>
              <w:spacing w:after="0"/>
              <w:rPr>
                <w:sz w:val="1"/>
                <w:szCs w:val="1"/>
                <w:color w:val="auto"/>
              </w:rPr>
            </w:pPr>
          </w:p>
        </w:tc>
      </w:tr>
      <w:tr>
        <w:trPr>
          <w:trHeight w:val="208"/>
        </w:trPr>
        <w:tc>
          <w:tcPr>
            <w:tcW w:w="5940" w:type="dxa"/>
            <w:vAlign w:val="bottom"/>
          </w:tcPr>
          <w:p>
            <w:pPr>
              <w:ind w:left="20"/>
              <w:spacing w:after="0"/>
              <w:rPr>
                <w:sz w:val="20"/>
                <w:szCs w:val="20"/>
                <w:color w:val="auto"/>
              </w:rPr>
            </w:pPr>
            <w:r>
              <w:rPr>
                <w:rFonts w:ascii="Arial" w:cs="Arial" w:eastAsia="Arial" w:hAnsi="Arial"/>
                <w:sz w:val="14"/>
                <w:szCs w:val="14"/>
                <w:color w:val="auto"/>
              </w:rPr>
              <w:t>Certificate of deposit</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5,000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5,000</w:t>
            </w:r>
          </w:p>
        </w:tc>
        <w:tc>
          <w:tcPr>
            <w:tcW w:w="0" w:type="dxa"/>
            <w:vAlign w:val="bottom"/>
          </w:tcPr>
          <w:p>
            <w:pPr>
              <w:spacing w:after="0"/>
              <w:rPr>
                <w:sz w:val="1"/>
                <w:szCs w:val="1"/>
                <w:color w:val="auto"/>
              </w:rPr>
            </w:pPr>
          </w:p>
        </w:tc>
      </w:tr>
      <w:tr>
        <w:trPr>
          <w:trHeight w:val="21"/>
        </w:trPr>
        <w:tc>
          <w:tcPr>
            <w:tcW w:w="5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Commercial paper</w:t>
            </w:r>
          </w:p>
        </w:tc>
        <w:tc>
          <w:tcPr>
            <w:tcW w:w="22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990</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989</w:t>
            </w:r>
          </w:p>
        </w:tc>
        <w:tc>
          <w:tcPr>
            <w:tcW w:w="0" w:type="dxa"/>
            <w:vAlign w:val="bottom"/>
          </w:tcPr>
          <w:p>
            <w:pPr>
              <w:spacing w:after="0"/>
              <w:rPr>
                <w:sz w:val="1"/>
                <w:szCs w:val="1"/>
                <w:color w:val="auto"/>
              </w:rPr>
            </w:pPr>
          </w:p>
        </w:tc>
      </w:tr>
      <w:tr>
        <w:trPr>
          <w:trHeight w:val="196"/>
        </w:trPr>
        <w:tc>
          <w:tcPr>
            <w:tcW w:w="5940" w:type="dxa"/>
            <w:vAlign w:val="bottom"/>
          </w:tcPr>
          <w:p>
            <w:pPr>
              <w:ind w:left="140"/>
              <w:spacing w:after="0"/>
              <w:rPr>
                <w:sz w:val="20"/>
                <w:szCs w:val="20"/>
                <w:color w:val="auto"/>
              </w:rPr>
            </w:pPr>
            <w:r>
              <w:rPr>
                <w:rFonts w:ascii="Arial" w:cs="Arial" w:eastAsia="Arial" w:hAnsi="Arial"/>
                <w:sz w:val="14"/>
                <w:szCs w:val="14"/>
                <w:color w:val="auto"/>
              </w:rPr>
              <w:t>Total financial assets</w:t>
            </w: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49,756</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49,796</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36"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type w:val="continuous"/>
        </w:sectPr>
      </w:pPr>
    </w:p>
    <w:bookmarkStart w:id="13" w:name="page14"/>
    <w:bookmarkEnd w:id="13"/>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The maturity dates of the Company’s investments are as follows (in thousands):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3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September 30, 2024</w:t>
            </w:r>
          </w:p>
        </w:tc>
      </w:tr>
      <w:tr>
        <w:trPr>
          <w:trHeight w:val="197"/>
        </w:trPr>
        <w:tc>
          <w:tcPr>
            <w:tcW w:w="9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than one year</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44,741</w:t>
            </w:r>
          </w:p>
        </w:tc>
      </w:tr>
      <w:tr>
        <w:trPr>
          <w:trHeight w:val="198"/>
        </w:trPr>
        <w:tc>
          <w:tcPr>
            <w:tcW w:w="93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1-2 years</w:t>
            </w:r>
          </w:p>
        </w:tc>
        <w:tc>
          <w:tcPr>
            <w:tcW w:w="18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5,839</w:t>
            </w:r>
          </w:p>
        </w:tc>
      </w:tr>
      <w:tr>
        <w:trPr>
          <w:trHeight w:val="221"/>
        </w:trPr>
        <w:tc>
          <w:tcPr>
            <w:tcW w:w="9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50,580</w:t>
            </w:r>
          </w:p>
        </w:tc>
      </w:tr>
      <w:tr>
        <w:trPr>
          <w:trHeight w:val="20"/>
        </w:trPr>
        <w:tc>
          <w:tcPr>
            <w:tcW w:w="93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September 30, 2024 and December 31, 2023, securities with a fair value of $0.8 million and $3.7 million, respectively, were in a continuous net unrealized loss position for more than 12 months. As of both September 30, 2024 and December 31, 2023, the unrealized losses for available-for-sale investments were non-credit related and the Company does not intend to sell the investments that were in an unrealized loss position, nor does it foresee or project that it will be required to sell those investments before recovery of their amortized costs basis, which may be at maturity. Thus, as of both September 30, 2024 and December 31, 2023 no allowance for credit losses or impairment losses for the Company’s investments were recorded.</w:t>
      </w:r>
    </w:p>
    <w:p>
      <w:pPr>
        <w:spacing w:after="0" w:line="182" w:lineRule="exact"/>
        <w:rPr>
          <w:sz w:val="20"/>
          <w:szCs w:val="20"/>
          <w:color w:val="auto"/>
        </w:rPr>
      </w:pPr>
    </w:p>
    <w:p>
      <w:pPr>
        <w:ind w:left="360" w:hanging="352"/>
        <w:spacing w:after="0"/>
        <w:tabs>
          <w:tab w:leader="none" w:pos="3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Measured and Recorded at Fair Value on a Non-Recurring Basis</w:t>
      </w:r>
    </w:p>
    <w:p>
      <w:pPr>
        <w:spacing w:after="0" w:line="16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Equity method investments, and certain non-financial assets, such as intangible assets are remeasured at fair value only if an impairment or observable price adjustment is recognized in the current period.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 Not Recorded at Fair Value on a Recurring Basis</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Financial instruments not recorded at fair value on a recurring basis include vendor financing arrangements. The carrying value of the vendor financing agreements was $1.8 million and $ 3.4 million as of September 30, 2024 and December 31, 2023, respectively. The Company’s vendor financing arrangements are classified within Level 2 because these borrowings are not actively traded and have a variable interest rate structure based upon the Company’s incremental borrowing rate. The estimated fair values of these financial instruments approximate their carrying values.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 Recorded at Fair Value on a Recurring Basis</w:t>
      </w:r>
    </w:p>
    <w:p>
      <w:pPr>
        <w:spacing w:after="0" w:line="169"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color w:val="auto"/>
        </w:rPr>
        <w:t>The following tables summarize the Company’s financial assets measured at fair value on a recurring basis by level within the fair value hierarchy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180" w:type="dxa"/>
            <w:vAlign w:val="bottom"/>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3"/>
          </w:tcPr>
          <w:p>
            <w:pPr>
              <w:jc w:val="right"/>
              <w:ind w:right="1088"/>
              <w:spacing w:after="0"/>
              <w:rPr>
                <w:sz w:val="20"/>
                <w:szCs w:val="20"/>
                <w:color w:val="auto"/>
              </w:rPr>
            </w:pPr>
            <w:r>
              <w:rPr>
                <w:rFonts w:ascii="Arial" w:cs="Arial" w:eastAsia="Arial" w:hAnsi="Arial"/>
                <w:sz w:val="14"/>
                <w:szCs w:val="14"/>
                <w:b w:val="1"/>
                <w:bCs w:val="1"/>
                <w:color w:val="auto"/>
              </w:rPr>
              <w:t>As of</w:t>
            </w:r>
          </w:p>
        </w:tc>
        <w:tc>
          <w:tcPr>
            <w:tcW w:w="4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r>
      <w:tr>
        <w:trPr>
          <w:trHeight w:val="196"/>
        </w:trPr>
        <w:tc>
          <w:tcPr>
            <w:tcW w:w="4180" w:type="dxa"/>
            <w:vAlign w:val="bottom"/>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80" w:type="dxa"/>
            <w:vAlign w:val="bottom"/>
            <w:tcBorders>
              <w:bottom w:val="single" w:sz="8" w:color="auto"/>
            </w:tcBorders>
            <w:gridSpan w:val="4"/>
          </w:tcPr>
          <w:p>
            <w:pPr>
              <w:jc w:val="right"/>
              <w:ind w:right="588"/>
              <w:spacing w:after="0"/>
              <w:rPr>
                <w:sz w:val="20"/>
                <w:szCs w:val="20"/>
                <w:color w:val="auto"/>
              </w:rPr>
            </w:pPr>
            <w:r>
              <w:rPr>
                <w:rFonts w:ascii="Arial" w:cs="Arial" w:eastAsia="Arial" w:hAnsi="Arial"/>
                <w:sz w:val="14"/>
                <w:szCs w:val="14"/>
                <w:b w:val="1"/>
                <w:bCs w:val="1"/>
                <w:color w:val="auto"/>
              </w:rPr>
              <w:t>September 30, 2024</w:t>
            </w:r>
          </w:p>
        </w:tc>
        <w:tc>
          <w:tcPr>
            <w:tcW w:w="4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r>
      <w:tr>
        <w:trPr>
          <w:trHeight w:val="196"/>
        </w:trPr>
        <w:tc>
          <w:tcPr>
            <w:tcW w:w="418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Level 1</w:t>
            </w:r>
          </w:p>
        </w:tc>
        <w:tc>
          <w:tcPr>
            <w:tcW w:w="5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2</w:t>
            </w: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Level 3</w:t>
            </w:r>
          </w:p>
        </w:tc>
        <w:tc>
          <w:tcPr>
            <w:tcW w:w="4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Fair Value</w:t>
            </w:r>
          </w:p>
        </w:tc>
      </w:tr>
      <w:tr>
        <w:trPr>
          <w:trHeight w:val="190"/>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11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spacing w:after="0"/>
              <w:rPr>
                <w:sz w:val="16"/>
                <w:szCs w:val="16"/>
                <w:color w:val="auto"/>
              </w:rPr>
            </w:pPr>
          </w:p>
        </w:tc>
      </w:tr>
      <w:tr>
        <w:trPr>
          <w:trHeight w:val="208"/>
        </w:trPr>
        <w:tc>
          <w:tcPr>
            <w:tcW w:w="4180" w:type="dxa"/>
            <w:vAlign w:val="bottom"/>
          </w:tcPr>
          <w:p>
            <w:pPr>
              <w:ind w:left="20"/>
              <w:spacing w:after="0"/>
              <w:rPr>
                <w:sz w:val="20"/>
                <w:szCs w:val="20"/>
                <w:color w:val="auto"/>
              </w:rPr>
            </w:pPr>
            <w:r>
              <w:rPr>
                <w:rFonts w:ascii="Arial" w:cs="Arial" w:eastAsia="Arial" w:hAnsi="Arial"/>
                <w:sz w:val="14"/>
                <w:szCs w:val="14"/>
                <w:color w:val="auto"/>
              </w:rPr>
              <w:t>Cash equivalents:</w:t>
            </w:r>
          </w:p>
        </w:tc>
        <w:tc>
          <w:tcPr>
            <w:tcW w:w="1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2"/>
        </w:trPr>
        <w:tc>
          <w:tcPr>
            <w:tcW w:w="4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10"/>
        </w:trPr>
        <w:tc>
          <w:tcPr>
            <w:tcW w:w="4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Certificate of deposit</w:t>
            </w:r>
          </w:p>
        </w:tc>
        <w:tc>
          <w:tcPr>
            <w:tcW w:w="1180" w:type="dxa"/>
            <w:vAlign w:val="bottom"/>
            <w:tcBorders>
              <w:bottom w:val="single" w:sz="8" w:color="CCEEFF"/>
            </w:tcBorders>
            <w:shd w:val="clear" w:color="auto" w:fill="CCEEFF"/>
          </w:tcPr>
          <w:p>
            <w:pPr>
              <w:jc w:val="right"/>
              <w:ind w:right="100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CCEEFF"/>
            </w:tcBorders>
            <w:shd w:val="clear" w:color="auto" w:fill="CCEEFF"/>
          </w:tcPr>
          <w:p>
            <w:pPr>
              <w:jc w:val="right"/>
              <w:ind w:right="96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5,000</w:t>
            </w:r>
          </w:p>
        </w:tc>
        <w:tc>
          <w:tcPr>
            <w:tcW w:w="1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ind w:right="110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5,000</w:t>
            </w:r>
          </w:p>
        </w:tc>
      </w:tr>
      <w:tr>
        <w:trPr>
          <w:trHeight w:val="208"/>
        </w:trPr>
        <w:tc>
          <w:tcPr>
            <w:tcW w:w="4180" w:type="dxa"/>
            <w:vAlign w:val="bottom"/>
          </w:tcPr>
          <w:p>
            <w:pPr>
              <w:ind w:left="140"/>
              <w:spacing w:after="0"/>
              <w:rPr>
                <w:sz w:val="20"/>
                <w:szCs w:val="20"/>
                <w:color w:val="auto"/>
              </w:rPr>
            </w:pPr>
            <w:r>
              <w:rPr>
                <w:rFonts w:ascii="Arial" w:cs="Arial" w:eastAsia="Arial" w:hAnsi="Arial"/>
                <w:sz w:val="14"/>
                <w:szCs w:val="14"/>
                <w:color w:val="auto"/>
              </w:rPr>
              <w:t>Money market funds</w:t>
            </w:r>
          </w:p>
        </w:tc>
        <w:tc>
          <w:tcPr>
            <w:tcW w:w="1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7,402</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80" w:type="dxa"/>
            <w:vAlign w:val="bottom"/>
          </w:tcPr>
          <w:p>
            <w:pPr>
              <w:spacing w:after="0"/>
              <w:rPr>
                <w:sz w:val="18"/>
                <w:szCs w:val="18"/>
                <w:color w:val="auto"/>
              </w:rPr>
            </w:pPr>
          </w:p>
        </w:tc>
        <w:tc>
          <w:tcPr>
            <w:tcW w:w="50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7,402</w:t>
            </w:r>
          </w:p>
        </w:tc>
      </w:tr>
      <w:tr>
        <w:trPr>
          <w:trHeight w:val="22"/>
        </w:trPr>
        <w:tc>
          <w:tcPr>
            <w:tcW w:w="4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29"/>
        </w:trPr>
        <w:tc>
          <w:tcPr>
            <w:tcW w:w="4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U.S. treasury securities</w:t>
            </w:r>
          </w:p>
        </w:tc>
        <w:tc>
          <w:tcPr>
            <w:tcW w:w="11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1,498</w:t>
            </w:r>
          </w:p>
        </w:tc>
        <w:tc>
          <w:tcPr>
            <w:tcW w:w="1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1,498</w:t>
            </w:r>
          </w:p>
        </w:tc>
      </w:tr>
      <w:tr>
        <w:trPr>
          <w:trHeight w:val="188"/>
        </w:trPr>
        <w:tc>
          <w:tcPr>
            <w:tcW w:w="4180" w:type="dxa"/>
            <w:vAlign w:val="bottom"/>
          </w:tcPr>
          <w:p>
            <w:pPr>
              <w:ind w:left="20"/>
              <w:spacing w:after="0"/>
              <w:rPr>
                <w:sz w:val="20"/>
                <w:szCs w:val="20"/>
                <w:color w:val="auto"/>
              </w:rPr>
            </w:pPr>
            <w:r>
              <w:rPr>
                <w:rFonts w:ascii="Arial" w:cs="Arial" w:eastAsia="Arial" w:hAnsi="Arial"/>
                <w:sz w:val="14"/>
                <w:szCs w:val="14"/>
                <w:color w:val="auto"/>
              </w:rPr>
              <w:t>Total cash equivalents</w:t>
            </w:r>
          </w:p>
        </w:tc>
        <w:tc>
          <w:tcPr>
            <w:tcW w:w="118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7,402</w:t>
            </w:r>
          </w:p>
        </w:tc>
        <w:tc>
          <w:tcPr>
            <w:tcW w:w="10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6,498</w:t>
            </w:r>
          </w:p>
        </w:tc>
        <w:tc>
          <w:tcPr>
            <w:tcW w:w="100" w:type="dxa"/>
            <w:vAlign w:val="bottom"/>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ind w:lef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13,900</w:t>
            </w:r>
          </w:p>
        </w:tc>
      </w:tr>
      <w:tr>
        <w:trPr>
          <w:trHeight w:val="22"/>
        </w:trPr>
        <w:tc>
          <w:tcPr>
            <w:tcW w:w="418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190"/>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Short-term investments:</w:t>
            </w:r>
          </w:p>
        </w:tc>
        <w:tc>
          <w:tcPr>
            <w:tcW w:w="11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spacing w:after="0"/>
              <w:rPr>
                <w:sz w:val="16"/>
                <w:szCs w:val="16"/>
                <w:color w:val="auto"/>
              </w:rPr>
            </w:pPr>
          </w:p>
        </w:tc>
      </w:tr>
      <w:tr>
        <w:trPr>
          <w:trHeight w:val="208"/>
        </w:trPr>
        <w:tc>
          <w:tcPr>
            <w:tcW w:w="4180" w:type="dxa"/>
            <w:vAlign w:val="bottom"/>
          </w:tcPr>
          <w:p>
            <w:pPr>
              <w:ind w:left="140"/>
              <w:spacing w:after="0"/>
              <w:rPr>
                <w:sz w:val="20"/>
                <w:szCs w:val="20"/>
                <w:color w:val="auto"/>
              </w:rPr>
            </w:pPr>
            <w:r>
              <w:rPr>
                <w:rFonts w:ascii="Arial" w:cs="Arial" w:eastAsia="Arial" w:hAnsi="Arial"/>
                <w:sz w:val="14"/>
                <w:szCs w:val="14"/>
                <w:color w:val="auto"/>
              </w:rPr>
              <w:t>Commercial paper</w:t>
            </w:r>
          </w:p>
        </w:tc>
        <w:tc>
          <w:tcPr>
            <w:tcW w:w="118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1,486</w:t>
            </w: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0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1,486</w:t>
            </w:r>
          </w:p>
        </w:tc>
      </w:tr>
      <w:tr>
        <w:trPr>
          <w:trHeight w:val="22"/>
        </w:trPr>
        <w:tc>
          <w:tcPr>
            <w:tcW w:w="4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10"/>
        </w:trPr>
        <w:tc>
          <w:tcPr>
            <w:tcW w:w="4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Corporate bonds</w:t>
            </w:r>
          </w:p>
        </w:tc>
        <w:tc>
          <w:tcPr>
            <w:tcW w:w="11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8,275</w:t>
            </w:r>
          </w:p>
        </w:tc>
        <w:tc>
          <w:tcPr>
            <w:tcW w:w="1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8,275</w:t>
            </w:r>
          </w:p>
        </w:tc>
      </w:tr>
      <w:tr>
        <w:trPr>
          <w:trHeight w:val="208"/>
        </w:trPr>
        <w:tc>
          <w:tcPr>
            <w:tcW w:w="4180" w:type="dxa"/>
            <w:vAlign w:val="bottom"/>
          </w:tcPr>
          <w:p>
            <w:pPr>
              <w:ind w:left="140"/>
              <w:spacing w:after="0"/>
              <w:rPr>
                <w:sz w:val="20"/>
                <w:szCs w:val="20"/>
                <w:color w:val="auto"/>
              </w:rPr>
            </w:pPr>
            <w:r>
              <w:rPr>
                <w:rFonts w:ascii="Arial" w:cs="Arial" w:eastAsia="Arial" w:hAnsi="Arial"/>
                <w:sz w:val="14"/>
                <w:szCs w:val="14"/>
                <w:color w:val="auto"/>
              </w:rPr>
              <w:t>U.S. government agency securities</w:t>
            </w:r>
          </w:p>
        </w:tc>
        <w:tc>
          <w:tcPr>
            <w:tcW w:w="118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11,409</w:t>
            </w: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0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11,409</w:t>
            </w:r>
          </w:p>
        </w:tc>
      </w:tr>
      <w:tr>
        <w:trPr>
          <w:trHeight w:val="22"/>
        </w:trPr>
        <w:tc>
          <w:tcPr>
            <w:tcW w:w="4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30"/>
        </w:trPr>
        <w:tc>
          <w:tcPr>
            <w:tcW w:w="4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U.S. treasury securities</w:t>
            </w:r>
          </w:p>
        </w:tc>
        <w:tc>
          <w:tcPr>
            <w:tcW w:w="11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9,671</w:t>
            </w:r>
          </w:p>
        </w:tc>
        <w:tc>
          <w:tcPr>
            <w:tcW w:w="1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9,671</w:t>
            </w:r>
          </w:p>
        </w:tc>
      </w:tr>
      <w:tr>
        <w:trPr>
          <w:trHeight w:val="188"/>
        </w:trPr>
        <w:tc>
          <w:tcPr>
            <w:tcW w:w="4180" w:type="dxa"/>
            <w:vAlign w:val="bottom"/>
          </w:tcPr>
          <w:p>
            <w:pPr>
              <w:ind w:left="20"/>
              <w:spacing w:after="0"/>
              <w:rPr>
                <w:sz w:val="20"/>
                <w:szCs w:val="20"/>
                <w:color w:val="auto"/>
              </w:rPr>
            </w:pPr>
            <w:r>
              <w:rPr>
                <w:rFonts w:ascii="Arial" w:cs="Arial" w:eastAsia="Arial" w:hAnsi="Arial"/>
                <w:sz w:val="14"/>
                <w:szCs w:val="14"/>
                <w:color w:val="auto"/>
              </w:rPr>
              <w:t>Total short-term investments</w:t>
            </w:r>
          </w:p>
        </w:tc>
        <w:tc>
          <w:tcPr>
            <w:tcW w:w="118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30,841</w:t>
            </w:r>
          </w:p>
        </w:tc>
        <w:tc>
          <w:tcPr>
            <w:tcW w:w="100" w:type="dxa"/>
            <w:vAlign w:val="bottom"/>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ind w:lef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30,841</w:t>
            </w:r>
          </w:p>
        </w:tc>
      </w:tr>
      <w:tr>
        <w:trPr>
          <w:trHeight w:val="22"/>
        </w:trPr>
        <w:tc>
          <w:tcPr>
            <w:tcW w:w="418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189"/>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Long-term investments:</w:t>
            </w:r>
          </w:p>
        </w:tc>
        <w:tc>
          <w:tcPr>
            <w:tcW w:w="11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spacing w:after="0"/>
              <w:rPr>
                <w:sz w:val="16"/>
                <w:szCs w:val="16"/>
                <w:color w:val="auto"/>
              </w:rPr>
            </w:pPr>
          </w:p>
        </w:tc>
      </w:tr>
      <w:tr>
        <w:trPr>
          <w:trHeight w:val="208"/>
        </w:trPr>
        <w:tc>
          <w:tcPr>
            <w:tcW w:w="4180" w:type="dxa"/>
            <w:vAlign w:val="bottom"/>
          </w:tcPr>
          <w:p>
            <w:pPr>
              <w:ind w:left="140"/>
              <w:spacing w:after="0"/>
              <w:rPr>
                <w:sz w:val="20"/>
                <w:szCs w:val="20"/>
                <w:color w:val="auto"/>
              </w:rPr>
            </w:pPr>
            <w:r>
              <w:rPr>
                <w:rFonts w:ascii="Arial" w:cs="Arial" w:eastAsia="Arial" w:hAnsi="Arial"/>
                <w:sz w:val="14"/>
                <w:szCs w:val="14"/>
                <w:color w:val="auto"/>
              </w:rPr>
              <w:t>U.S. government agency securities</w:t>
            </w:r>
          </w:p>
        </w:tc>
        <w:tc>
          <w:tcPr>
            <w:tcW w:w="118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5,839</w:t>
            </w: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0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5,839</w:t>
            </w:r>
          </w:p>
        </w:tc>
      </w:tr>
      <w:tr>
        <w:trPr>
          <w:trHeight w:val="21"/>
        </w:trPr>
        <w:tc>
          <w:tcPr>
            <w:tcW w:w="418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09"/>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long-term investments</w:t>
            </w:r>
          </w:p>
        </w:tc>
        <w:tc>
          <w:tcPr>
            <w:tcW w:w="11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5,839</w:t>
            </w:r>
          </w:p>
        </w:tc>
        <w:tc>
          <w:tcPr>
            <w:tcW w:w="1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5,839</w:t>
            </w:r>
          </w:p>
        </w:tc>
      </w:tr>
      <w:tr>
        <w:trPr>
          <w:trHeight w:val="196"/>
        </w:trPr>
        <w:tc>
          <w:tcPr>
            <w:tcW w:w="4180" w:type="dxa"/>
            <w:vAlign w:val="bottom"/>
          </w:tcPr>
          <w:p>
            <w:pPr>
              <w:ind w:left="140"/>
              <w:spacing w:after="0"/>
              <w:rPr>
                <w:sz w:val="20"/>
                <w:szCs w:val="20"/>
                <w:color w:val="auto"/>
              </w:rPr>
            </w:pPr>
            <w:r>
              <w:rPr>
                <w:rFonts w:ascii="Arial" w:cs="Arial" w:eastAsia="Arial" w:hAnsi="Arial"/>
                <w:sz w:val="14"/>
                <w:szCs w:val="14"/>
                <w:color w:val="auto"/>
              </w:rPr>
              <w:t>Total financial assets</w:t>
            </w:r>
          </w:p>
        </w:tc>
        <w:tc>
          <w:tcPr>
            <w:tcW w:w="1180" w:type="dxa"/>
            <w:vAlign w:val="bottom"/>
            <w:tcBorders>
              <w:top w:val="single" w:sz="8" w:color="auto"/>
              <w:bottom w:val="single" w:sz="8" w:color="auto"/>
            </w:tcBorders>
          </w:tcPr>
          <w:p>
            <w:pPr>
              <w:jc w:val="right"/>
              <w:ind w:right="1008"/>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7,402</w:t>
            </w:r>
          </w:p>
        </w:tc>
        <w:tc>
          <w:tcPr>
            <w:tcW w:w="100" w:type="dxa"/>
            <w:vAlign w:val="bottom"/>
          </w:tcPr>
          <w:p>
            <w:pPr>
              <w:spacing w:after="0"/>
              <w:rPr>
                <w:sz w:val="17"/>
                <w:szCs w:val="17"/>
                <w:color w:val="auto"/>
              </w:rPr>
            </w:pPr>
          </w:p>
        </w:tc>
        <w:tc>
          <w:tcPr>
            <w:tcW w:w="1140" w:type="dxa"/>
            <w:vAlign w:val="bottom"/>
            <w:tcBorders>
              <w:top w:val="single" w:sz="8" w:color="auto"/>
              <w:bottom w:val="single" w:sz="8" w:color="auto"/>
            </w:tcBorders>
          </w:tcPr>
          <w:p>
            <w:pPr>
              <w:jc w:val="right"/>
              <w:ind w:right="968"/>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43,178</w:t>
            </w:r>
          </w:p>
        </w:tc>
        <w:tc>
          <w:tcPr>
            <w:tcW w:w="100" w:type="dxa"/>
            <w:vAlign w:val="bottom"/>
          </w:tcPr>
          <w:p>
            <w:pPr>
              <w:spacing w:after="0"/>
              <w:rPr>
                <w:sz w:val="17"/>
                <w:szCs w:val="17"/>
                <w:color w:val="auto"/>
              </w:rPr>
            </w:pPr>
          </w:p>
        </w:tc>
        <w:tc>
          <w:tcPr>
            <w:tcW w:w="1280" w:type="dxa"/>
            <w:vAlign w:val="bottom"/>
            <w:tcBorders>
              <w:top w:val="single" w:sz="8" w:color="auto"/>
              <w:bottom w:val="single" w:sz="8" w:color="auto"/>
            </w:tcBorders>
          </w:tcPr>
          <w:p>
            <w:pPr>
              <w:jc w:val="right"/>
              <w:ind w:right="1108"/>
              <w:spacing w:after="0"/>
              <w:rPr>
                <w:sz w:val="20"/>
                <w:szCs w:val="20"/>
                <w:color w:val="auto"/>
              </w:rPr>
            </w:pPr>
            <w:r>
              <w:rPr>
                <w:rFonts w:ascii="Arial" w:cs="Arial" w:eastAsia="Arial" w:hAnsi="Arial"/>
                <w:sz w:val="14"/>
                <w:szCs w:val="14"/>
                <w:color w:val="auto"/>
              </w:rPr>
              <w:t>$</w:t>
            </w:r>
          </w:p>
        </w:tc>
        <w:tc>
          <w:tcPr>
            <w:tcW w:w="40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50,580</w:t>
            </w:r>
          </w:p>
        </w:tc>
      </w:tr>
      <w:tr>
        <w:trPr>
          <w:trHeight w:val="20"/>
        </w:trPr>
        <w:tc>
          <w:tcPr>
            <w:tcW w:w="41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3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type w:val="continuous"/>
        </w:sectPr>
      </w:pPr>
    </w:p>
    <w:bookmarkStart w:id="14" w:name="page15"/>
    <w:bookmarkEnd w:id="14"/>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180" w:type="dxa"/>
            <w:vAlign w:val="bottom"/>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3"/>
          </w:tcPr>
          <w:p>
            <w:pPr>
              <w:jc w:val="right"/>
              <w:ind w:right="1088"/>
              <w:spacing w:after="0"/>
              <w:rPr>
                <w:sz w:val="20"/>
                <w:szCs w:val="20"/>
                <w:color w:val="auto"/>
              </w:rPr>
            </w:pPr>
            <w:r>
              <w:rPr>
                <w:rFonts w:ascii="Arial" w:cs="Arial" w:eastAsia="Arial" w:hAnsi="Arial"/>
                <w:sz w:val="14"/>
                <w:szCs w:val="14"/>
                <w:b w:val="1"/>
                <w:bCs w:val="1"/>
                <w:color w:val="auto"/>
              </w:rPr>
              <w:t>As of</w:t>
            </w:r>
          </w:p>
        </w:tc>
        <w:tc>
          <w:tcPr>
            <w:tcW w:w="4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r>
      <w:tr>
        <w:trPr>
          <w:trHeight w:val="196"/>
        </w:trPr>
        <w:tc>
          <w:tcPr>
            <w:tcW w:w="4180" w:type="dxa"/>
            <w:vAlign w:val="bottom"/>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3"/>
          </w:tcPr>
          <w:p>
            <w:pPr>
              <w:jc w:val="right"/>
              <w:ind w:right="608"/>
              <w:spacing w:after="0"/>
              <w:rPr>
                <w:sz w:val="20"/>
                <w:szCs w:val="20"/>
                <w:color w:val="auto"/>
              </w:rPr>
            </w:pPr>
            <w:r>
              <w:rPr>
                <w:rFonts w:ascii="Arial" w:cs="Arial" w:eastAsia="Arial" w:hAnsi="Arial"/>
                <w:sz w:val="14"/>
                <w:szCs w:val="14"/>
                <w:b w:val="1"/>
                <w:bCs w:val="1"/>
                <w:color w:val="auto"/>
              </w:rPr>
              <w:t>December 31, 2023</w:t>
            </w:r>
          </w:p>
        </w:tc>
        <w:tc>
          <w:tcPr>
            <w:tcW w:w="4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r>
      <w:tr>
        <w:trPr>
          <w:trHeight w:val="196"/>
        </w:trPr>
        <w:tc>
          <w:tcPr>
            <w:tcW w:w="418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Level 1</w:t>
            </w:r>
          </w:p>
        </w:tc>
        <w:tc>
          <w:tcPr>
            <w:tcW w:w="5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2</w:t>
            </w:r>
          </w:p>
        </w:tc>
        <w:tc>
          <w:tcPr>
            <w:tcW w:w="6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Level 3</w:t>
            </w:r>
          </w:p>
        </w:tc>
        <w:tc>
          <w:tcPr>
            <w:tcW w:w="4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Fair Value</w:t>
            </w:r>
          </w:p>
        </w:tc>
      </w:tr>
      <w:tr>
        <w:trPr>
          <w:trHeight w:val="191"/>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11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spacing w:after="0"/>
              <w:rPr>
                <w:sz w:val="16"/>
                <w:szCs w:val="16"/>
                <w:color w:val="auto"/>
              </w:rPr>
            </w:pPr>
          </w:p>
        </w:tc>
      </w:tr>
      <w:tr>
        <w:trPr>
          <w:trHeight w:val="208"/>
        </w:trPr>
        <w:tc>
          <w:tcPr>
            <w:tcW w:w="4180" w:type="dxa"/>
            <w:vAlign w:val="bottom"/>
          </w:tcPr>
          <w:p>
            <w:pPr>
              <w:ind w:left="20"/>
              <w:spacing w:after="0"/>
              <w:rPr>
                <w:sz w:val="20"/>
                <w:szCs w:val="20"/>
                <w:color w:val="auto"/>
              </w:rPr>
            </w:pPr>
            <w:r>
              <w:rPr>
                <w:rFonts w:ascii="Arial" w:cs="Arial" w:eastAsia="Arial" w:hAnsi="Arial"/>
                <w:sz w:val="14"/>
                <w:szCs w:val="14"/>
                <w:color w:val="auto"/>
              </w:rPr>
              <w:t>Cash equivalents:</w:t>
            </w:r>
          </w:p>
        </w:tc>
        <w:tc>
          <w:tcPr>
            <w:tcW w:w="1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2"/>
        </w:trPr>
        <w:tc>
          <w:tcPr>
            <w:tcW w:w="4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09"/>
        </w:trPr>
        <w:tc>
          <w:tcPr>
            <w:tcW w:w="4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Money market funds</w:t>
            </w:r>
          </w:p>
        </w:tc>
        <w:tc>
          <w:tcPr>
            <w:tcW w:w="1180" w:type="dxa"/>
            <w:vAlign w:val="bottom"/>
            <w:tcBorders>
              <w:bottom w:val="single" w:sz="8" w:color="CCEEFF"/>
            </w:tcBorders>
            <w:shd w:val="clear" w:color="auto" w:fill="CCEEFF"/>
          </w:tcPr>
          <w:p>
            <w:pPr>
              <w:jc w:val="right"/>
              <w:ind w:right="100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8,026</w:t>
            </w:r>
          </w:p>
        </w:tc>
        <w:tc>
          <w:tcPr>
            <w:tcW w:w="1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ind w:right="9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CCEEFF"/>
            </w:tcBorders>
            <w:shd w:val="clear" w:color="auto" w:fill="CCEEFF"/>
          </w:tcPr>
          <w:p>
            <w:pPr>
              <w:jc w:val="right"/>
              <w:ind w:right="110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8,026</w:t>
            </w:r>
          </w:p>
        </w:tc>
      </w:tr>
      <w:tr>
        <w:trPr>
          <w:trHeight w:val="208"/>
        </w:trPr>
        <w:tc>
          <w:tcPr>
            <w:tcW w:w="4180" w:type="dxa"/>
            <w:vAlign w:val="bottom"/>
          </w:tcPr>
          <w:p>
            <w:pPr>
              <w:ind w:left="140"/>
              <w:spacing w:after="0"/>
              <w:rPr>
                <w:sz w:val="20"/>
                <w:szCs w:val="20"/>
                <w:color w:val="auto"/>
              </w:rPr>
            </w:pPr>
            <w:r>
              <w:rPr>
                <w:rFonts w:ascii="Arial" w:cs="Arial" w:eastAsia="Arial" w:hAnsi="Arial"/>
                <w:sz w:val="14"/>
                <w:szCs w:val="14"/>
                <w:color w:val="auto"/>
              </w:rPr>
              <w:t>U.S. treasury securities</w:t>
            </w:r>
          </w:p>
        </w:tc>
        <w:tc>
          <w:tcPr>
            <w:tcW w:w="118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2,491</w:t>
            </w: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0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2,491</w:t>
            </w:r>
          </w:p>
        </w:tc>
      </w:tr>
      <w:tr>
        <w:trPr>
          <w:trHeight w:val="22"/>
        </w:trPr>
        <w:tc>
          <w:tcPr>
            <w:tcW w:w="418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09"/>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cash equivalents</w:t>
            </w:r>
          </w:p>
        </w:tc>
        <w:tc>
          <w:tcPr>
            <w:tcW w:w="11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8,026</w:t>
            </w:r>
          </w:p>
        </w:tc>
        <w:tc>
          <w:tcPr>
            <w:tcW w:w="1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2,491</w:t>
            </w:r>
          </w:p>
        </w:tc>
        <w:tc>
          <w:tcPr>
            <w:tcW w:w="1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10,517</w:t>
            </w:r>
          </w:p>
        </w:tc>
      </w:tr>
      <w:tr>
        <w:trPr>
          <w:trHeight w:val="188"/>
        </w:trPr>
        <w:tc>
          <w:tcPr>
            <w:tcW w:w="4180" w:type="dxa"/>
            <w:vAlign w:val="bottom"/>
          </w:tcPr>
          <w:p>
            <w:pPr>
              <w:ind w:left="20"/>
              <w:spacing w:after="0"/>
              <w:rPr>
                <w:sz w:val="20"/>
                <w:szCs w:val="20"/>
                <w:color w:val="auto"/>
              </w:rPr>
            </w:pPr>
            <w:r>
              <w:rPr>
                <w:rFonts w:ascii="Arial" w:cs="Arial" w:eastAsia="Arial" w:hAnsi="Arial"/>
                <w:sz w:val="14"/>
                <w:szCs w:val="14"/>
                <w:color w:val="auto"/>
              </w:rPr>
              <w:t>Short-term investments:</w:t>
            </w:r>
          </w:p>
        </w:tc>
        <w:tc>
          <w:tcPr>
            <w:tcW w:w="118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spacing w:after="0"/>
              <w:rPr>
                <w:sz w:val="16"/>
                <w:szCs w:val="16"/>
                <w:color w:val="auto"/>
              </w:rPr>
            </w:pPr>
          </w:p>
        </w:tc>
      </w:tr>
      <w:tr>
        <w:trPr>
          <w:trHeight w:val="22"/>
        </w:trPr>
        <w:tc>
          <w:tcPr>
            <w:tcW w:w="4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10"/>
        </w:trPr>
        <w:tc>
          <w:tcPr>
            <w:tcW w:w="4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Certificate of deposit</w:t>
            </w:r>
          </w:p>
        </w:tc>
        <w:tc>
          <w:tcPr>
            <w:tcW w:w="11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5,000</w:t>
            </w:r>
          </w:p>
        </w:tc>
        <w:tc>
          <w:tcPr>
            <w:tcW w:w="1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5,000</w:t>
            </w:r>
          </w:p>
        </w:tc>
      </w:tr>
      <w:tr>
        <w:trPr>
          <w:trHeight w:val="208"/>
        </w:trPr>
        <w:tc>
          <w:tcPr>
            <w:tcW w:w="4180" w:type="dxa"/>
            <w:vAlign w:val="bottom"/>
          </w:tcPr>
          <w:p>
            <w:pPr>
              <w:ind w:left="140"/>
              <w:spacing w:after="0"/>
              <w:rPr>
                <w:sz w:val="20"/>
                <w:szCs w:val="20"/>
                <w:color w:val="auto"/>
              </w:rPr>
            </w:pPr>
            <w:r>
              <w:rPr>
                <w:rFonts w:ascii="Arial" w:cs="Arial" w:eastAsia="Arial" w:hAnsi="Arial"/>
                <w:sz w:val="14"/>
                <w:szCs w:val="14"/>
                <w:color w:val="auto"/>
              </w:rPr>
              <w:t>Commercial paper</w:t>
            </w:r>
          </w:p>
        </w:tc>
        <w:tc>
          <w:tcPr>
            <w:tcW w:w="118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989</w:t>
            </w: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0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989</w:t>
            </w:r>
          </w:p>
        </w:tc>
      </w:tr>
      <w:tr>
        <w:trPr>
          <w:trHeight w:val="22"/>
        </w:trPr>
        <w:tc>
          <w:tcPr>
            <w:tcW w:w="4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10"/>
        </w:trPr>
        <w:tc>
          <w:tcPr>
            <w:tcW w:w="4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Corporate bonds</w:t>
            </w:r>
          </w:p>
        </w:tc>
        <w:tc>
          <w:tcPr>
            <w:tcW w:w="11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3,696</w:t>
            </w:r>
          </w:p>
        </w:tc>
        <w:tc>
          <w:tcPr>
            <w:tcW w:w="1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3,696</w:t>
            </w:r>
          </w:p>
        </w:tc>
      </w:tr>
      <w:tr>
        <w:trPr>
          <w:trHeight w:val="208"/>
        </w:trPr>
        <w:tc>
          <w:tcPr>
            <w:tcW w:w="4180" w:type="dxa"/>
            <w:vAlign w:val="bottom"/>
          </w:tcPr>
          <w:p>
            <w:pPr>
              <w:ind w:left="140"/>
              <w:spacing w:after="0"/>
              <w:rPr>
                <w:sz w:val="20"/>
                <w:szCs w:val="20"/>
                <w:color w:val="auto"/>
              </w:rPr>
            </w:pPr>
            <w:r>
              <w:rPr>
                <w:rFonts w:ascii="Arial" w:cs="Arial" w:eastAsia="Arial" w:hAnsi="Arial"/>
                <w:sz w:val="14"/>
                <w:szCs w:val="14"/>
                <w:color w:val="auto"/>
              </w:rPr>
              <w:t>U.S. government agency securities</w:t>
            </w:r>
          </w:p>
        </w:tc>
        <w:tc>
          <w:tcPr>
            <w:tcW w:w="118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9,650</w:t>
            </w: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0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9,650</w:t>
            </w:r>
          </w:p>
        </w:tc>
      </w:tr>
      <w:tr>
        <w:trPr>
          <w:trHeight w:val="22"/>
        </w:trPr>
        <w:tc>
          <w:tcPr>
            <w:tcW w:w="4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29"/>
        </w:trPr>
        <w:tc>
          <w:tcPr>
            <w:tcW w:w="4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U.S. treasury securities</w:t>
            </w:r>
          </w:p>
        </w:tc>
        <w:tc>
          <w:tcPr>
            <w:tcW w:w="11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8,142</w:t>
            </w:r>
          </w:p>
        </w:tc>
        <w:tc>
          <w:tcPr>
            <w:tcW w:w="1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8,142</w:t>
            </w:r>
          </w:p>
        </w:tc>
      </w:tr>
      <w:tr>
        <w:trPr>
          <w:trHeight w:val="188"/>
        </w:trPr>
        <w:tc>
          <w:tcPr>
            <w:tcW w:w="4180" w:type="dxa"/>
            <w:vAlign w:val="bottom"/>
          </w:tcPr>
          <w:p>
            <w:pPr>
              <w:ind w:left="20"/>
              <w:spacing w:after="0"/>
              <w:rPr>
                <w:sz w:val="20"/>
                <w:szCs w:val="20"/>
                <w:color w:val="auto"/>
              </w:rPr>
            </w:pPr>
            <w:r>
              <w:rPr>
                <w:rFonts w:ascii="Arial" w:cs="Arial" w:eastAsia="Arial" w:hAnsi="Arial"/>
                <w:sz w:val="14"/>
                <w:szCs w:val="14"/>
                <w:color w:val="auto"/>
              </w:rPr>
              <w:t>Total short-term investments</w:t>
            </w:r>
          </w:p>
        </w:tc>
        <w:tc>
          <w:tcPr>
            <w:tcW w:w="118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27,477</w:t>
            </w:r>
          </w:p>
        </w:tc>
        <w:tc>
          <w:tcPr>
            <w:tcW w:w="100" w:type="dxa"/>
            <w:vAlign w:val="bottom"/>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ind w:lef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27,477</w:t>
            </w:r>
          </w:p>
        </w:tc>
      </w:tr>
      <w:tr>
        <w:trPr>
          <w:trHeight w:val="22"/>
        </w:trPr>
        <w:tc>
          <w:tcPr>
            <w:tcW w:w="418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189"/>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Long-term investments:</w:t>
            </w:r>
          </w:p>
        </w:tc>
        <w:tc>
          <w:tcPr>
            <w:tcW w:w="11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spacing w:after="0"/>
              <w:rPr>
                <w:sz w:val="16"/>
                <w:szCs w:val="16"/>
                <w:color w:val="auto"/>
              </w:rPr>
            </w:pPr>
          </w:p>
        </w:tc>
      </w:tr>
      <w:tr>
        <w:trPr>
          <w:trHeight w:val="208"/>
        </w:trPr>
        <w:tc>
          <w:tcPr>
            <w:tcW w:w="4180" w:type="dxa"/>
            <w:vAlign w:val="bottom"/>
          </w:tcPr>
          <w:p>
            <w:pPr>
              <w:ind w:left="140"/>
              <w:spacing w:after="0"/>
              <w:rPr>
                <w:sz w:val="20"/>
                <w:szCs w:val="20"/>
                <w:color w:val="auto"/>
              </w:rPr>
            </w:pPr>
            <w:r>
              <w:rPr>
                <w:rFonts w:ascii="Arial" w:cs="Arial" w:eastAsia="Arial" w:hAnsi="Arial"/>
                <w:sz w:val="14"/>
                <w:szCs w:val="14"/>
                <w:color w:val="auto"/>
              </w:rPr>
              <w:t>Corporate bonds</w:t>
            </w:r>
          </w:p>
        </w:tc>
        <w:tc>
          <w:tcPr>
            <w:tcW w:w="118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1,962</w:t>
            </w: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0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1,962</w:t>
            </w:r>
          </w:p>
        </w:tc>
      </w:tr>
      <w:tr>
        <w:trPr>
          <w:trHeight w:val="22"/>
        </w:trPr>
        <w:tc>
          <w:tcPr>
            <w:tcW w:w="4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30"/>
        </w:trPr>
        <w:tc>
          <w:tcPr>
            <w:tcW w:w="4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U.S. government agency securities</w:t>
            </w:r>
          </w:p>
        </w:tc>
        <w:tc>
          <w:tcPr>
            <w:tcW w:w="11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9,840</w:t>
            </w:r>
          </w:p>
        </w:tc>
        <w:tc>
          <w:tcPr>
            <w:tcW w:w="1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9,840</w:t>
            </w:r>
          </w:p>
        </w:tc>
      </w:tr>
      <w:tr>
        <w:trPr>
          <w:trHeight w:val="188"/>
        </w:trPr>
        <w:tc>
          <w:tcPr>
            <w:tcW w:w="4180" w:type="dxa"/>
            <w:vAlign w:val="bottom"/>
          </w:tcPr>
          <w:p>
            <w:pPr>
              <w:ind w:left="20"/>
              <w:spacing w:after="0"/>
              <w:rPr>
                <w:sz w:val="20"/>
                <w:szCs w:val="20"/>
                <w:color w:val="auto"/>
              </w:rPr>
            </w:pPr>
            <w:r>
              <w:rPr>
                <w:rFonts w:ascii="Arial" w:cs="Arial" w:eastAsia="Arial" w:hAnsi="Arial"/>
                <w:sz w:val="14"/>
                <w:szCs w:val="14"/>
                <w:color w:val="auto"/>
              </w:rPr>
              <w:t>Total long-term investments</w:t>
            </w:r>
          </w:p>
        </w:tc>
        <w:tc>
          <w:tcPr>
            <w:tcW w:w="118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11,802</w:t>
            </w:r>
          </w:p>
        </w:tc>
        <w:tc>
          <w:tcPr>
            <w:tcW w:w="100" w:type="dxa"/>
            <w:vAlign w:val="bottom"/>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ind w:lef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11,802</w:t>
            </w:r>
          </w:p>
        </w:tc>
      </w:tr>
      <w:tr>
        <w:trPr>
          <w:trHeight w:val="22"/>
        </w:trPr>
        <w:tc>
          <w:tcPr>
            <w:tcW w:w="418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16"/>
        </w:trPr>
        <w:tc>
          <w:tcPr>
            <w:tcW w:w="41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Total financial assets</w:t>
            </w:r>
          </w:p>
        </w:tc>
        <w:tc>
          <w:tcPr>
            <w:tcW w:w="1180" w:type="dxa"/>
            <w:vAlign w:val="bottom"/>
            <w:shd w:val="clear" w:color="auto" w:fill="CCEEFF"/>
          </w:tcPr>
          <w:p>
            <w:pPr>
              <w:jc w:val="right"/>
              <w:ind w:right="1008"/>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8,026</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2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41,770</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108"/>
              <w:spacing w:after="0"/>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49,796</w:t>
            </w: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Money market funds are highly liquid investments and are actively traded. The fair value is based on quoted prices for identical assets in active markets and therefore classified as Level 1 of the fair value hierarchy.</w:t>
      </w:r>
    </w:p>
    <w:p>
      <w:pPr>
        <w:spacing w:after="0" w:line="9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Company’s other investments are considered Level 2 financial instruments as their fair values are determined using inputs that are directly or indirectly observable in active or less active markets. There were no transfers between levels during the periods presented.</w:t>
      </w:r>
    </w:p>
    <w:p>
      <w:pPr>
        <w:spacing w:after="0" w:line="153" w:lineRule="exact"/>
        <w:rPr>
          <w:sz w:val="20"/>
          <w:szCs w:val="20"/>
          <w:color w:val="auto"/>
        </w:rPr>
      </w:pPr>
    </w:p>
    <w:p>
      <w:pPr>
        <w:ind w:left="360" w:hanging="352"/>
        <w:spacing w:after="0"/>
        <w:tabs>
          <w:tab w:leader="none" w:pos="3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 AND GOODWILL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 net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net consisted of the following as of September 30, 2024 (in thousands):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Gross Fair Value</w:t>
            </w:r>
          </w:p>
        </w:tc>
        <w:tc>
          <w:tcPr>
            <w:tcW w:w="260" w:type="dxa"/>
            <w:vAlign w:val="bottom"/>
          </w:tcPr>
          <w:p>
            <w:pPr>
              <w:spacing w:after="0"/>
              <w:rPr>
                <w:sz w:val="14"/>
                <w:szCs w:val="14"/>
                <w:color w:val="auto"/>
              </w:rPr>
            </w:pPr>
          </w:p>
        </w:tc>
        <w:tc>
          <w:tcPr>
            <w:tcW w:w="1540" w:type="dxa"/>
            <w:vAlign w:val="bottom"/>
            <w:gridSpan w:val="2"/>
          </w:tcPr>
          <w:p>
            <w:pPr>
              <w:ind w:left="140"/>
              <w:spacing w:after="0"/>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4"/>
                <w:szCs w:val="14"/>
                <w:color w:val="auto"/>
              </w:rPr>
            </w:pPr>
          </w:p>
        </w:tc>
        <w:tc>
          <w:tcPr>
            <w:tcW w:w="148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Net Book Value</w:t>
            </w:r>
          </w:p>
        </w:tc>
        <w:tc>
          <w:tcPr>
            <w:tcW w:w="0" w:type="dxa"/>
            <w:vAlign w:val="bottom"/>
          </w:tcPr>
          <w:p>
            <w:pPr>
              <w:spacing w:after="0"/>
              <w:rPr>
                <w:sz w:val="1"/>
                <w:szCs w:val="1"/>
                <w:color w:val="auto"/>
              </w:rPr>
            </w:pPr>
          </w:p>
        </w:tc>
      </w:tr>
      <w:tr>
        <w:trPr>
          <w:trHeight w:val="189"/>
        </w:trPr>
        <w:tc>
          <w:tcPr>
            <w:tcW w:w="5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gridSpan w:val="2"/>
          </w:tcPr>
          <w:p>
            <w:pPr>
              <w:ind w:left="160"/>
              <w:spacing w:after="0"/>
              <w:rPr>
                <w:sz w:val="20"/>
                <w:szCs w:val="20"/>
                <w:color w:val="auto"/>
              </w:rPr>
            </w:pPr>
            <w:r>
              <w:rPr>
                <w:rFonts w:ascii="Arial" w:cs="Arial" w:eastAsia="Arial" w:hAnsi="Arial"/>
                <w:sz w:val="14"/>
                <w:szCs w:val="14"/>
                <w:b w:val="1"/>
                <w:bCs w:val="1"/>
                <w:color w:val="auto"/>
              </w:rPr>
              <w:t>Amortization</w:t>
            </w:r>
          </w:p>
        </w:tc>
        <w:tc>
          <w:tcPr>
            <w:tcW w:w="22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Developed technology</w:t>
            </w:r>
          </w:p>
        </w:tc>
        <w:tc>
          <w:tcPr>
            <w:tcW w:w="200" w:type="dxa"/>
            <w:vAlign w:val="bottom"/>
            <w:tcBorders>
              <w:top w:val="single" w:sz="8" w:color="auto"/>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5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3,590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(1,676)</w:t>
            </w: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1,914</w:t>
            </w:r>
          </w:p>
        </w:tc>
        <w:tc>
          <w:tcPr>
            <w:tcW w:w="0" w:type="dxa"/>
            <w:vAlign w:val="bottom"/>
          </w:tcPr>
          <w:p>
            <w:pPr>
              <w:spacing w:after="0"/>
              <w:rPr>
                <w:sz w:val="1"/>
                <w:szCs w:val="1"/>
                <w:color w:val="auto"/>
              </w:rPr>
            </w:pPr>
          </w:p>
        </w:tc>
      </w:tr>
      <w:tr>
        <w:trPr>
          <w:trHeight w:val="208"/>
        </w:trPr>
        <w:tc>
          <w:tcPr>
            <w:tcW w:w="5940" w:type="dxa"/>
            <w:vAlign w:val="bottom"/>
          </w:tcPr>
          <w:p>
            <w:pPr>
              <w:ind w:left="20"/>
              <w:spacing w:after="0"/>
              <w:rPr>
                <w:sz w:val="20"/>
                <w:szCs w:val="20"/>
                <w:color w:val="auto"/>
              </w:rPr>
            </w:pPr>
            <w:r>
              <w:rPr>
                <w:rFonts w:ascii="Arial" w:cs="Arial" w:eastAsia="Arial" w:hAnsi="Arial"/>
                <w:sz w:val="14"/>
                <w:szCs w:val="14"/>
                <w:color w:val="auto"/>
              </w:rPr>
              <w:t>Customer relationships</w:t>
            </w:r>
          </w:p>
        </w:tc>
        <w:tc>
          <w:tcPr>
            <w:tcW w:w="2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1,830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(687)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1,143</w:t>
            </w:r>
          </w:p>
        </w:tc>
        <w:tc>
          <w:tcPr>
            <w:tcW w:w="0" w:type="dxa"/>
            <w:vAlign w:val="bottom"/>
          </w:tcPr>
          <w:p>
            <w:pPr>
              <w:spacing w:after="0"/>
              <w:rPr>
                <w:sz w:val="1"/>
                <w:szCs w:val="1"/>
                <w:color w:val="auto"/>
              </w:rPr>
            </w:pPr>
          </w:p>
        </w:tc>
      </w:tr>
      <w:tr>
        <w:trPr>
          <w:trHeight w:val="22"/>
        </w:trPr>
        <w:tc>
          <w:tcPr>
            <w:tcW w:w="5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Trade name and other</w:t>
            </w:r>
          </w:p>
        </w:tc>
        <w:tc>
          <w:tcPr>
            <w:tcW w:w="20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200</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188</w:t>
            </w:r>
          </w:p>
        </w:tc>
        <w:tc>
          <w:tcPr>
            <w:tcW w:w="0" w:type="dxa"/>
            <w:vAlign w:val="bottom"/>
          </w:tcPr>
          <w:p>
            <w:pPr>
              <w:spacing w:after="0"/>
              <w:rPr>
                <w:sz w:val="1"/>
                <w:szCs w:val="1"/>
                <w:color w:val="auto"/>
              </w:rPr>
            </w:pPr>
          </w:p>
        </w:tc>
      </w:tr>
      <w:tr>
        <w:trPr>
          <w:trHeight w:val="196"/>
        </w:trPr>
        <w:tc>
          <w:tcPr>
            <w:tcW w:w="5940" w:type="dxa"/>
            <w:vAlign w:val="bottom"/>
          </w:tcPr>
          <w:p>
            <w:pPr>
              <w:ind w:left="140"/>
              <w:spacing w:after="0"/>
              <w:rPr>
                <w:sz w:val="20"/>
                <w:szCs w:val="20"/>
                <w:color w:val="auto"/>
              </w:rPr>
            </w:pPr>
            <w:r>
              <w:rPr>
                <w:rFonts w:ascii="Arial" w:cs="Arial" w:eastAsia="Arial" w:hAnsi="Arial"/>
                <w:sz w:val="14"/>
                <w:szCs w:val="14"/>
                <w:color w:val="auto"/>
              </w:rPr>
              <w:t>Total intangibles</w:t>
            </w: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5,620</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(2,375)</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3,245</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net consisted of the following as of December 31, 2023 (in thousands):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Gross Fair Value</w:t>
            </w:r>
          </w:p>
        </w:tc>
        <w:tc>
          <w:tcPr>
            <w:tcW w:w="260" w:type="dxa"/>
            <w:vAlign w:val="bottom"/>
          </w:tcPr>
          <w:p>
            <w:pPr>
              <w:spacing w:after="0"/>
              <w:rPr>
                <w:sz w:val="14"/>
                <w:szCs w:val="14"/>
                <w:color w:val="auto"/>
              </w:rPr>
            </w:pPr>
          </w:p>
        </w:tc>
        <w:tc>
          <w:tcPr>
            <w:tcW w:w="1540" w:type="dxa"/>
            <w:vAlign w:val="bottom"/>
            <w:gridSpan w:val="2"/>
          </w:tcPr>
          <w:p>
            <w:pPr>
              <w:ind w:left="140"/>
              <w:spacing w:after="0"/>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4"/>
                <w:szCs w:val="14"/>
                <w:color w:val="auto"/>
              </w:rPr>
            </w:pPr>
          </w:p>
        </w:tc>
        <w:tc>
          <w:tcPr>
            <w:tcW w:w="148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Net Book Value</w:t>
            </w:r>
          </w:p>
        </w:tc>
        <w:tc>
          <w:tcPr>
            <w:tcW w:w="0" w:type="dxa"/>
            <w:vAlign w:val="bottom"/>
          </w:tcPr>
          <w:p>
            <w:pPr>
              <w:spacing w:after="0"/>
              <w:rPr>
                <w:sz w:val="1"/>
                <w:szCs w:val="1"/>
                <w:color w:val="auto"/>
              </w:rPr>
            </w:pPr>
          </w:p>
        </w:tc>
      </w:tr>
      <w:tr>
        <w:trPr>
          <w:trHeight w:val="185"/>
        </w:trPr>
        <w:tc>
          <w:tcPr>
            <w:tcW w:w="5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gridSpan w:val="2"/>
          </w:tcPr>
          <w:p>
            <w:pPr>
              <w:ind w:left="160"/>
              <w:spacing w:after="0"/>
              <w:rPr>
                <w:sz w:val="20"/>
                <w:szCs w:val="20"/>
                <w:color w:val="auto"/>
              </w:rPr>
            </w:pPr>
            <w:r>
              <w:rPr>
                <w:rFonts w:ascii="Arial" w:cs="Arial" w:eastAsia="Arial" w:hAnsi="Arial"/>
                <w:sz w:val="14"/>
                <w:szCs w:val="14"/>
                <w:b w:val="1"/>
                <w:bCs w:val="1"/>
                <w:color w:val="auto"/>
              </w:rPr>
              <w:t>Amortization</w:t>
            </w:r>
          </w:p>
        </w:tc>
        <w:tc>
          <w:tcPr>
            <w:tcW w:w="22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Developed technology</w:t>
            </w:r>
          </w:p>
        </w:tc>
        <w:tc>
          <w:tcPr>
            <w:tcW w:w="200" w:type="dxa"/>
            <w:vAlign w:val="bottom"/>
            <w:tcBorders>
              <w:top w:val="single" w:sz="8" w:color="auto"/>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5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3,090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(1,247)</w:t>
            </w: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1,843</w:t>
            </w:r>
          </w:p>
        </w:tc>
        <w:tc>
          <w:tcPr>
            <w:tcW w:w="0" w:type="dxa"/>
            <w:vAlign w:val="bottom"/>
          </w:tcPr>
          <w:p>
            <w:pPr>
              <w:spacing w:after="0"/>
              <w:rPr>
                <w:sz w:val="1"/>
                <w:szCs w:val="1"/>
                <w:color w:val="auto"/>
              </w:rPr>
            </w:pPr>
          </w:p>
        </w:tc>
      </w:tr>
      <w:tr>
        <w:trPr>
          <w:trHeight w:val="208"/>
        </w:trPr>
        <w:tc>
          <w:tcPr>
            <w:tcW w:w="5940" w:type="dxa"/>
            <w:vAlign w:val="bottom"/>
          </w:tcPr>
          <w:p>
            <w:pPr>
              <w:ind w:left="20"/>
              <w:spacing w:after="0"/>
              <w:rPr>
                <w:sz w:val="20"/>
                <w:szCs w:val="20"/>
                <w:color w:val="auto"/>
              </w:rPr>
            </w:pPr>
            <w:r>
              <w:rPr>
                <w:rFonts w:ascii="Arial" w:cs="Arial" w:eastAsia="Arial" w:hAnsi="Arial"/>
                <w:sz w:val="14"/>
                <w:szCs w:val="14"/>
                <w:color w:val="auto"/>
              </w:rPr>
              <w:t>Customer relationships</w:t>
            </w:r>
          </w:p>
        </w:tc>
        <w:tc>
          <w:tcPr>
            <w:tcW w:w="2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1,830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(515)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1,315</w:t>
            </w:r>
          </w:p>
        </w:tc>
        <w:tc>
          <w:tcPr>
            <w:tcW w:w="0" w:type="dxa"/>
            <w:vAlign w:val="bottom"/>
          </w:tcPr>
          <w:p>
            <w:pPr>
              <w:spacing w:after="0"/>
              <w:rPr>
                <w:sz w:val="1"/>
                <w:szCs w:val="1"/>
                <w:color w:val="auto"/>
              </w:rPr>
            </w:pPr>
          </w:p>
        </w:tc>
      </w:tr>
      <w:tr>
        <w:trPr>
          <w:trHeight w:val="22"/>
        </w:trPr>
        <w:tc>
          <w:tcPr>
            <w:tcW w:w="5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IPR&amp;D</w:t>
            </w:r>
          </w:p>
        </w:tc>
        <w:tc>
          <w:tcPr>
            <w:tcW w:w="20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500</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CCEEFF"/>
            </w:tcBorders>
            <w:gridSpan w:val="2"/>
            <w:shd w:val="clear" w:color="auto" w:fill="CCEEFF"/>
          </w:tcPr>
          <w:p>
            <w:pPr>
              <w:ind w:left="124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208"/>
        </w:trPr>
        <w:tc>
          <w:tcPr>
            <w:tcW w:w="5940" w:type="dxa"/>
            <w:vAlign w:val="bottom"/>
          </w:tcPr>
          <w:p>
            <w:pPr>
              <w:ind w:left="20"/>
              <w:spacing w:after="0"/>
              <w:rPr>
                <w:sz w:val="20"/>
                <w:szCs w:val="20"/>
                <w:color w:val="auto"/>
              </w:rPr>
            </w:pPr>
            <w:r>
              <w:rPr>
                <w:rFonts w:ascii="Arial" w:cs="Arial" w:eastAsia="Arial" w:hAnsi="Arial"/>
                <w:sz w:val="14"/>
                <w:szCs w:val="14"/>
                <w:color w:val="auto"/>
              </w:rPr>
              <w:t>Trade name and other</w:t>
            </w:r>
          </w:p>
        </w:tc>
        <w:tc>
          <w:tcPr>
            <w:tcW w:w="2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200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gridSpan w:val="2"/>
          </w:tcPr>
          <w:p>
            <w:pPr>
              <w:ind w:left="1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200</w:t>
            </w:r>
          </w:p>
        </w:tc>
        <w:tc>
          <w:tcPr>
            <w:tcW w:w="0" w:type="dxa"/>
            <w:vAlign w:val="bottom"/>
          </w:tcPr>
          <w:p>
            <w:pPr>
              <w:spacing w:after="0"/>
              <w:rPr>
                <w:sz w:val="1"/>
                <w:szCs w:val="1"/>
                <w:color w:val="auto"/>
              </w:rPr>
            </w:pPr>
          </w:p>
        </w:tc>
      </w:tr>
      <w:tr>
        <w:trPr>
          <w:trHeight w:val="22"/>
        </w:trPr>
        <w:tc>
          <w:tcPr>
            <w:tcW w:w="59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1"/>
        </w:trPr>
        <w:tc>
          <w:tcPr>
            <w:tcW w:w="59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Total intangibles</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5,620</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(1,762)</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3,858</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July 2024, the Company completed an IPR&amp;D project that resulted in the reclassification of $0.5 million from IPR&amp;D to developed technology. Amortization expense of intangible assets was $0.2 million for both the three months ended September 30, 2024 and 2023, and $0.6 million for both the nine months ended September 30, 2024 and 2023.</w:t>
      </w:r>
    </w:p>
    <w:p>
      <w:pPr>
        <w:sectPr>
          <w:pgSz w:w="11900" w:h="16838" w:orient="portrait"/>
          <w:cols w:equalWidth="0" w:num="1">
            <w:col w:w="11240"/>
          </w:cols>
          <w:pgMar w:left="320" w:top="136" w:right="33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type w:val="continuous"/>
        </w:sectPr>
      </w:pPr>
    </w:p>
    <w:bookmarkStart w:id="15" w:name="page16"/>
    <w:bookmarkEnd w:id="15"/>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The expected future amortization expense of these intangible assets as of September 30, 2024 is as follows (in thousands):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9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Fiscal year ending December 31,</w:t>
            </w:r>
          </w:p>
        </w:tc>
        <w:tc>
          <w:tcPr>
            <w:tcW w:w="48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jc w:val="right"/>
              <w:ind w:right="788"/>
              <w:spacing w:after="0"/>
              <w:rPr>
                <w:sz w:val="20"/>
                <w:szCs w:val="20"/>
                <w:color w:val="auto"/>
              </w:rPr>
            </w:pPr>
            <w:r>
              <w:rPr>
                <w:rFonts w:ascii="Arial" w:cs="Arial" w:eastAsia="Arial" w:hAnsi="Arial"/>
                <w:sz w:val="14"/>
                <w:szCs w:val="14"/>
                <w:b w:val="1"/>
                <w:bCs w:val="1"/>
                <w:color w:val="auto"/>
              </w:rPr>
              <w:t>Amount</w:t>
            </w:r>
          </w:p>
        </w:tc>
      </w:tr>
      <w:tr>
        <w:trPr>
          <w:trHeight w:val="197"/>
        </w:trPr>
        <w:tc>
          <w:tcPr>
            <w:tcW w:w="8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Remainder of 2024</w:t>
            </w: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221</w:t>
            </w:r>
          </w:p>
        </w:tc>
      </w:tr>
      <w:tr>
        <w:trPr>
          <w:trHeight w:val="198"/>
        </w:trPr>
        <w:tc>
          <w:tcPr>
            <w:tcW w:w="8980" w:type="dxa"/>
            <w:vAlign w:val="bottom"/>
          </w:tcPr>
          <w:p>
            <w:pPr>
              <w:ind w:left="20"/>
              <w:spacing w:after="0"/>
              <w:rPr>
                <w:sz w:val="20"/>
                <w:szCs w:val="20"/>
                <w:color w:val="auto"/>
              </w:rPr>
            </w:pPr>
            <w:r>
              <w:rPr>
                <w:rFonts w:ascii="Arial" w:cs="Arial" w:eastAsia="Arial" w:hAnsi="Arial"/>
                <w:sz w:val="14"/>
                <w:szCs w:val="14"/>
                <w:color w:val="auto"/>
              </w:rPr>
              <w:t>2025</w:t>
            </w:r>
          </w:p>
        </w:tc>
        <w:tc>
          <w:tcPr>
            <w:tcW w:w="48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Arial" w:cs="Arial" w:eastAsia="Arial" w:hAnsi="Arial"/>
                <w:sz w:val="14"/>
                <w:szCs w:val="14"/>
                <w:color w:val="auto"/>
              </w:rPr>
              <w:t>856</w:t>
            </w:r>
          </w:p>
        </w:tc>
      </w:tr>
      <w:tr>
        <w:trPr>
          <w:trHeight w:val="207"/>
        </w:trPr>
        <w:tc>
          <w:tcPr>
            <w:tcW w:w="8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2026</w:t>
            </w:r>
          </w:p>
        </w:tc>
        <w:tc>
          <w:tcPr>
            <w:tcW w:w="480" w:type="dxa"/>
            <w:vAlign w:val="bottom"/>
            <w:shd w:val="clear" w:color="auto" w:fill="CCEEFF"/>
          </w:tcPr>
          <w:p>
            <w:pPr>
              <w:spacing w:after="0"/>
              <w:rPr>
                <w:sz w:val="17"/>
                <w:szCs w:val="17"/>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544</w:t>
            </w:r>
          </w:p>
        </w:tc>
      </w:tr>
      <w:tr>
        <w:trPr>
          <w:trHeight w:val="198"/>
        </w:trPr>
        <w:tc>
          <w:tcPr>
            <w:tcW w:w="8980" w:type="dxa"/>
            <w:vAlign w:val="bottom"/>
          </w:tcPr>
          <w:p>
            <w:pPr>
              <w:ind w:left="20"/>
              <w:spacing w:after="0"/>
              <w:rPr>
                <w:sz w:val="20"/>
                <w:szCs w:val="20"/>
                <w:color w:val="auto"/>
              </w:rPr>
            </w:pPr>
            <w:r>
              <w:rPr>
                <w:rFonts w:ascii="Arial" w:cs="Arial" w:eastAsia="Arial" w:hAnsi="Arial"/>
                <w:sz w:val="14"/>
                <w:szCs w:val="14"/>
                <w:color w:val="auto"/>
              </w:rPr>
              <w:t>2027</w:t>
            </w:r>
          </w:p>
        </w:tc>
        <w:tc>
          <w:tcPr>
            <w:tcW w:w="48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Arial" w:cs="Arial" w:eastAsia="Arial" w:hAnsi="Arial"/>
                <w:sz w:val="14"/>
                <w:szCs w:val="14"/>
                <w:color w:val="auto"/>
              </w:rPr>
              <w:t>527</w:t>
            </w:r>
          </w:p>
        </w:tc>
      </w:tr>
      <w:tr>
        <w:trPr>
          <w:trHeight w:val="207"/>
        </w:trPr>
        <w:tc>
          <w:tcPr>
            <w:tcW w:w="8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2028</w:t>
            </w:r>
          </w:p>
        </w:tc>
        <w:tc>
          <w:tcPr>
            <w:tcW w:w="480" w:type="dxa"/>
            <w:vAlign w:val="bottom"/>
            <w:shd w:val="clear" w:color="auto" w:fill="CCEEFF"/>
          </w:tcPr>
          <w:p>
            <w:pPr>
              <w:spacing w:after="0"/>
              <w:rPr>
                <w:sz w:val="17"/>
                <w:szCs w:val="17"/>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516</w:t>
            </w:r>
          </w:p>
        </w:tc>
      </w:tr>
      <w:tr>
        <w:trPr>
          <w:trHeight w:val="198"/>
        </w:trPr>
        <w:tc>
          <w:tcPr>
            <w:tcW w:w="89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Thereafter</w:t>
            </w:r>
          </w:p>
        </w:tc>
        <w:tc>
          <w:tcPr>
            <w:tcW w:w="48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431</w:t>
            </w:r>
          </w:p>
        </w:tc>
      </w:tr>
      <w:tr>
        <w:trPr>
          <w:trHeight w:val="225"/>
        </w:trPr>
        <w:tc>
          <w:tcPr>
            <w:tcW w:w="89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Total future amortization expense</w:t>
            </w:r>
          </w:p>
        </w:tc>
        <w:tc>
          <w:tcPr>
            <w:tcW w:w="48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3,095</w:t>
            </w:r>
          </w:p>
        </w:tc>
      </w:tr>
      <w:tr>
        <w:trPr>
          <w:trHeight w:val="20"/>
        </w:trPr>
        <w:tc>
          <w:tcPr>
            <w:tcW w:w="89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As of both September 30, 2024 and December 31, 2023, goodwill was $4.2 million. No goodwill impairments were recorded during the three and nine months ended September 30, 2024 and 2023.</w:t>
      </w:r>
    </w:p>
    <w:p>
      <w:pPr>
        <w:spacing w:after="0" w:line="153" w:lineRule="exact"/>
        <w:rPr>
          <w:sz w:val="20"/>
          <w:szCs w:val="20"/>
          <w:color w:val="auto"/>
        </w:rPr>
      </w:pPr>
    </w:p>
    <w:p>
      <w:pPr>
        <w:ind w:left="360" w:hanging="352"/>
        <w:spacing w:after="0"/>
        <w:tabs>
          <w:tab w:leader="none" w:pos="3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leases its offices at various locations under noncancelable operating lease agreements expiring at various dates through 2032. Under the terms of these agreements, the Company also bears the costs for certain insurance, property tax, and maintenance. The terms of certain lease agreements provide for increasing rental payments at fixed intervals.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Total operating lease related costs were as follows (in thousands):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960" w:type="dxa"/>
            <w:vAlign w:val="bottom"/>
            <w:gridSpan w:val="3"/>
          </w:tcPr>
          <w:p>
            <w:pPr>
              <w:jc w:val="right"/>
              <w:ind w:right="468"/>
              <w:spacing w:after="0"/>
              <w:rPr>
                <w:sz w:val="20"/>
                <w:szCs w:val="20"/>
                <w:color w:val="auto"/>
              </w:rPr>
            </w:pPr>
            <w:r>
              <w:rPr>
                <w:rFonts w:ascii="Arial" w:cs="Arial" w:eastAsia="Arial" w:hAnsi="Arial"/>
                <w:sz w:val="14"/>
                <w:szCs w:val="14"/>
                <w:b w:val="1"/>
                <w:bCs w:val="1"/>
                <w:color w:val="auto"/>
              </w:rPr>
              <w:t>Three Months Ended</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2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1040" w:type="dxa"/>
            <w:vAlign w:val="bottom"/>
          </w:tcPr>
          <w:p>
            <w:pPr>
              <w:spacing w:after="0"/>
              <w:rPr>
                <w:sz w:val="14"/>
                <w:szCs w:val="14"/>
                <w:color w:val="auto"/>
              </w:rPr>
            </w:pPr>
          </w:p>
        </w:tc>
      </w:tr>
      <w:tr>
        <w:trPr>
          <w:trHeight w:val="189"/>
        </w:trPr>
        <w:tc>
          <w:tcPr>
            <w:tcW w:w="418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jc w:val="right"/>
              <w:ind w:right="688"/>
              <w:spacing w:after="0"/>
              <w:rPr>
                <w:sz w:val="20"/>
                <w:szCs w:val="20"/>
                <w:color w:val="auto"/>
              </w:rPr>
            </w:pPr>
            <w:r>
              <w:rPr>
                <w:rFonts w:ascii="Arial" w:cs="Arial" w:eastAsia="Arial" w:hAnsi="Arial"/>
                <w:sz w:val="14"/>
                <w:szCs w:val="14"/>
                <w:b w:val="1"/>
                <w:bCs w:val="1"/>
                <w:color w:val="auto"/>
              </w:rPr>
              <w:t>September 30,</w:t>
            </w: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148"/>
              <w:spacing w:after="0"/>
              <w:rPr>
                <w:sz w:val="20"/>
                <w:szCs w:val="20"/>
                <w:color w:val="auto"/>
              </w:rPr>
            </w:pPr>
            <w:r>
              <w:rPr>
                <w:rFonts w:ascii="Arial" w:cs="Arial" w:eastAsia="Arial" w:hAnsi="Arial"/>
                <w:sz w:val="14"/>
                <w:szCs w:val="14"/>
                <w:b w:val="1"/>
                <w:bCs w:val="1"/>
                <w:color w:val="auto"/>
              </w:rPr>
              <w:t>September 30,</w:t>
            </w:r>
          </w:p>
        </w:tc>
        <w:tc>
          <w:tcPr>
            <w:tcW w:w="1040" w:type="dxa"/>
            <w:vAlign w:val="bottom"/>
            <w:tcBorders>
              <w:bottom w:val="single" w:sz="8" w:color="auto"/>
            </w:tcBorders>
          </w:tcPr>
          <w:p>
            <w:pPr>
              <w:spacing w:after="0"/>
              <w:rPr>
                <w:sz w:val="16"/>
                <w:szCs w:val="16"/>
                <w:color w:val="auto"/>
              </w:rPr>
            </w:pPr>
          </w:p>
        </w:tc>
      </w:tr>
      <w:tr>
        <w:trPr>
          <w:trHeight w:val="195"/>
        </w:trPr>
        <w:tc>
          <w:tcPr>
            <w:tcW w:w="418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2023</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2023</w:t>
            </w:r>
          </w:p>
        </w:tc>
      </w:tr>
      <w:tr>
        <w:trPr>
          <w:trHeight w:val="197"/>
        </w:trPr>
        <w:tc>
          <w:tcPr>
            <w:tcW w:w="4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lease cost</w:t>
            </w:r>
          </w:p>
        </w:tc>
        <w:tc>
          <w:tcPr>
            <w:tcW w:w="1020" w:type="dxa"/>
            <w:vAlign w:val="bottom"/>
            <w:shd w:val="clear" w:color="auto" w:fill="CCEEFF"/>
          </w:tcPr>
          <w:p>
            <w:pPr>
              <w:jc w:val="right"/>
              <w:ind w:right="84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319</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1028"/>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288</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86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965</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48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841</w:t>
            </w:r>
          </w:p>
        </w:tc>
      </w:tr>
      <w:tr>
        <w:trPr>
          <w:trHeight w:val="198"/>
        </w:trPr>
        <w:tc>
          <w:tcPr>
            <w:tcW w:w="41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Short-term lease cost</w:t>
            </w:r>
          </w:p>
        </w:tc>
        <w:tc>
          <w:tcPr>
            <w:tcW w:w="10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w:t>
            </w:r>
          </w:p>
        </w:tc>
        <w:tc>
          <w:tcPr>
            <w:tcW w:w="10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w:t>
            </w:r>
          </w:p>
        </w:tc>
        <w:tc>
          <w:tcPr>
            <w:tcW w:w="10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w:t>
            </w:r>
          </w:p>
        </w:tc>
        <w:tc>
          <w:tcPr>
            <w:tcW w:w="10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147</w:t>
            </w:r>
          </w:p>
        </w:tc>
      </w:tr>
      <w:tr>
        <w:trPr>
          <w:trHeight w:val="221"/>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lease cost</w:t>
            </w:r>
          </w:p>
        </w:tc>
        <w:tc>
          <w:tcPr>
            <w:tcW w:w="1020" w:type="dxa"/>
            <w:vAlign w:val="bottom"/>
            <w:tcBorders>
              <w:bottom w:val="single" w:sz="8" w:color="auto"/>
            </w:tcBorders>
            <w:shd w:val="clear" w:color="auto" w:fill="CCEEFF"/>
          </w:tcPr>
          <w:p>
            <w:pPr>
              <w:jc w:val="right"/>
              <w:ind w:right="84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344</w:t>
            </w:r>
          </w:p>
        </w:tc>
        <w:tc>
          <w:tcPr>
            <w:tcW w:w="10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028"/>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320</w:t>
            </w:r>
          </w:p>
        </w:tc>
        <w:tc>
          <w:tcPr>
            <w:tcW w:w="1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86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1,003</w:t>
            </w:r>
          </w:p>
        </w:tc>
        <w:tc>
          <w:tcPr>
            <w:tcW w:w="1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48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988</w:t>
            </w: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weighted-average remaining term of the Company’s operating leases was 4.1 years and 4.8 years as of September 30, 2024 and December 31, 2023, respectively, and the weighted-average discount rate used to measure the present value of the operating lease liabilities was 10.0% as of both September 30, 2024 and December 31, 2023. Cash payments made related to operating lease liabilities were $0.3 million for both the three months ended September 30, 2024 and 2023, and $0.8 million for both the nine months ended September 30, 2024 and 2023.</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Maturities of operating lease liabilities as of September 30, 2024 were as follows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5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Fiscal year ending December 31,</w:t>
            </w:r>
          </w:p>
        </w:tc>
        <w:tc>
          <w:tcPr>
            <w:tcW w:w="3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Amount</w:t>
            </w:r>
          </w:p>
        </w:tc>
      </w:tr>
      <w:tr>
        <w:trPr>
          <w:trHeight w:val="197"/>
        </w:trPr>
        <w:tc>
          <w:tcPr>
            <w:tcW w:w="9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Remainder of 2024</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333</w:t>
            </w:r>
          </w:p>
        </w:tc>
      </w:tr>
      <w:tr>
        <w:trPr>
          <w:trHeight w:val="198"/>
        </w:trPr>
        <w:tc>
          <w:tcPr>
            <w:tcW w:w="9540" w:type="dxa"/>
            <w:vAlign w:val="bottom"/>
          </w:tcPr>
          <w:p>
            <w:pPr>
              <w:ind w:left="20"/>
              <w:spacing w:after="0"/>
              <w:rPr>
                <w:sz w:val="20"/>
                <w:szCs w:val="20"/>
                <w:color w:val="auto"/>
              </w:rPr>
            </w:pPr>
            <w:r>
              <w:rPr>
                <w:rFonts w:ascii="Arial" w:cs="Arial" w:eastAsia="Arial" w:hAnsi="Arial"/>
                <w:sz w:val="14"/>
                <w:szCs w:val="14"/>
                <w:color w:val="auto"/>
              </w:rPr>
              <w:t>2025</w:t>
            </w:r>
          </w:p>
        </w:tc>
        <w:tc>
          <w:tcPr>
            <w:tcW w:w="3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1,296</w:t>
            </w:r>
          </w:p>
        </w:tc>
      </w:tr>
      <w:tr>
        <w:trPr>
          <w:trHeight w:val="207"/>
        </w:trPr>
        <w:tc>
          <w:tcPr>
            <w:tcW w:w="9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2026</w:t>
            </w:r>
          </w:p>
        </w:tc>
        <w:tc>
          <w:tcPr>
            <w:tcW w:w="34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1,254</w:t>
            </w:r>
          </w:p>
        </w:tc>
      </w:tr>
      <w:tr>
        <w:trPr>
          <w:trHeight w:val="198"/>
        </w:trPr>
        <w:tc>
          <w:tcPr>
            <w:tcW w:w="9540" w:type="dxa"/>
            <w:vAlign w:val="bottom"/>
          </w:tcPr>
          <w:p>
            <w:pPr>
              <w:ind w:left="20"/>
              <w:spacing w:after="0"/>
              <w:rPr>
                <w:sz w:val="20"/>
                <w:szCs w:val="20"/>
                <w:color w:val="auto"/>
              </w:rPr>
            </w:pPr>
            <w:r>
              <w:rPr>
                <w:rFonts w:ascii="Arial" w:cs="Arial" w:eastAsia="Arial" w:hAnsi="Arial"/>
                <w:sz w:val="14"/>
                <w:szCs w:val="14"/>
                <w:color w:val="auto"/>
              </w:rPr>
              <w:t>2027</w:t>
            </w:r>
          </w:p>
        </w:tc>
        <w:tc>
          <w:tcPr>
            <w:tcW w:w="3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1,245</w:t>
            </w:r>
          </w:p>
        </w:tc>
      </w:tr>
      <w:tr>
        <w:trPr>
          <w:trHeight w:val="207"/>
        </w:trPr>
        <w:tc>
          <w:tcPr>
            <w:tcW w:w="9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2028</w:t>
            </w:r>
          </w:p>
        </w:tc>
        <w:tc>
          <w:tcPr>
            <w:tcW w:w="34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839</w:t>
            </w:r>
          </w:p>
        </w:tc>
      </w:tr>
      <w:tr>
        <w:trPr>
          <w:trHeight w:val="198"/>
        </w:trPr>
        <w:tc>
          <w:tcPr>
            <w:tcW w:w="95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Thereafter</w:t>
            </w:r>
          </w:p>
        </w:tc>
        <w:tc>
          <w:tcPr>
            <w:tcW w:w="3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260</w:t>
            </w:r>
          </w:p>
        </w:tc>
      </w:tr>
      <w:tr>
        <w:trPr>
          <w:trHeight w:val="200"/>
        </w:trPr>
        <w:tc>
          <w:tcPr>
            <w:tcW w:w="9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undiscounted cash flows</w:t>
            </w:r>
          </w:p>
        </w:tc>
        <w:tc>
          <w:tcPr>
            <w:tcW w:w="34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5,227</w:t>
            </w:r>
          </w:p>
        </w:tc>
      </w:tr>
      <w:tr>
        <w:trPr>
          <w:trHeight w:val="198"/>
        </w:trPr>
        <w:tc>
          <w:tcPr>
            <w:tcW w:w="95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imputed interest</w:t>
            </w:r>
          </w:p>
        </w:tc>
        <w:tc>
          <w:tcPr>
            <w:tcW w:w="3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(947)</w:t>
            </w:r>
          </w:p>
        </w:tc>
      </w:tr>
      <w:tr>
        <w:trPr>
          <w:trHeight w:val="221"/>
        </w:trPr>
        <w:tc>
          <w:tcPr>
            <w:tcW w:w="95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Present value of lease liabilities</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4,280</w:t>
            </w:r>
          </w:p>
        </w:tc>
      </w:tr>
      <w:tr>
        <w:trPr>
          <w:trHeight w:val="20"/>
        </w:trPr>
        <w:tc>
          <w:tcPr>
            <w:tcW w:w="95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167"/>
        </w:trPr>
        <w:tc>
          <w:tcPr>
            <w:tcW w:w="9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203"/>
        </w:trPr>
        <w:tc>
          <w:tcPr>
            <w:tcW w:w="9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lease liabilities, current</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948</w:t>
            </w:r>
          </w:p>
        </w:tc>
      </w:tr>
      <w:tr>
        <w:trPr>
          <w:trHeight w:val="199"/>
        </w:trPr>
        <w:tc>
          <w:tcPr>
            <w:tcW w:w="95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Operating lease liabilities, noncurrent</w:t>
            </w:r>
          </w:p>
        </w:tc>
        <w:tc>
          <w:tcPr>
            <w:tcW w:w="3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3,332</w:t>
            </w:r>
          </w:p>
        </w:tc>
      </w:tr>
      <w:tr>
        <w:trPr>
          <w:trHeight w:val="221"/>
        </w:trPr>
        <w:tc>
          <w:tcPr>
            <w:tcW w:w="95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Total lease liabilities</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4,280</w:t>
            </w:r>
          </w:p>
        </w:tc>
      </w:tr>
      <w:tr>
        <w:trPr>
          <w:trHeight w:val="20"/>
        </w:trPr>
        <w:tc>
          <w:tcPr>
            <w:tcW w:w="95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16" w:name="page17"/>
    <w:bookmarkEnd w:id="16"/>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360" w:hanging="352"/>
        <w:spacing w:after="0"/>
        <w:tabs>
          <w:tab w:leader="none" w:pos="3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BORROWINGS</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color w:val="auto"/>
        </w:rPr>
        <w:t>Vendor financing arrangements</w:t>
      </w:r>
      <w:r>
        <w:rPr>
          <w:rFonts w:ascii="Arial" w:cs="Arial" w:eastAsia="Arial" w:hAnsi="Arial"/>
          <w:sz w:val="18"/>
          <w:szCs w:val="18"/>
          <w:color w:val="auto"/>
        </w:rPr>
        <w:t>—The Company has various vendor financing arrangements with extended payment terms on the</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 of software licenses and equipment. In order to determine the present value of the commitments, the Company used an imputed interest rate of 10.0%, which is an estimate based on the Company’s collateralized borrowing rate.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Expected cash flows related to vendor financing arrangements as of September 30, 2024 were as follows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5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Fiscal year ending December 31,</w:t>
            </w:r>
          </w:p>
        </w:tc>
        <w:tc>
          <w:tcPr>
            <w:tcW w:w="3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Amount</w:t>
            </w:r>
          </w:p>
        </w:tc>
      </w:tr>
      <w:tr>
        <w:trPr>
          <w:trHeight w:val="197"/>
        </w:trPr>
        <w:tc>
          <w:tcPr>
            <w:tcW w:w="9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Remainder of 2024</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355</w:t>
            </w:r>
          </w:p>
        </w:tc>
      </w:tr>
      <w:tr>
        <w:trPr>
          <w:trHeight w:val="198"/>
        </w:trPr>
        <w:tc>
          <w:tcPr>
            <w:tcW w:w="9540" w:type="dxa"/>
            <w:vAlign w:val="bottom"/>
          </w:tcPr>
          <w:p>
            <w:pPr>
              <w:ind w:left="20"/>
              <w:spacing w:after="0"/>
              <w:rPr>
                <w:sz w:val="20"/>
                <w:szCs w:val="20"/>
                <w:color w:val="auto"/>
              </w:rPr>
            </w:pPr>
            <w:r>
              <w:rPr>
                <w:rFonts w:ascii="Arial" w:cs="Arial" w:eastAsia="Arial" w:hAnsi="Arial"/>
                <w:sz w:val="14"/>
                <w:szCs w:val="14"/>
                <w:color w:val="auto"/>
              </w:rPr>
              <w:t>2025</w:t>
            </w:r>
          </w:p>
        </w:tc>
        <w:tc>
          <w:tcPr>
            <w:tcW w:w="3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1,089</w:t>
            </w:r>
          </w:p>
        </w:tc>
      </w:tr>
      <w:tr>
        <w:trPr>
          <w:trHeight w:val="207"/>
        </w:trPr>
        <w:tc>
          <w:tcPr>
            <w:tcW w:w="9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2026</w:t>
            </w:r>
          </w:p>
        </w:tc>
        <w:tc>
          <w:tcPr>
            <w:tcW w:w="34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545</w:t>
            </w:r>
          </w:p>
        </w:tc>
      </w:tr>
      <w:tr>
        <w:trPr>
          <w:trHeight w:val="192"/>
        </w:trPr>
        <w:tc>
          <w:tcPr>
            <w:tcW w:w="9540" w:type="dxa"/>
            <w:vAlign w:val="bottom"/>
          </w:tcPr>
          <w:p>
            <w:pPr>
              <w:ind w:left="20"/>
              <w:spacing w:after="0"/>
              <w:rPr>
                <w:sz w:val="20"/>
                <w:szCs w:val="20"/>
                <w:color w:val="auto"/>
              </w:rPr>
            </w:pPr>
            <w:r>
              <w:rPr>
                <w:rFonts w:ascii="Arial" w:cs="Arial" w:eastAsia="Arial" w:hAnsi="Arial"/>
                <w:sz w:val="14"/>
                <w:szCs w:val="14"/>
                <w:color w:val="auto"/>
              </w:rPr>
              <w:t>Total undiscounted cash flows</w:t>
            </w:r>
          </w:p>
        </w:tc>
        <w:tc>
          <w:tcPr>
            <w:tcW w:w="3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1,989</w:t>
            </w:r>
          </w:p>
        </w:tc>
      </w:tr>
      <w:tr>
        <w:trPr>
          <w:trHeight w:val="207"/>
        </w:trPr>
        <w:tc>
          <w:tcPr>
            <w:tcW w:w="9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Imputed interest</w:t>
            </w:r>
          </w:p>
        </w:tc>
        <w:tc>
          <w:tcPr>
            <w:tcW w:w="34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(148)</w:t>
            </w:r>
          </w:p>
        </w:tc>
      </w:tr>
      <w:tr>
        <w:trPr>
          <w:trHeight w:val="192"/>
        </w:trPr>
        <w:tc>
          <w:tcPr>
            <w:tcW w:w="9540" w:type="dxa"/>
            <w:vAlign w:val="bottom"/>
          </w:tcPr>
          <w:p>
            <w:pPr>
              <w:ind w:left="20"/>
              <w:spacing w:after="0"/>
              <w:rPr>
                <w:sz w:val="20"/>
                <w:szCs w:val="20"/>
                <w:color w:val="auto"/>
              </w:rPr>
            </w:pPr>
            <w:r>
              <w:rPr>
                <w:rFonts w:ascii="Arial" w:cs="Arial" w:eastAsia="Arial" w:hAnsi="Arial"/>
                <w:sz w:val="14"/>
                <w:szCs w:val="14"/>
                <w:color w:val="auto"/>
              </w:rPr>
              <w:t>Present value of vendor financing arrangements</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1,841</w:t>
            </w:r>
          </w:p>
        </w:tc>
      </w:tr>
      <w:tr>
        <w:trPr>
          <w:trHeight w:val="20"/>
        </w:trPr>
        <w:tc>
          <w:tcPr>
            <w:tcW w:w="95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41"/>
        </w:trPr>
        <w:tc>
          <w:tcPr>
            <w:tcW w:w="95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198"/>
        </w:trPr>
        <w:tc>
          <w:tcPr>
            <w:tcW w:w="9540" w:type="dxa"/>
            <w:vAlign w:val="bottom"/>
          </w:tcPr>
          <w:p>
            <w:pPr>
              <w:ind w:left="20"/>
              <w:spacing w:after="0"/>
              <w:rPr>
                <w:sz w:val="20"/>
                <w:szCs w:val="20"/>
                <w:color w:val="auto"/>
              </w:rPr>
            </w:pPr>
            <w:r>
              <w:rPr>
                <w:rFonts w:ascii="Arial" w:cs="Arial" w:eastAsia="Arial" w:hAnsi="Arial"/>
                <w:sz w:val="14"/>
                <w:szCs w:val="14"/>
                <w:color w:val="auto"/>
              </w:rPr>
              <w:t>Vendor financing arrangements, current</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1,172</w:t>
            </w:r>
          </w:p>
        </w:tc>
      </w:tr>
      <w:tr>
        <w:trPr>
          <w:trHeight w:val="203"/>
        </w:trPr>
        <w:tc>
          <w:tcPr>
            <w:tcW w:w="9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Vendor financing arrangements, noncurrent</w:t>
            </w:r>
          </w:p>
        </w:tc>
        <w:tc>
          <w:tcPr>
            <w:tcW w:w="34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669</w:t>
            </w:r>
          </w:p>
        </w:tc>
      </w:tr>
      <w:tr>
        <w:trPr>
          <w:trHeight w:val="196"/>
        </w:trPr>
        <w:tc>
          <w:tcPr>
            <w:tcW w:w="9540" w:type="dxa"/>
            <w:vAlign w:val="bottom"/>
          </w:tcPr>
          <w:p>
            <w:pPr>
              <w:spacing w:after="0"/>
              <w:rPr>
                <w:sz w:val="17"/>
                <w:szCs w:val="17"/>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1,841</w:t>
            </w:r>
          </w:p>
        </w:tc>
      </w:tr>
      <w:tr>
        <w:trPr>
          <w:trHeight w:val="24"/>
        </w:trPr>
        <w:tc>
          <w:tcPr>
            <w:tcW w:w="95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bl>
    <w:p>
      <w:pPr>
        <w:spacing w:after="0" w:line="76"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Interest expense from vendor financing arrangements was $0.1 million for both the three months ended September 30, 2024 and 2023, and $0.2 million and $0.1 million for the nine months ended September 30, 2024 and 2023, respectively.</w:t>
      </w:r>
    </w:p>
    <w:p>
      <w:pPr>
        <w:spacing w:after="0" w:line="112"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color w:val="auto"/>
        </w:rPr>
        <w:t>Letter of Credit</w:t>
      </w:r>
      <w:r>
        <w:rPr>
          <w:rFonts w:ascii="Arial" w:cs="Arial" w:eastAsia="Arial" w:hAnsi="Arial"/>
          <w:sz w:val="18"/>
          <w:szCs w:val="18"/>
          <w:color w:val="auto"/>
        </w:rPr>
        <w:t>—In conjunction with the execution of the operating lease for the Company’s new headquarter facility, a letter of credit in the</w:t>
      </w:r>
      <w:r>
        <w:rPr>
          <w:rFonts w:ascii="Arial" w:cs="Arial" w:eastAsia="Arial" w:hAnsi="Arial"/>
          <w:sz w:val="18"/>
          <w:szCs w:val="18"/>
          <w:b w:val="1"/>
          <w:bCs w:val="1"/>
          <w:color w:val="auto"/>
        </w:rPr>
        <w:t xml:space="preserve"> </w:t>
      </w:r>
      <w:r>
        <w:rPr>
          <w:rFonts w:ascii="Arial" w:cs="Arial" w:eastAsia="Arial" w:hAnsi="Arial"/>
          <w:sz w:val="18"/>
          <w:szCs w:val="18"/>
          <w:color w:val="auto"/>
        </w:rPr>
        <w:t>amount of $0.4 million was issued and outstanding as of both September 30, 2024 and December 31, 2023. No draws have been made under such letter of credit.</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Indemnifications</w:t>
      </w:r>
      <w:r>
        <w:rPr>
          <w:rFonts w:ascii="Arial" w:cs="Arial" w:eastAsia="Arial" w:hAnsi="Arial"/>
          <w:sz w:val="18"/>
          <w:szCs w:val="18"/>
          <w:color w:val="auto"/>
        </w:rPr>
        <w:t>—The Company often enters into limited indemnification provisions in license agreements in the ordinary course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licensing business. Pursuant to these provisions, which are often inserted into license agreements in the semiconductor IP and software licensing industries, the Company agrees to indemnify, hold harmless, and reimburse the indemnified parties up to a capped amount for losses suffered or incurred by such indemnified parties due to third-party claims if such claims are determined to be caused by the Company. The term of these indemnification provisions is generally either for a term of years or perpetual, in each case beginning on the execution date of the agreement. The Company has also agreed to indemnify under indemnity agreements with its directors and officers, to the extent legally permissible, against liabilities incurred in connection with any action in which such individual may be involved by reason of such individual being or having been a director or officer, other than certain liabilities arising from willful misconduct of the individual.</w:t>
      </w:r>
    </w:p>
    <w:p>
      <w:pPr>
        <w:spacing w:after="0" w:line="13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 has incurred no actual payment obligations from these above-noted indemnification provisions and director and officer indemnity agreements for the three and nine months ended September 30, 2024 and 2023 and the unaudited condensed consolidated financial statements do not include liabilities for any potential indemnity-related obligations as of September 30, 2024 and December 31, 2023.</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w:t>
      </w:r>
      <w:r>
        <w:rPr>
          <w:rFonts w:ascii="Arial" w:cs="Arial" w:eastAsia="Arial" w:hAnsi="Arial"/>
          <w:sz w:val="18"/>
          <w:szCs w:val="18"/>
          <w:color w:val="auto"/>
        </w:rPr>
        <w:t>—The Company has been and will continue to be subject to legal proceedings and claims.</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the normal course of business, the Company may receive inquiries or become involved in legal disputes regarding such litigation matters. The resolution of these matters often develops over time and expectations can change as a result of new findings, rulings, appeals or settlement arrangements. These matters are subject to inherent uncertainties and management’s view of these matters may change in the future. Pursuant to ASC 450, Contingencies, the Company makes a provision for a liability relating to legal matters when it is both probable that a liability has been incurred, and the amount of the loss can be reasonably estimated. These provisions are reviewed at least quarterly and adjusted to reflect the impacts of negotiations, estimated settlements, legal rulings, advice of legal counsel and other information and events pertaining to a particular matter.</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17" w:name="page18"/>
    <w:bookmarkEnd w:id="17"/>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Significant judgement is required in both the determination of probability and determination as to whether a loss is reasonably estimable. Intellectual property claims are inherently unpredictable and may have a material adverse effect on the Company’s financial position, results of operations, or cash flows. Due to the inherent uncertainties and complex technical issues arising from this or any intellectual property litigation, the Company cannot predict or guarantee any result of, and cannot reasonably estimate liability if any, or range of loss that could result from such intellectual property litigation. Future revisions to such estimates could materially impact the Company’s results.</w:t>
      </w:r>
    </w:p>
    <w:p>
      <w:pPr>
        <w:spacing w:after="0" w:line="1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December 2022, the Company received notice of a complaint filed against the Company and another defendant in the semiconductor industry, by Network System Technologies, LLC (NST) in the United States District Court for the Western District of Texas. Additional complaints were filed in the Eastern District of Texas against certain companies, including some customers of the Company, asserting among other things patent infringement seeking damages and injunctive relief. On September 4, 2024, the court in the Western District of Texas dismissed all claims against the Company without prejudice. The court will maintain jurisdiction solely for the purpose of enforcing a discovery order. The Company has not received any new claims involving the Company nor any new customer indemnity claims in connection with the NST litigation. The Company will continue to monitor this matter.</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no material contractual noncancelable commitments as of both September 30, 2024 and December 31, 2023.</w:t>
      </w:r>
    </w:p>
    <w:p>
      <w:pPr>
        <w:spacing w:after="0" w:line="171" w:lineRule="exact"/>
        <w:rPr>
          <w:sz w:val="20"/>
          <w:szCs w:val="20"/>
          <w:color w:val="auto"/>
        </w:rPr>
      </w:pPr>
    </w:p>
    <w:p>
      <w:pPr>
        <w:ind w:left="500" w:hanging="492"/>
        <w:spacing w:after="0"/>
        <w:tabs>
          <w:tab w:leader="none" w:pos="50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Stock-based compensation expense is recorded on a departmental basis, based on the classification of the award holder. The following table presents the amount of stock-based compensation related to stock-based awards to employees on the Company’s unaudited condensed consolidated statements of operations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900" w:type="dxa"/>
            <w:vAlign w:val="bottom"/>
            <w:gridSpan w:val="3"/>
          </w:tcPr>
          <w:p>
            <w:pPr>
              <w:jc w:val="right"/>
              <w:ind w:right="408"/>
              <w:spacing w:after="0"/>
              <w:rPr>
                <w:sz w:val="20"/>
                <w:szCs w:val="20"/>
                <w:color w:val="auto"/>
              </w:rPr>
            </w:pPr>
            <w:r>
              <w:rPr>
                <w:rFonts w:ascii="Arial" w:cs="Arial" w:eastAsia="Arial" w:hAnsi="Arial"/>
                <w:sz w:val="14"/>
                <w:szCs w:val="14"/>
                <w:b w:val="1"/>
                <w:bCs w:val="1"/>
                <w:color w:val="auto"/>
              </w:rPr>
              <w:t>Three Months Ended</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2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1040" w:type="dxa"/>
            <w:vAlign w:val="bottom"/>
          </w:tcPr>
          <w:p>
            <w:pPr>
              <w:spacing w:after="0"/>
              <w:rPr>
                <w:sz w:val="14"/>
                <w:szCs w:val="14"/>
                <w:color w:val="auto"/>
              </w:rPr>
            </w:pPr>
          </w:p>
        </w:tc>
      </w:tr>
      <w:tr>
        <w:trPr>
          <w:trHeight w:val="185"/>
        </w:trPr>
        <w:tc>
          <w:tcPr>
            <w:tcW w:w="418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right"/>
              <w:ind w:right="628"/>
              <w:spacing w:after="0"/>
              <w:rPr>
                <w:sz w:val="20"/>
                <w:szCs w:val="20"/>
                <w:color w:val="auto"/>
              </w:rPr>
            </w:pPr>
            <w:r>
              <w:rPr>
                <w:rFonts w:ascii="Arial" w:cs="Arial" w:eastAsia="Arial" w:hAnsi="Arial"/>
                <w:sz w:val="14"/>
                <w:szCs w:val="14"/>
                <w:b w:val="1"/>
                <w:bCs w:val="1"/>
                <w:color w:val="auto"/>
              </w:rPr>
              <w:t>September 30,</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148"/>
              <w:spacing w:after="0"/>
              <w:rPr>
                <w:sz w:val="20"/>
                <w:szCs w:val="20"/>
                <w:color w:val="auto"/>
              </w:rPr>
            </w:pPr>
            <w:r>
              <w:rPr>
                <w:rFonts w:ascii="Arial" w:cs="Arial" w:eastAsia="Arial" w:hAnsi="Arial"/>
                <w:sz w:val="14"/>
                <w:szCs w:val="14"/>
                <w:b w:val="1"/>
                <w:bCs w:val="1"/>
                <w:color w:val="auto"/>
              </w:rPr>
              <w:t>September 30,</w:t>
            </w:r>
          </w:p>
        </w:tc>
        <w:tc>
          <w:tcPr>
            <w:tcW w:w="1040" w:type="dxa"/>
            <w:vAlign w:val="bottom"/>
            <w:tcBorders>
              <w:bottom w:val="single" w:sz="8" w:color="auto"/>
            </w:tcBorders>
          </w:tcPr>
          <w:p>
            <w:pPr>
              <w:spacing w:after="0"/>
              <w:rPr>
                <w:sz w:val="16"/>
                <w:szCs w:val="16"/>
                <w:color w:val="auto"/>
              </w:rPr>
            </w:pPr>
          </w:p>
        </w:tc>
      </w:tr>
      <w:tr>
        <w:trPr>
          <w:trHeight w:val="195"/>
        </w:trPr>
        <w:tc>
          <w:tcPr>
            <w:tcW w:w="418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2023</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2023</w:t>
            </w:r>
          </w:p>
        </w:tc>
      </w:tr>
      <w:tr>
        <w:trPr>
          <w:trHeight w:val="197"/>
        </w:trPr>
        <w:tc>
          <w:tcPr>
            <w:tcW w:w="4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revenue</w:t>
            </w:r>
          </w:p>
        </w:tc>
        <w:tc>
          <w:tcPr>
            <w:tcW w:w="1020" w:type="dxa"/>
            <w:vAlign w:val="bottom"/>
            <w:shd w:val="clear" w:color="auto" w:fill="CCEEFF"/>
          </w:tcPr>
          <w:p>
            <w:pPr>
              <w:jc w:val="right"/>
              <w:ind w:right="84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221</w:t>
            </w: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968"/>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86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596</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48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386</w:t>
            </w:r>
          </w:p>
        </w:tc>
      </w:tr>
      <w:tr>
        <w:trPr>
          <w:trHeight w:val="198"/>
        </w:trPr>
        <w:tc>
          <w:tcPr>
            <w:tcW w:w="4180" w:type="dxa"/>
            <w:vAlign w:val="bottom"/>
          </w:tcPr>
          <w:p>
            <w:pPr>
              <w:ind w:left="20"/>
              <w:spacing w:after="0"/>
              <w:rPr>
                <w:sz w:val="20"/>
                <w:szCs w:val="20"/>
                <w:color w:val="auto"/>
              </w:rPr>
            </w:pPr>
            <w:r>
              <w:rPr>
                <w:rFonts w:ascii="Arial" w:cs="Arial" w:eastAsia="Arial" w:hAnsi="Arial"/>
                <w:sz w:val="14"/>
                <w:szCs w:val="14"/>
                <w:color w:val="auto"/>
              </w:rPr>
              <w:t>Research and development</w:t>
            </w:r>
          </w:p>
        </w:tc>
        <w:tc>
          <w:tcPr>
            <w:tcW w:w="10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2,154</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1,742</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5,550</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5,656</w:t>
            </w:r>
          </w:p>
        </w:tc>
      </w:tr>
      <w:tr>
        <w:trPr>
          <w:trHeight w:val="207"/>
        </w:trPr>
        <w:tc>
          <w:tcPr>
            <w:tcW w:w="4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Sales and marketing</w:t>
            </w:r>
          </w:p>
        </w:tc>
        <w:tc>
          <w:tcPr>
            <w:tcW w:w="10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850</w:t>
            </w: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666</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2,230</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2,088</w:t>
            </w:r>
          </w:p>
        </w:tc>
      </w:tr>
      <w:tr>
        <w:trPr>
          <w:trHeight w:val="198"/>
        </w:trPr>
        <w:tc>
          <w:tcPr>
            <w:tcW w:w="41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General and administrative</w:t>
            </w:r>
          </w:p>
        </w:tc>
        <w:tc>
          <w:tcPr>
            <w:tcW w:w="10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1,165</w:t>
            </w:r>
          </w:p>
        </w:tc>
        <w:tc>
          <w:tcPr>
            <w:tcW w:w="10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1,125</w:t>
            </w:r>
          </w:p>
        </w:tc>
        <w:tc>
          <w:tcPr>
            <w:tcW w:w="10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3,431</w:t>
            </w:r>
          </w:p>
        </w:tc>
        <w:tc>
          <w:tcPr>
            <w:tcW w:w="10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2,851</w:t>
            </w:r>
          </w:p>
        </w:tc>
      </w:tr>
      <w:tr>
        <w:trPr>
          <w:trHeight w:val="221"/>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stock-based compensation</w:t>
            </w:r>
          </w:p>
        </w:tc>
        <w:tc>
          <w:tcPr>
            <w:tcW w:w="1020" w:type="dxa"/>
            <w:vAlign w:val="bottom"/>
            <w:tcBorders>
              <w:bottom w:val="single" w:sz="8" w:color="auto"/>
            </w:tcBorders>
            <w:shd w:val="clear" w:color="auto" w:fill="CCEEFF"/>
          </w:tcPr>
          <w:p>
            <w:pPr>
              <w:jc w:val="right"/>
              <w:ind w:right="84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4,390</w:t>
            </w:r>
          </w:p>
        </w:tc>
        <w:tc>
          <w:tcPr>
            <w:tcW w:w="1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968"/>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3,714</w:t>
            </w:r>
          </w:p>
        </w:tc>
        <w:tc>
          <w:tcPr>
            <w:tcW w:w="1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86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11,807</w:t>
            </w:r>
          </w:p>
        </w:tc>
        <w:tc>
          <w:tcPr>
            <w:tcW w:w="1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48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10,981</w:t>
            </w: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effective tax rate was (5.2)% and (1.8)% for the nine months ended September 30, 2024 and 2023, respectively. The Company’s income tax provision was $1.3 million and $0.5 million for the nine months ended September 30, 2024 and 2023, respectively. The change in forecasted foreign withholding tax, changes in the geographic mix of worldwide earnings which are taxed at different rates, and the impact of losses in jurisdictions with full valuation allowances, has resulted in an increase in the income tax provision for the period ended September 30, 2024 compared to the period ended September 30, 2023.</w:t>
      </w:r>
    </w:p>
    <w:p>
      <w:pPr>
        <w:spacing w:after="0" w:line="1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Company’s management continuously evaluates the need for a valuation allowance and, as of September 30, 2024, concluded that a full valuation allowance on its federal, state, and certain foreign jurisdictions deferred tax assets was still appropriate.</w:t>
      </w:r>
    </w:p>
    <w:p>
      <w:pPr>
        <w:spacing w:after="0" w:line="9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September 30, 2024 and 2023, the Company’s gross liability for unrecognized tax benefits was $3.5 million and $2.6 million, respectively. The Company’s practice is to recognize interest and/or penalties related to income tax matters in income tax expense. As of September 30, 2024 and 2023, the Company had no accrued interest or penalties related to its unrecognized tax benefits. If any unrecognized tax benefits are realized, it would not result in any income tax benefit as the Company currently has a full valuation allowance against the deferred tax assets in which there is currently an uncertain tax benefit.</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18" w:name="page19"/>
    <w:bookmarkEnd w:id="18"/>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RELATED PARTY TRANSACTIONS</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 defines related parties as directors, executive officers, nominees for director, stockholders that have significant influence over the Company, or are a greater than 10% beneficial owner of the Company’s capital and their affiliates or immediate family members.</w:t>
      </w:r>
    </w:p>
    <w:p>
      <w:pPr>
        <w:spacing w:after="0" w:line="9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November 2020, the Company entered into a lease agreement with Isabelle Geday, a member of the Board of Directors. The lease payments were less than $0.1 million for both the three months ended September 30, 2024 and 2023, and $0.1 million for both the nine months ended September 30, 2024 and 2023. In addition, the Company signed a consulting agreement with Ms. Geday on December 1, 2021, which was subsequently assigned to Magillem Design Services S.A., effective January 10, 2022. Prior to signing the consulting agreement, Ms. Geday was paid as an executive employee of the Company from December 1, 2020 through November 30, 2021. As a consultant, Ms. Geday will provide services for an initial three-year term and is eligible to receive $26,445 per month for the first 12 months of the consulting term and $ 19,445 per month for the remaining 24 months of the consulting term. For both the three and nine months ended September 30, 2024 and 2023, the Company paid Ms. Geday $0.1 million and $0.2 million for consulting services, respectively. Lastly, the 455,000 stock options and 62,200 RSUs granted in connection with Ms. Geday’s prior employment continue to vest. The Company recognized stock-based compensation expense of less than $0.1 million and $0.1 million for the three and nine months ended September 30, 2024 and 2023, respectively, for the stock options and RSUs granted in connection with Ms. Geday’s prior employment.</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19" w:name="page20"/>
    <w:bookmarkEnd w:id="19"/>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5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unaudited condensed consolidated financial statements and related notes included under Part I, Item 1 in this Quarterly Report on Form 10-Q and our audited consolidated financial statements and the related notes and the discussion under the heading “Management’s Discussion and Analysis of Financial Condition and Results of Operations” for the fiscal year ended December 31, 2023 included in the 2023 Form 10-K. This discussion and analysis contains forward-looking statements based upon current beliefs, plans and expectations that involve risks, uncertainties and assumptions, such as statements regarding our plans, objectives, expectations, intentions and projections. Our actual results and the timing of selected events could differ materially from those anticipated in these forward-looking statements as a result of several factors, including those set forth under the heading “Risk Factors” in this Quarterly Report on Form 10-Q. You should carefully read the “Risk Factors” section of this Quarterly Report on Form 10-Q to gain an understanding of the important factors that could cause actual results to differ materially from forward-looking statements. Please also see the section under the heading “Cautionary Note Regarding Forward-Looking Statements” in the 2023 Form 10-K.</w:t>
      </w:r>
    </w:p>
    <w:p>
      <w:pPr>
        <w:spacing w:after="0" w:line="134" w:lineRule="exact"/>
        <w:rPr>
          <w:sz w:val="20"/>
          <w:szCs w:val="20"/>
          <w:color w:val="auto"/>
        </w:rPr>
      </w:pPr>
    </w:p>
    <w:p>
      <w:pPr>
        <w:jc w:val="both"/>
        <w:spacing w:after="0" w:line="269" w:lineRule="auto"/>
        <w:rPr>
          <w:sz w:val="20"/>
          <w:szCs w:val="20"/>
          <w:color w:val="auto"/>
        </w:rPr>
      </w:pPr>
      <w:r>
        <w:rPr>
          <w:rFonts w:ascii="Arial" w:cs="Arial" w:eastAsia="Arial" w:hAnsi="Arial"/>
          <w:sz w:val="18"/>
          <w:szCs w:val="18"/>
          <w:i w:val="1"/>
          <w:iCs w:val="1"/>
          <w:color w:val="auto"/>
        </w:rPr>
        <w:t>Unless the context otherwise requires, all references in this report to “we,” “us,” “our,” the “Company,” and “Arteris” refer to Arteris, Inc. and its subsidiaries.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are a leading provider of semiconductor system IP, including interconnect and other intellectual property, (collectively, System IP) technology. Our System IP technology manages the on-chip communications and IP block deployments in System-on-Chip (SoC) semiconductors and systems of chiplets. Our leading proprietary System IP solutions achieve this by connecting client IP blocks such as processors, memories, artificial intelligence/machine learning (AI/ML) accelerators, graphics subsystems, safety and security, and other input/output subsystems (I/Os) via multiple Network-on-Chips (NoCs) in order for our customers to experience faster SoC targeting, as well as, more efficient, and lower cost solutions. Growth for our solutions is being driven by growing SoC sophistication and associated complexity, now extending into disaggregation of SoCs into systems for which implement the communication protocol aspects and partner with industry leading providers like Synopsys, Cadence, Alphawave and others to connect to their die to die interfaces. The addition of more processors, channels of memory access, machine learning sections, additional I/Os interface standards, and other subsystems within SoCs is driving the need for more advanced System IP, including NoC interconnect IP’s. The growth in the numbers of these connected on-chip subsystems places an increasing premium on the interconnect IP capability to move data inside complex SoCs. We believe this increase in SoC complexity has created a significant opportunity for sophisticated System IP solutions that incorporate NoC interconnect IP, SoC Integration Automation software (SIA) (formerly IP deployment software) and NoC interface IP (consisting of peripheral data transport IP and control plane networks connected to NoC interconnect IPs). Moreover, our technology can also provide more cost-effective solutions and reduce the risks of building and maintaining in-house NoC teams, which we believe has positively contributed to our market segment share growth.</w:t>
      </w:r>
    </w:p>
    <w:p>
      <w:pPr>
        <w:spacing w:after="0" w:line="1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SIA solutions, which were significantly enhanced by our acquisition of Magillem Design Services S.A. (Magillem) in 2020, complement our interconnect IP solutions by helping to automate not only the customer configuration of its NoC interconnect but also the process of integrating and assembling all of the customer’s IP blocks into an SoC. Products incorporating our IP are used to carry most of the important data inside complex SoCs for sophisticated applications, including automotive, enterprise computing, communications, consumer electronics, and industrial markets.</w:t>
      </w:r>
    </w:p>
    <w:p>
      <w:pPr>
        <w:spacing w:after="0" w:line="1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September 30, 2024, we had 258 full-time employees and offices in nine locations in the United States, France, China, South Korea, Japan and Taiwan. As of September 30, 2024, we are taking steps to establish an office in Poland. For the three months ended September 30, 2024, we generated revenue of $14.7 million, net loss of $7.7 million, and net loss per share, basic and diluted of $0.20. As of September 30, 2024, we had Annual Contract Value (as defined below) of $56.4 million. During the three months ended September 30, 2024, we had 14 Confirmed Design Starts (as defined below).</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0" w:name="page21"/>
    <w:bookmarkEnd w:id="20"/>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Business</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believe that the growth of our business and our future success are dependent upon many factors including those described under “Risk Factors” and elsewhere in this report, in addition to those described below. While each of these factors presents significant opportunities for us, these factors also pose challenges that we must successfully address in order to sustain the growth of our business and enhance our results of operations.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Agreements with New and Existing Customers</w:t>
      </w:r>
    </w:p>
    <w:p>
      <w:pPr>
        <w:spacing w:after="0" w:line="16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ability to generate revenue from new license agreements, and the timing of such revenue, is subject to a number of factors, risks and contingencies. For new products, the time from initial development until we generate license revenue can be lengthy, typically between one and three years. In addition, because the selection process by our customers is typically lengthy and market requirements and alternative solutions available to customers for IP-based products change rapidly, we may be required to incur significant research and development expenditures in pursuit of new products over extended, multiyear periods of time with no assurance that our solutions will be successfully developed or ultimately selected by our customers. While we make efforts to observe market demand and market need trends, we cannot be certain that our investment in developing and testing new products will generate an adequate rate of return in the form of fees, royalties or other revenues, or any revenues. Moreover, the customer acquisition process has a typical duration of six to nine months; following this, a customer’s chip design cycle is typically between one to three years and may be delayed due to factors beyond our control, which may result in our customer’s product not reaching the market until long after we entered into a contract with such customer. Customers typically start shipping their products using our interconnect IP solutions between one to five years following completion of their product design, known as mass production, at which point we start to receive royalties; this typically lasts for up to seven years depending on the market segment. Any significant delay in the ramp-up of volume production of the customer’s products into which our product is designed could adversely affect our business due to delayed or significantly reduced revenues. Further, because the average selling prices of our products may decline over time, we consider new license agreements and new product launches to be critical to our future success and anticipate that for our newer products, we are and will remain highly dependent on market demand timing and revenue from new license agreements.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End Customer Product Demand and Market Conditions</w:t>
      </w:r>
    </w:p>
    <w:p>
      <w:pPr>
        <w:spacing w:after="0" w:line="16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Demand for our interconnect IP solutions and associated royalty revenue is highly dependent on market conditions in the end markets in which our customers operate. These end markets, which include the automotive, enterprise computing, communications, artificial intelligence and machine learning, consumer electronics, and industrial markets, are subject to a number of factors including end-product acceptance and sales, competitive pressures, supply chain issues and general market conditions. For example, our revenue has been supported by the increased need for more complex SoCs to enable sophisticated automated driving. If the demand in this market continues to grow, we anticipate it will continue to have a positive impact on our revenue. In contrast, if general market conditions deteriorate or other factors occur, such as supply chain issues and global trade restrictions resulting in fewer semiconductors utilizing our IP solutions being available for sale, our revenue would be adversely affected.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of our Agreements with Customers</w:t>
      </w:r>
    </w:p>
    <w:p>
      <w:pPr>
        <w:spacing w:after="0" w:line="16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revenue from period to period can be impacted by the terms of the agreements we enter into with our customers. For example, in 2023, we made certain changes to SIA agreements that result in the ratable recognition of the related license revenue over the contract term. As a result of how these contracts are structured and the revenue is recognized, our revenue in the three and nine months ended September 30, 2024 may not be comparable to future periods if we do not enter into similar contractual agreements. Further, a meaningful percentage of our revenue is generated through royalty payments. Because the time between a new license agreement win and the customer’s end product being sold can be substantial, with sales of the end product being subject to a number of factors outside our control, our revenue from royalties is difficult to predict. As a result of the foregoing, revenue may fluctuate significantly from period to period and any increase or decrease in such revenue may not be indicative of future period-to-period increases or decreases.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1" w:name="page22"/>
    <w:bookmarkEnd w:id="21"/>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Technological Development and Market Growth</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our growth has been and will continue to be driven by technology trends in our end markets. For example, the requirements of smaller die size, lower power consumption, a higher frequency of operation and management of critical net latency in a timely and cost-effective manner for on-chip processing in the automotive, enterprise computing, communications, consumer electronics, and industrial markets has resulted in increased SoC design complexity for chips used in these markets. This trend in turn has created increased demand for in-licensing commercial semiconductor design IP, which in turn has positively impacted our revenue and growth.</w:t>
      </w:r>
    </w:p>
    <w:p>
      <w:pPr>
        <w:spacing w:after="0" w:line="1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order to address technological developments such as the above and expand our offerings, we have invested significantly in our research and development efforts. These investments, which continue to include growth in engineering headcount, have resulted in substantially increased research and development expenses in recent periods. As we continue to invest in our technology and new product design efforts, we anticipate research and development expense will continue to increase on an absolute basis and as a percentage of revenue in the near term. In the medium to longer term, however, while we expect to increase our research and development expense on an absolute basis, we expect this expense to reduce as a percentage of revenue.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We will continue to evaluate growth opportunities through acquisitions of other businesses.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Operating Globally</w:t>
      </w:r>
    </w:p>
    <w:p>
      <w:pPr>
        <w:spacing w:after="0" w:line="16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believe our products’ global footprint provides us with the opportunity to enter new markets and accelerate our growth. For the nine months ended September 30, 2024, 63.4% of our revenue was derived from sales to customers outside of the United States and 30.0% of our revenue was derived from customers located in China, respectively. For 2023, 65.4% of our revenue was derived from sales to customers outside of the United States and 31.1% of our revenue was derived from customers located in China. While we believe operating internationally has beneficially impacted our results of operations, we are subject to inherent risks attributed to operating in a global economy. Further, our international operations have been, and may in the future continue to be, subject to restrictive government regulations. For example, U.S. export regulations, including regulations announced October 7, 2022 and further amended effective November 17, 2023, that impose broad end-use and other restrictions on doing business with certain customers and facilities in China that develop or produce semiconductor chips or manufacturing equipment, may limit or adversely impact our ability to license or support our products to entities in or doing business with certain advanced AI or “supercomputer” design companies, foundries and manufacturers of assemblies and components in China. As a result of these restrictions, our customers may experience changes to or delays in their design projects, and we may face challenges to maintain our revenue and/or our revenue may decrease.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Cyclical Nature of the Semiconductor Industry</w:t>
      </w:r>
    </w:p>
    <w:p>
      <w:pPr>
        <w:spacing w:after="0" w:line="16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semiconductor industry in which our customers operate is highly cyclical and is characterized by increasingly rapid technological change, product obsolescence, competitive pricing pressures, evolving standards, short product life cycles, and fluctuations in product supply and demand. New technology may result in sudden changes in system designs or platform changes that may render some of our IP solutions obsolete and require us to devote significant research and development resources to compete effectively. Periods of rapid growth and capacity expansion are occasionally followed by significant market corrections in which our customers’ sales decline, inventories accumulate, and facilities go underutilized. During an expansion cycle, we may increase research and development hiring to add to our product offerings or spend more on sales and marketing to acquire new customers. During periods of slower growth or industry contractions, our sales generally suffer due to a decrease in customers’ Confirmed Design Starts or in sales of our customers’ products.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2" w:name="page23"/>
    <w:bookmarkEnd w:id="22"/>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Indicators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use the following key performance indicators to analyze our business performance and financial forecasts and to develop strategic plans, which we believe provide useful information to investors and others in understanding and evaluating our results of operations in the same manner as our management team. These key performance indicators are presented for supplemental informational purposes only, should not be considered a substitute for financial information presented in accordance with generally accepted accounting principles in the United States (GAAP), and may differ from similarly titled metrics or measures used by other companies, securities analysts, or investors.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Contract Value</w:t>
      </w:r>
    </w:p>
    <w:p>
      <w:pPr>
        <w:spacing w:after="0" w:line="2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define Annual Contract Value (ACV) for an individual customer agreement as the total fixed fees under the agreement divided by the number of years in the agreement term. Our total ACV is the aggregate ACVs for all our customers as measured at a given point in time. Total fixed fees include licensing, support and maintenance and other fixed fees under IP licensing or software licensing agreements but exclude variable revenue derived from licensing agreements with customers, particularly royalties. ACV was $56.4 million and $52.3 million as of September 30, 2024 and 2023, respectively. In addition, total ACV plus royalties was $60.5 million and $57.3 million as of September 30, 2024 and 2023, respectively. ACV plus royalties is calculated based on ACV and the trailing-twelve-months variable royalties and other revenue. We monitor ACV to measure our success and believe the increase in the number shows our progress in expanding our customers’ adoption of our platform. We believe ACV provides investors with useful information to assess the strength and trajectory of our business as growth demonstrates the expansion of customer adoption of our platform. ACV fluctuates due to a number of factors, including the timing, duration and dollar amount of customer contracts.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Active Customers</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define Active Customers as customers who have entered into a license agreement with us that remains in effect. The retention and expansion of our relationships with existing customers are key indicators of our revenue potential. During the three months ended September 30, 2024, our net new Active Customers was negative one. We added one net new Active Customer during the three months ended September 30, 2023.</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Confirmed Design Starts</w:t>
      </w:r>
    </w:p>
    <w:p>
      <w:pPr>
        <w:spacing w:after="0" w:line="22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define Confirmed Design Starts as when customers confirm their commencement of new semiconductor designs using our interconnect IP and notify us. Confirmed Design Starts is a metric management uses to assess the activity level of our customers in terms of the number of new semiconductor designs that are started using our interconnect IP in a given period. Our interconnect IP and NoC interface IP customer base contributed to a total of 14 and 22 design starts during the three months ended September 30, 2024 and 2023, respectively. We believe that the number of Confirmed Design Starts is an important indicator of the growth of our business and future royalty revenue trends.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22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define Remaining Performance Obligations (RPO) as the amount of contracted future revenue that has not yet been recognized, including deferred revenue, billed and unbilled cancelable and non-cancelable contracted amounts.</w:t>
      </w:r>
    </w:p>
    <w:p>
      <w:pPr>
        <w:spacing w:after="0" w:line="15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RPO amount is intended to provide visibility into future revenue streams. We expect RPO to fluctuate up or down from period to period for several reasons, including amounts, timing, and duration of customer contracts, as well as the timing of billing cycles for each contract. Our RPO was $78.4 million and $62.5 million as of September 30, 2024 and 2023, respectively.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Our revenue is primarily derived from licensing intellectual property, licensing software, support and maintenance services,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professional services, training services, and royalties. Our agreements often include other service elements including training and professional services which were immaterial for the three and nine months ended September 30, 2024 and 2023, respectively.</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3" w:name="page24"/>
    <w:bookmarkEnd w:id="23"/>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interconnect solutions product arrangements provide customers the right to software licenses, services, and support and maintenance. We enter into licensing arrangements with customers that typically range from two to three years and generally consist of delivery of a design license that grants the customer the right to use the IP to design a contractually defined number of products, a right to access the benefits of its proprietary software tool (RTL), and support and maintenance services that provide the customer a significant benefit from ongoing access to Corporate Application Engineers (CAE) and Field Application Engineers (FAE) (collectively, Application Engineer Support Services) to perform certain verifications including benchmark performance, simulations and ultimately, through the RTL, instantiate designs into silicon over the design term.</w:t>
      </w:r>
    </w:p>
    <w:p>
      <w:pPr>
        <w:spacing w:after="0" w:line="1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Application Engineer Support Services are integral and fundamental to the customer’s ability to derive its intended benefit from the IP. CAEs are part of the product development team providing detailed requirements for engineering projects, working very closely with a customer’s chief technology officer and the marketing department, and performing quality assurance testing of customer products prior to shipment to their customers. FAEs provide assistance to the customer’s engineering team in translating their desired SoC architecture into inputs for NoC IP configuration, assistance in optimizing the NoC configuration, answer to customer questions by the online support system or phone, constructive reviews of the progress achieved by the customer’s development team and provision of advice on how to best use the licensed IP, performance of design reviews before customer project RTL freeze and tape-out to ensure the customer used the licensed IP configuration tooling as intended so that the RTL output meets customer requirements and expectations. FAE reviews of the customer’s design typically are mandatory and consist of an understanding of the customer requirements and analysis of the adequacy of the contemplated IP considering the customer’s desired architecture and design goals and objectives, taking into consideration bandwidth, coherence/non-coherence, latency, clock and timing, areas, and any and all constraints, as identified and specific to the design under review.</w:t>
      </w:r>
    </w:p>
    <w:p>
      <w:pPr>
        <w:spacing w:after="0" w:line="3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Besides Application Engineer Support Services, support and maintenance services also consist of a stand-ready obligation to provide technical support and software updates over the support term. Generally, the first-year of technical support and software updates are bundled with and into the license fee with a customer option to renew additional years of support throughout the license term. However, we may continue to provide technical support and software updates throughout the license term even if the customer does not renew these services in subsequent years, making the license term and support and maintenance term co-terminus.</w:t>
      </w:r>
    </w:p>
    <w:p>
      <w:pPr>
        <w:spacing w:after="0" w:line="1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Revenues that are derived from the sale of a licensee’s products that incorporate our IP are classified as royalty revenues. Royalty revenues are recognized during the quarter in which the sale of the product incorporating the IP occurs. Royalties are calculated either as a percentage of the revenues received by a licensee’s sale of products incorporating the IP or on a per unit basis, as specified in the agreements with the licensees. For a majority of our royalty revenues, we receive the actual sales data from our customers after the quarter ends and account for it as unbilled receivables. When we do not receive actual sales data from the customer prior to the finalization of our financial statements, royalty revenues are recognized based on our estimation of the customer’s sales during the quarter.</w:t>
      </w:r>
    </w:p>
    <w:p>
      <w:pPr>
        <w:spacing w:after="0" w:line="12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SIA products and CSRCompiler product arrangements provide customers the right to software licenses, software updates and technical support. The software licenses are time-based licenses with terms generally ranging from one to three years. These arrangements generally have two distinct performance obligations that consist of transferring the licensed software and the support and maintenance service. Support and maintenance services consist of a stand-ready obligation to provide technical support and software updates over the support term. Revenue allocated to the software license is generally recognized at a point in time upon the later of the delivery date or the beginning of the license period, and revenue allocated to support services is recognized ratably over the support term. Certain SIA solutions contracts include termination rights that allow the customer to cancel and receive a pro-rata refund on support and maintenance services at the end of each month of the contract period, which results in a ratable recognition of the related license revenue over the contract term.</w:t>
      </w:r>
    </w:p>
    <w:p>
      <w:pPr>
        <w:spacing w:after="0" w:line="131"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b w:val="1"/>
          <w:bCs w:val="1"/>
          <w:i w:val="1"/>
          <w:iCs w:val="1"/>
          <w:color w:val="auto"/>
        </w:rPr>
        <w:t>Cost of revenue</w:t>
      </w:r>
      <w:r>
        <w:rPr>
          <w:rFonts w:ascii="Arial" w:cs="Arial" w:eastAsia="Arial" w:hAnsi="Arial"/>
          <w:sz w:val="18"/>
          <w:szCs w:val="18"/>
          <w:color w:val="auto"/>
        </w:rPr>
        <w:t>: Cost of revenue relates to costs associated with our licensing agreements and support and maintenance,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applicable FAE personnel-related costs such as stock-based compensation, travel, amortization of developed technology acquired intangibles and allocated overhead. We expect cost of revenue as a percentage of revenue to modestly decline over time due to productivity improvements of our FAE processes.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4" w:name="page25"/>
    <w:bookmarkEnd w:id="24"/>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 xml:space="preserve">Allocation of Overhead Costs: </w:t>
      </w:r>
      <w:r>
        <w:rPr>
          <w:rFonts w:ascii="Arial" w:cs="Arial" w:eastAsia="Arial" w:hAnsi="Arial"/>
          <w:sz w:val="18"/>
          <w:szCs w:val="18"/>
          <w:color w:val="auto"/>
        </w:rPr>
        <w:t>Overhead costs that are not substantially dedicated for use by a specific functional group are allocated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based on headcount. Such costs include costs associated with office facilities, depreciation of property and equipment, certain support function personnel costs and other expenses.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Research and development (R&amp;D) expenses: </w:t>
      </w:r>
      <w:r>
        <w:rPr>
          <w:rFonts w:ascii="Arial" w:cs="Arial" w:eastAsia="Arial" w:hAnsi="Arial"/>
          <w:sz w:val="18"/>
          <w:szCs w:val="18"/>
          <w:color w:val="auto"/>
        </w:rPr>
        <w:t>R&amp;D expenses consist primarily of salaries and associated personnel-related costs, facilities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expenses associated with research and development activities, third-party project-related expenses connected with the development of our intellectual property which are expensed as incurred, and stock-based compensation expense and other allocated costs. We expect R&amp;D expenses to increase in absolute terms and as a percentage of revenue in the short term and to continue to increase in absolute terms in the medium to long term but decrease as a percentage of revenue as certain new products are launched.</w:t>
      </w:r>
    </w:p>
    <w:p>
      <w:pPr>
        <w:spacing w:after="0" w:line="1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 xml:space="preserve">Sales and marketing (S&amp;M) expenses: </w:t>
      </w:r>
      <w:r>
        <w:rPr>
          <w:rFonts w:ascii="Arial" w:cs="Arial" w:eastAsia="Arial" w:hAnsi="Arial"/>
          <w:sz w:val="18"/>
          <w:szCs w:val="18"/>
          <w:color w:val="auto"/>
        </w:rPr>
        <w:t>S&amp;M expenses consist primarily of salaries, commissions, travel and other costs associated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S&amp;M activities, as well as advertising, trade show participation, public relations, and other marketing costs, stock-based compensation expenses and other allocated costs. We expect S&amp;M expenses to increase in absolute terms but decrease as a percentage of revenue due to productivity improvements of our sales processes.</w:t>
      </w:r>
    </w:p>
    <w:p>
      <w:pPr>
        <w:spacing w:after="0" w:line="12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 xml:space="preserve">General and administrative (G&amp;A) expenses: </w:t>
      </w:r>
      <w:r>
        <w:rPr>
          <w:rFonts w:ascii="Arial" w:cs="Arial" w:eastAsia="Arial" w:hAnsi="Arial"/>
          <w:sz w:val="18"/>
          <w:szCs w:val="18"/>
          <w:color w:val="auto"/>
        </w:rPr>
        <w:t>G&amp;A expenses consist primarily of salaries for management and administrative employees,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depreciation, insurance costs, accounting, legal and consulting fees, other professional service fees, expenses related to the development of corporate initiatives and facilities expenses associated with G&amp;A activities and stock-based compensation expense, fees for directors and other allocated costs.</w:t>
      </w:r>
    </w:p>
    <w:p>
      <w:pPr>
        <w:spacing w:after="0" w:line="12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incur additional expenses as a result of operating as a public company, including costs to comply with the rules and regulations applicable to companies listed on a national securities exchange, costs related to compliance and reporting obligations, and increased expenses for additional G&amp;A personnel, directors’ and officers’ insurance, investor relations, and professional services. We expect G&amp;A expenses to increase as our business grows. In addition, we expect G&amp;A expenses as a percentage of revenue to vary from period to period but generally decrease over the long term.</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Interest expense: </w:t>
      </w:r>
      <w:r>
        <w:rPr>
          <w:rFonts w:ascii="Arial" w:cs="Arial" w:eastAsia="Arial" w:hAnsi="Arial"/>
          <w:sz w:val="18"/>
          <w:szCs w:val="18"/>
          <w:color w:val="auto"/>
        </w:rPr>
        <w:t>Interest expense consists primarily of interest expense on our vendor financing arrangements.</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 xml:space="preserve">Other income (expense), net: </w:t>
      </w:r>
      <w:r>
        <w:rPr>
          <w:rFonts w:ascii="Arial" w:cs="Arial" w:eastAsia="Arial" w:hAnsi="Arial"/>
          <w:sz w:val="18"/>
          <w:szCs w:val="18"/>
          <w:color w:val="auto"/>
        </w:rPr>
        <w:t>Other income (expense), net consists primarily of interest income earned on our cash and cash equivalents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available-for-sale investments, gains and losses from foreign currency exchange, gain on deconsolidation of subsidiary, realized gains and losses from available-for-sale investments as well as deferred income.</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 xml:space="preserve">Loss from equity method investment: </w:t>
      </w:r>
      <w:r>
        <w:rPr>
          <w:rFonts w:ascii="Arial" w:cs="Arial" w:eastAsia="Arial" w:hAnsi="Arial"/>
          <w:sz w:val="18"/>
          <w:szCs w:val="18"/>
          <w:color w:val="auto"/>
        </w:rPr>
        <w:t>Loss from equity method investment consists of our proportionate share of net losses from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equity method investee.</w:t>
      </w:r>
    </w:p>
    <w:p>
      <w:pPr>
        <w:spacing w:after="0" w:line="9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Provision for (benefit from) income taxes: </w:t>
      </w:r>
      <w:r>
        <w:rPr>
          <w:rFonts w:ascii="Arial" w:cs="Arial" w:eastAsia="Arial" w:hAnsi="Arial"/>
          <w:sz w:val="18"/>
          <w:szCs w:val="18"/>
          <w:color w:val="auto"/>
        </w:rPr>
        <w:t>Our income tax provision consists primarily of income taxes in certain foreign jurisdictions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we conduct business and includes foreign non-recoverable withholding taxes. We have a full valuation allowance against our U.S. federal and state deferred tax assets as the realization of the full amount of these deferred tax assets is uncertain, including net operating loss carryforwards and tax credits related primarily to research and development. We expect to maintain this full valuation allowance until it becomes more likely than not that the deferred tax assets will be realized.</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5" w:name="page26"/>
    <w:bookmarkEnd w:id="25"/>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following table summarizes our GAAP results of operations for the periods presented. The results below are not necessarily indicative of results to be expected for future periods.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60" w:type="dxa"/>
            <w:vAlign w:val="bottom"/>
            <w:gridSpan w:val="3"/>
          </w:tcPr>
          <w:p>
            <w:pPr>
              <w:jc w:val="right"/>
              <w:ind w:right="368"/>
              <w:spacing w:after="0"/>
              <w:rPr>
                <w:sz w:val="20"/>
                <w:szCs w:val="20"/>
                <w:color w:val="auto"/>
              </w:rPr>
            </w:pPr>
            <w:r>
              <w:rPr>
                <w:rFonts w:ascii="Arial" w:cs="Arial" w:eastAsia="Arial" w:hAnsi="Arial"/>
                <w:sz w:val="14"/>
                <w:szCs w:val="14"/>
                <w:b w:val="1"/>
                <w:bCs w:val="1"/>
                <w:color w:val="auto"/>
              </w:rPr>
              <w:t>Three Months Ended</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2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18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3"/>
          </w:tcPr>
          <w:p>
            <w:pPr>
              <w:jc w:val="right"/>
              <w:ind w:right="588"/>
              <w:spacing w:after="0"/>
              <w:rPr>
                <w:sz w:val="20"/>
                <w:szCs w:val="20"/>
                <w:color w:val="auto"/>
              </w:rPr>
            </w:pPr>
            <w:r>
              <w:rPr>
                <w:rFonts w:ascii="Arial" w:cs="Arial" w:eastAsia="Arial" w:hAnsi="Arial"/>
                <w:sz w:val="14"/>
                <w:szCs w:val="14"/>
                <w:b w:val="1"/>
                <w:bCs w:val="1"/>
                <w:color w:val="auto"/>
              </w:rPr>
              <w:t>September 30,</w:t>
            </w:r>
          </w:p>
        </w:tc>
        <w:tc>
          <w:tcPr>
            <w:tcW w:w="5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3"/>
          </w:tcPr>
          <w:p>
            <w:pPr>
              <w:jc w:val="right"/>
              <w:ind w:right="148"/>
              <w:spacing w:after="0"/>
              <w:rPr>
                <w:sz w:val="20"/>
                <w:szCs w:val="20"/>
                <w:color w:val="auto"/>
              </w:rPr>
            </w:pPr>
            <w:r>
              <w:rPr>
                <w:rFonts w:ascii="Arial" w:cs="Arial" w:eastAsia="Arial" w:hAnsi="Arial"/>
                <w:sz w:val="14"/>
                <w:szCs w:val="14"/>
                <w:b w:val="1"/>
                <w:bCs w:val="1"/>
                <w:color w:val="auto"/>
              </w:rPr>
              <w:t>September 30,</w:t>
            </w: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180" w:type="dxa"/>
            <w:vAlign w:val="bottom"/>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6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2023</w:t>
            </w: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6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93"/>
        </w:trPr>
        <w:tc>
          <w:tcPr>
            <w:tcW w:w="4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720" w:type="dxa"/>
            <w:vAlign w:val="bottom"/>
            <w:gridSpan w:val="3"/>
          </w:tcPr>
          <w:p>
            <w:pPr>
              <w:jc w:val="right"/>
              <w:ind w:right="548"/>
              <w:spacing w:after="0"/>
              <w:rPr>
                <w:sz w:val="20"/>
                <w:szCs w:val="20"/>
                <w:color w:val="auto"/>
              </w:rPr>
            </w:pPr>
            <w:r>
              <w:rPr>
                <w:rFonts w:ascii="Arial" w:cs="Arial" w:eastAsia="Arial" w:hAnsi="Arial"/>
                <w:sz w:val="14"/>
                <w:szCs w:val="14"/>
                <w:i w:val="1"/>
                <w:iCs w:val="1"/>
                <w:color w:val="auto"/>
              </w:rPr>
              <w:t>(in thousands)</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revenue</w:t>
            </w:r>
          </w:p>
        </w:tc>
        <w:tc>
          <w:tcPr>
            <w:tcW w:w="1020" w:type="dxa"/>
            <w:vAlign w:val="bottom"/>
            <w:shd w:val="clear" w:color="auto" w:fill="CCEEFF"/>
          </w:tcPr>
          <w:p>
            <w:pPr>
              <w:jc w:val="right"/>
              <w:ind w:right="84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14,713</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928"/>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13,274</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86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42,235</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48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41,162</w:t>
            </w:r>
          </w:p>
        </w:tc>
        <w:tc>
          <w:tcPr>
            <w:tcW w:w="0" w:type="dxa"/>
            <w:vAlign w:val="bottom"/>
          </w:tcPr>
          <w:p>
            <w:pPr>
              <w:spacing w:after="0"/>
              <w:rPr>
                <w:sz w:val="1"/>
                <w:szCs w:val="1"/>
                <w:color w:val="auto"/>
              </w:rPr>
            </w:pPr>
          </w:p>
        </w:tc>
      </w:tr>
      <w:tr>
        <w:trPr>
          <w:trHeight w:val="198"/>
        </w:trPr>
        <w:tc>
          <w:tcPr>
            <w:tcW w:w="41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Cost of revenue (1)</w:t>
            </w:r>
          </w:p>
        </w:tc>
        <w:tc>
          <w:tcPr>
            <w:tcW w:w="10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1,461</w:t>
            </w:r>
          </w:p>
        </w:tc>
        <w:tc>
          <w:tcPr>
            <w:tcW w:w="10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1,280</w:t>
            </w:r>
          </w:p>
        </w:tc>
        <w:tc>
          <w:tcPr>
            <w:tcW w:w="10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4,387</w:t>
            </w:r>
          </w:p>
        </w:tc>
        <w:tc>
          <w:tcPr>
            <w:tcW w:w="10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3,629</w:t>
            </w:r>
          </w:p>
        </w:tc>
        <w:tc>
          <w:tcPr>
            <w:tcW w:w="0" w:type="dxa"/>
            <w:vAlign w:val="bottom"/>
          </w:tcPr>
          <w:p>
            <w:pPr>
              <w:spacing w:after="0"/>
              <w:rPr>
                <w:sz w:val="1"/>
                <w:szCs w:val="1"/>
                <w:color w:val="auto"/>
              </w:rPr>
            </w:pPr>
          </w:p>
        </w:tc>
      </w:tr>
      <w:tr>
        <w:trPr>
          <w:trHeight w:val="200"/>
        </w:trPr>
        <w:tc>
          <w:tcPr>
            <w:tcW w:w="4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Gross profit</w:t>
            </w:r>
          </w:p>
        </w:tc>
        <w:tc>
          <w:tcPr>
            <w:tcW w:w="10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13,252</w:t>
            </w:r>
          </w:p>
        </w:tc>
        <w:tc>
          <w:tcPr>
            <w:tcW w:w="100" w:type="dxa"/>
            <w:vAlign w:val="bottom"/>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11,994</w:t>
            </w:r>
          </w:p>
        </w:tc>
        <w:tc>
          <w:tcPr>
            <w:tcW w:w="100" w:type="dxa"/>
            <w:vAlign w:val="bottom"/>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37,848</w:t>
            </w:r>
          </w:p>
        </w:tc>
        <w:tc>
          <w:tcPr>
            <w:tcW w:w="10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37,533</w:t>
            </w:r>
          </w:p>
        </w:tc>
        <w:tc>
          <w:tcPr>
            <w:tcW w:w="0" w:type="dxa"/>
            <w:vAlign w:val="bottom"/>
          </w:tcPr>
          <w:p>
            <w:pPr>
              <w:spacing w:after="0"/>
              <w:rPr>
                <w:sz w:val="1"/>
                <w:szCs w:val="1"/>
                <w:color w:val="auto"/>
              </w:rPr>
            </w:pPr>
          </w:p>
        </w:tc>
      </w:tr>
      <w:tr>
        <w:trPr>
          <w:trHeight w:val="178"/>
        </w:trPr>
        <w:tc>
          <w:tcPr>
            <w:tcW w:w="418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10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4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Research and development (1)</w:t>
            </w:r>
          </w:p>
        </w:tc>
        <w:tc>
          <w:tcPr>
            <w:tcW w:w="10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11,923</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10,997</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33,475</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34,465</w:t>
            </w:r>
          </w:p>
        </w:tc>
        <w:tc>
          <w:tcPr>
            <w:tcW w:w="0" w:type="dxa"/>
            <w:vAlign w:val="bottom"/>
          </w:tcPr>
          <w:p>
            <w:pPr>
              <w:spacing w:after="0"/>
              <w:rPr>
                <w:sz w:val="1"/>
                <w:szCs w:val="1"/>
                <w:color w:val="auto"/>
              </w:rPr>
            </w:pPr>
          </w:p>
        </w:tc>
      </w:tr>
      <w:tr>
        <w:trPr>
          <w:trHeight w:val="198"/>
        </w:trPr>
        <w:tc>
          <w:tcPr>
            <w:tcW w:w="4180" w:type="dxa"/>
            <w:vAlign w:val="bottom"/>
          </w:tcPr>
          <w:p>
            <w:pPr>
              <w:ind w:left="20"/>
              <w:spacing w:after="0"/>
              <w:rPr>
                <w:sz w:val="20"/>
                <w:szCs w:val="20"/>
                <w:color w:val="auto"/>
              </w:rPr>
            </w:pPr>
            <w:r>
              <w:rPr>
                <w:rFonts w:ascii="Arial" w:cs="Arial" w:eastAsia="Arial" w:hAnsi="Arial"/>
                <w:sz w:val="14"/>
                <w:szCs w:val="14"/>
                <w:color w:val="auto"/>
              </w:rPr>
              <w:t>Sales and marketing (1)</w:t>
            </w:r>
          </w:p>
        </w:tc>
        <w:tc>
          <w:tcPr>
            <w:tcW w:w="10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4,962</w:t>
            </w: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5,024</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15,431</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15,630</w:t>
            </w:r>
          </w:p>
        </w:tc>
        <w:tc>
          <w:tcPr>
            <w:tcW w:w="0" w:type="dxa"/>
            <w:vAlign w:val="bottom"/>
          </w:tcPr>
          <w:p>
            <w:pPr>
              <w:spacing w:after="0"/>
              <w:rPr>
                <w:sz w:val="1"/>
                <w:szCs w:val="1"/>
                <w:color w:val="auto"/>
              </w:rPr>
            </w:pPr>
          </w:p>
        </w:tc>
      </w:tr>
      <w:tr>
        <w:trPr>
          <w:trHeight w:val="207"/>
        </w:trPr>
        <w:tc>
          <w:tcPr>
            <w:tcW w:w="4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General and administrative (1)</w:t>
            </w:r>
          </w:p>
        </w:tc>
        <w:tc>
          <w:tcPr>
            <w:tcW w:w="10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4,286</w:t>
            </w:r>
          </w:p>
        </w:tc>
        <w:tc>
          <w:tcPr>
            <w:tcW w:w="100" w:type="dxa"/>
            <w:vAlign w:val="bottom"/>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4,426</w:t>
            </w:r>
          </w:p>
        </w:tc>
        <w:tc>
          <w:tcPr>
            <w:tcW w:w="100" w:type="dxa"/>
            <w:vAlign w:val="bottom"/>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13,436</w:t>
            </w:r>
          </w:p>
        </w:tc>
        <w:tc>
          <w:tcPr>
            <w:tcW w:w="10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13,331</w:t>
            </w:r>
          </w:p>
        </w:tc>
        <w:tc>
          <w:tcPr>
            <w:tcW w:w="0" w:type="dxa"/>
            <w:vAlign w:val="bottom"/>
          </w:tcPr>
          <w:p>
            <w:pPr>
              <w:spacing w:after="0"/>
              <w:rPr>
                <w:sz w:val="1"/>
                <w:szCs w:val="1"/>
                <w:color w:val="auto"/>
              </w:rPr>
            </w:pPr>
          </w:p>
        </w:tc>
      </w:tr>
      <w:tr>
        <w:trPr>
          <w:trHeight w:val="192"/>
        </w:trPr>
        <w:tc>
          <w:tcPr>
            <w:tcW w:w="41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operating expenses</w:t>
            </w:r>
          </w:p>
        </w:tc>
        <w:tc>
          <w:tcPr>
            <w:tcW w:w="10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21,171</w:t>
            </w: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20,447</w:t>
            </w: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62,342</w:t>
            </w:r>
          </w:p>
        </w:tc>
        <w:tc>
          <w:tcPr>
            <w:tcW w:w="10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63,426</w:t>
            </w:r>
          </w:p>
        </w:tc>
        <w:tc>
          <w:tcPr>
            <w:tcW w:w="0" w:type="dxa"/>
            <w:vAlign w:val="bottom"/>
          </w:tcPr>
          <w:p>
            <w:pPr>
              <w:spacing w:after="0"/>
              <w:rPr>
                <w:sz w:val="1"/>
                <w:szCs w:val="1"/>
                <w:color w:val="auto"/>
              </w:rPr>
            </w:pPr>
          </w:p>
        </w:tc>
      </w:tr>
      <w:tr>
        <w:trPr>
          <w:trHeight w:val="200"/>
        </w:trPr>
        <w:tc>
          <w:tcPr>
            <w:tcW w:w="4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from operations</w:t>
            </w:r>
          </w:p>
        </w:tc>
        <w:tc>
          <w:tcPr>
            <w:tcW w:w="10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(7,919)</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(8,453)</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(24,494)</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(25,893)</w:t>
            </w:r>
          </w:p>
        </w:tc>
        <w:tc>
          <w:tcPr>
            <w:tcW w:w="0" w:type="dxa"/>
            <w:vAlign w:val="bottom"/>
          </w:tcPr>
          <w:p>
            <w:pPr>
              <w:spacing w:after="0"/>
              <w:rPr>
                <w:sz w:val="1"/>
                <w:szCs w:val="1"/>
                <w:color w:val="auto"/>
              </w:rPr>
            </w:pPr>
          </w:p>
        </w:tc>
      </w:tr>
      <w:tr>
        <w:trPr>
          <w:trHeight w:val="198"/>
        </w:trPr>
        <w:tc>
          <w:tcPr>
            <w:tcW w:w="418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10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(77)</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(199)</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(136)</w:t>
            </w:r>
          </w:p>
        </w:tc>
        <w:tc>
          <w:tcPr>
            <w:tcW w:w="0" w:type="dxa"/>
            <w:vAlign w:val="bottom"/>
          </w:tcPr>
          <w:p>
            <w:pPr>
              <w:spacing w:after="0"/>
              <w:rPr>
                <w:sz w:val="1"/>
                <w:szCs w:val="1"/>
                <w:color w:val="auto"/>
              </w:rPr>
            </w:pPr>
          </w:p>
        </w:tc>
      </w:tr>
      <w:tr>
        <w:trPr>
          <w:trHeight w:val="207"/>
        </w:trPr>
        <w:tc>
          <w:tcPr>
            <w:tcW w:w="4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income (expense), net</w:t>
            </w:r>
          </w:p>
        </w:tc>
        <w:tc>
          <w:tcPr>
            <w:tcW w:w="10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775</w:t>
            </w:r>
          </w:p>
        </w:tc>
        <w:tc>
          <w:tcPr>
            <w:tcW w:w="100" w:type="dxa"/>
            <w:vAlign w:val="bottom"/>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898</w:t>
            </w:r>
          </w:p>
        </w:tc>
        <w:tc>
          <w:tcPr>
            <w:tcW w:w="100" w:type="dxa"/>
            <w:vAlign w:val="bottom"/>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2,576</w:t>
            </w:r>
          </w:p>
        </w:tc>
        <w:tc>
          <w:tcPr>
            <w:tcW w:w="10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2,641</w:t>
            </w:r>
          </w:p>
        </w:tc>
        <w:tc>
          <w:tcPr>
            <w:tcW w:w="0" w:type="dxa"/>
            <w:vAlign w:val="bottom"/>
          </w:tcPr>
          <w:p>
            <w:pPr>
              <w:spacing w:after="0"/>
              <w:rPr>
                <w:sz w:val="1"/>
                <w:szCs w:val="1"/>
                <w:color w:val="auto"/>
              </w:rPr>
            </w:pPr>
          </w:p>
        </w:tc>
      </w:tr>
      <w:tr>
        <w:trPr>
          <w:trHeight w:val="133"/>
        </w:trPr>
        <w:tc>
          <w:tcPr>
            <w:tcW w:w="4180" w:type="dxa"/>
            <w:vAlign w:val="bottom"/>
          </w:tcPr>
          <w:p>
            <w:pPr>
              <w:ind w:left="20"/>
              <w:spacing w:after="0" w:line="133" w:lineRule="exact"/>
              <w:rPr>
                <w:sz w:val="20"/>
                <w:szCs w:val="20"/>
                <w:color w:val="auto"/>
              </w:rPr>
            </w:pPr>
            <w:r>
              <w:rPr>
                <w:rFonts w:ascii="Arial" w:cs="Arial" w:eastAsia="Arial" w:hAnsi="Arial"/>
                <w:sz w:val="14"/>
                <w:szCs w:val="14"/>
                <w:color w:val="auto"/>
              </w:rPr>
              <w:t>Loss before income taxes and loss from equity method</w:t>
            </w:r>
          </w:p>
        </w:tc>
        <w:tc>
          <w:tcPr>
            <w:tcW w:w="102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(7,199)</w:t>
            </w: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(7,632)</w:t>
            </w: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(22,117)</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(23,388)</w:t>
            </w:r>
          </w:p>
        </w:tc>
        <w:tc>
          <w:tcPr>
            <w:tcW w:w="0" w:type="dxa"/>
            <w:vAlign w:val="bottom"/>
          </w:tcPr>
          <w:p>
            <w:pPr>
              <w:spacing w:after="0"/>
              <w:rPr>
                <w:sz w:val="1"/>
                <w:szCs w:val="1"/>
                <w:color w:val="auto"/>
              </w:rPr>
            </w:pPr>
          </w:p>
        </w:tc>
      </w:tr>
      <w:tr>
        <w:trPr>
          <w:trHeight w:val="185"/>
        </w:trPr>
        <w:tc>
          <w:tcPr>
            <w:tcW w:w="4180" w:type="dxa"/>
            <w:vAlign w:val="bottom"/>
          </w:tcPr>
          <w:p>
            <w:pPr>
              <w:ind w:left="20"/>
              <w:spacing w:after="0"/>
              <w:rPr>
                <w:sz w:val="20"/>
                <w:szCs w:val="20"/>
                <w:color w:val="auto"/>
              </w:rPr>
            </w:pPr>
            <w:r>
              <w:rPr>
                <w:rFonts w:ascii="Arial" w:cs="Arial" w:eastAsia="Arial" w:hAnsi="Arial"/>
                <w:sz w:val="14"/>
                <w:szCs w:val="14"/>
                <w:color w:val="auto"/>
              </w:rPr>
              <w:t>investment</w:t>
            </w:r>
          </w:p>
        </w:tc>
        <w:tc>
          <w:tcPr>
            <w:tcW w:w="10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from equity method investment, net of tax</w:t>
            </w:r>
          </w:p>
        </w:tc>
        <w:tc>
          <w:tcPr>
            <w:tcW w:w="10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580</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919</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2,064</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2,487</w:t>
            </w:r>
          </w:p>
        </w:tc>
        <w:tc>
          <w:tcPr>
            <w:tcW w:w="0" w:type="dxa"/>
            <w:vAlign w:val="bottom"/>
          </w:tcPr>
          <w:p>
            <w:pPr>
              <w:spacing w:after="0"/>
              <w:rPr>
                <w:sz w:val="1"/>
                <w:szCs w:val="1"/>
                <w:color w:val="auto"/>
              </w:rPr>
            </w:pPr>
          </w:p>
        </w:tc>
      </w:tr>
      <w:tr>
        <w:trPr>
          <w:trHeight w:val="198"/>
        </w:trPr>
        <w:tc>
          <w:tcPr>
            <w:tcW w:w="41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Provision for (benefit from) income taxes</w:t>
            </w:r>
          </w:p>
        </w:tc>
        <w:tc>
          <w:tcPr>
            <w:tcW w:w="10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w:t>
            </w:r>
          </w:p>
        </w:tc>
        <w:tc>
          <w:tcPr>
            <w:tcW w:w="10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(398)</w:t>
            </w:r>
          </w:p>
        </w:tc>
        <w:tc>
          <w:tcPr>
            <w:tcW w:w="10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1,253</w:t>
            </w:r>
          </w:p>
        </w:tc>
        <w:tc>
          <w:tcPr>
            <w:tcW w:w="10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453</w:t>
            </w:r>
          </w:p>
        </w:tc>
        <w:tc>
          <w:tcPr>
            <w:tcW w:w="0" w:type="dxa"/>
            <w:vAlign w:val="bottom"/>
          </w:tcPr>
          <w:p>
            <w:pPr>
              <w:spacing w:after="0"/>
              <w:rPr>
                <w:sz w:val="1"/>
                <w:szCs w:val="1"/>
                <w:color w:val="auto"/>
              </w:rPr>
            </w:pPr>
          </w:p>
        </w:tc>
      </w:tr>
      <w:tr>
        <w:trPr>
          <w:trHeight w:val="221"/>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1020" w:type="dxa"/>
            <w:vAlign w:val="bottom"/>
            <w:tcBorders>
              <w:bottom w:val="single" w:sz="8" w:color="auto"/>
            </w:tcBorders>
            <w:shd w:val="clear" w:color="auto" w:fill="CCEEFF"/>
          </w:tcPr>
          <w:p>
            <w:pPr>
              <w:jc w:val="right"/>
              <w:ind w:right="84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(7,687)</w:t>
            </w:r>
          </w:p>
        </w:tc>
        <w:tc>
          <w:tcPr>
            <w:tcW w:w="1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92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(8,153)</w:t>
            </w:r>
          </w:p>
        </w:tc>
        <w:tc>
          <w:tcPr>
            <w:tcW w:w="1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86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(25,434)</w:t>
            </w:r>
          </w:p>
        </w:tc>
        <w:tc>
          <w:tcPr>
            <w:tcW w:w="1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48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(26,328)</w:t>
            </w: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(1) Includes stock-based compensation expense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900" w:type="dxa"/>
            <w:vAlign w:val="bottom"/>
            <w:gridSpan w:val="3"/>
          </w:tcPr>
          <w:p>
            <w:pPr>
              <w:jc w:val="right"/>
              <w:ind w:right="408"/>
              <w:spacing w:after="0"/>
              <w:rPr>
                <w:sz w:val="20"/>
                <w:szCs w:val="20"/>
                <w:color w:val="auto"/>
              </w:rPr>
            </w:pPr>
            <w:r>
              <w:rPr>
                <w:rFonts w:ascii="Arial" w:cs="Arial" w:eastAsia="Arial" w:hAnsi="Arial"/>
                <w:sz w:val="14"/>
                <w:szCs w:val="14"/>
                <w:b w:val="1"/>
                <w:bCs w:val="1"/>
                <w:color w:val="auto"/>
              </w:rPr>
              <w:t>Three Months Ended</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2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1040" w:type="dxa"/>
            <w:vAlign w:val="bottom"/>
          </w:tcPr>
          <w:p>
            <w:pPr>
              <w:spacing w:after="0"/>
              <w:rPr>
                <w:sz w:val="17"/>
                <w:szCs w:val="17"/>
                <w:color w:val="auto"/>
              </w:rPr>
            </w:pPr>
          </w:p>
        </w:tc>
      </w:tr>
      <w:tr>
        <w:trPr>
          <w:trHeight w:val="203"/>
        </w:trPr>
        <w:tc>
          <w:tcPr>
            <w:tcW w:w="418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3"/>
          </w:tcPr>
          <w:p>
            <w:pPr>
              <w:jc w:val="right"/>
              <w:ind w:right="628"/>
              <w:spacing w:after="0"/>
              <w:rPr>
                <w:sz w:val="20"/>
                <w:szCs w:val="20"/>
                <w:color w:val="auto"/>
              </w:rPr>
            </w:pPr>
            <w:r>
              <w:rPr>
                <w:rFonts w:ascii="Arial" w:cs="Arial" w:eastAsia="Arial" w:hAnsi="Arial"/>
                <w:sz w:val="14"/>
                <w:szCs w:val="14"/>
                <w:b w:val="1"/>
                <w:bCs w:val="1"/>
                <w:color w:val="auto"/>
              </w:rPr>
              <w:t>September 30,</w:t>
            </w:r>
          </w:p>
        </w:tc>
        <w:tc>
          <w:tcPr>
            <w:tcW w:w="5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3"/>
          </w:tcPr>
          <w:p>
            <w:pPr>
              <w:jc w:val="right"/>
              <w:ind w:right="148"/>
              <w:spacing w:after="0"/>
              <w:rPr>
                <w:sz w:val="20"/>
                <w:szCs w:val="20"/>
                <w:color w:val="auto"/>
              </w:rPr>
            </w:pPr>
            <w:r>
              <w:rPr>
                <w:rFonts w:ascii="Arial" w:cs="Arial" w:eastAsia="Arial" w:hAnsi="Arial"/>
                <w:sz w:val="14"/>
                <w:szCs w:val="14"/>
                <w:b w:val="1"/>
                <w:bCs w:val="1"/>
                <w:color w:val="auto"/>
              </w:rPr>
              <w:t>September 30,</w:t>
            </w:r>
          </w:p>
        </w:tc>
        <w:tc>
          <w:tcPr>
            <w:tcW w:w="1040" w:type="dxa"/>
            <w:vAlign w:val="bottom"/>
            <w:tcBorders>
              <w:bottom w:val="single" w:sz="8" w:color="auto"/>
            </w:tcBorders>
          </w:tcPr>
          <w:p>
            <w:pPr>
              <w:spacing w:after="0"/>
              <w:rPr>
                <w:sz w:val="17"/>
                <w:szCs w:val="17"/>
                <w:color w:val="auto"/>
              </w:rPr>
            </w:pPr>
          </w:p>
        </w:tc>
      </w:tr>
      <w:tr>
        <w:trPr>
          <w:trHeight w:val="196"/>
        </w:trPr>
        <w:tc>
          <w:tcPr>
            <w:tcW w:w="4180" w:type="dxa"/>
            <w:vAlign w:val="bottom"/>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6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2023</w:t>
            </w: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6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2023</w:t>
            </w:r>
          </w:p>
        </w:tc>
      </w:tr>
      <w:tr>
        <w:trPr>
          <w:trHeight w:val="193"/>
        </w:trPr>
        <w:tc>
          <w:tcPr>
            <w:tcW w:w="4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80" w:type="dxa"/>
            <w:vAlign w:val="bottom"/>
            <w:gridSpan w:val="3"/>
          </w:tcPr>
          <w:p>
            <w:pPr>
              <w:jc w:val="right"/>
              <w:ind w:right="548"/>
              <w:spacing w:after="0"/>
              <w:rPr>
                <w:sz w:val="20"/>
                <w:szCs w:val="20"/>
                <w:color w:val="auto"/>
              </w:rPr>
            </w:pPr>
            <w:r>
              <w:rPr>
                <w:rFonts w:ascii="Arial" w:cs="Arial" w:eastAsia="Arial" w:hAnsi="Arial"/>
                <w:sz w:val="14"/>
                <w:szCs w:val="14"/>
                <w:i w:val="1"/>
                <w:iCs w:val="1"/>
                <w:color w:val="auto"/>
              </w:rPr>
              <w:t>(in thousands)</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06"/>
        </w:trPr>
        <w:tc>
          <w:tcPr>
            <w:tcW w:w="4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revenue</w:t>
            </w:r>
          </w:p>
        </w:tc>
        <w:tc>
          <w:tcPr>
            <w:tcW w:w="1020" w:type="dxa"/>
            <w:vAlign w:val="bottom"/>
            <w:shd w:val="clear" w:color="auto" w:fill="CCEEFF"/>
          </w:tcPr>
          <w:p>
            <w:pPr>
              <w:jc w:val="right"/>
              <w:ind w:right="84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221</w:t>
            </w: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968"/>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86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596</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48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386</w:t>
            </w:r>
          </w:p>
        </w:tc>
      </w:tr>
      <w:tr>
        <w:trPr>
          <w:trHeight w:val="198"/>
        </w:trPr>
        <w:tc>
          <w:tcPr>
            <w:tcW w:w="4180" w:type="dxa"/>
            <w:vAlign w:val="bottom"/>
          </w:tcPr>
          <w:p>
            <w:pPr>
              <w:ind w:left="20"/>
              <w:spacing w:after="0"/>
              <w:rPr>
                <w:sz w:val="20"/>
                <w:szCs w:val="20"/>
                <w:color w:val="auto"/>
              </w:rPr>
            </w:pPr>
            <w:r>
              <w:rPr>
                <w:rFonts w:ascii="Arial" w:cs="Arial" w:eastAsia="Arial" w:hAnsi="Arial"/>
                <w:sz w:val="14"/>
                <w:szCs w:val="14"/>
                <w:color w:val="auto"/>
              </w:rPr>
              <w:t>Research and development</w:t>
            </w:r>
          </w:p>
        </w:tc>
        <w:tc>
          <w:tcPr>
            <w:tcW w:w="10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2,154</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1,742</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5,550</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5,656</w:t>
            </w:r>
          </w:p>
        </w:tc>
      </w:tr>
      <w:tr>
        <w:trPr>
          <w:trHeight w:val="207"/>
        </w:trPr>
        <w:tc>
          <w:tcPr>
            <w:tcW w:w="4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Sales and marketing</w:t>
            </w:r>
          </w:p>
        </w:tc>
        <w:tc>
          <w:tcPr>
            <w:tcW w:w="10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850</w:t>
            </w: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666</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2,230</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2,088</w:t>
            </w:r>
          </w:p>
        </w:tc>
      </w:tr>
      <w:tr>
        <w:trPr>
          <w:trHeight w:val="198"/>
        </w:trPr>
        <w:tc>
          <w:tcPr>
            <w:tcW w:w="41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General and administrative</w:t>
            </w:r>
          </w:p>
        </w:tc>
        <w:tc>
          <w:tcPr>
            <w:tcW w:w="10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1,165</w:t>
            </w:r>
          </w:p>
        </w:tc>
        <w:tc>
          <w:tcPr>
            <w:tcW w:w="10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1,125</w:t>
            </w:r>
          </w:p>
        </w:tc>
        <w:tc>
          <w:tcPr>
            <w:tcW w:w="10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3,431</w:t>
            </w:r>
          </w:p>
        </w:tc>
        <w:tc>
          <w:tcPr>
            <w:tcW w:w="10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2,851</w:t>
            </w:r>
          </w:p>
        </w:tc>
      </w:tr>
      <w:tr>
        <w:trPr>
          <w:trHeight w:val="221"/>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stock-based compensation</w:t>
            </w:r>
          </w:p>
        </w:tc>
        <w:tc>
          <w:tcPr>
            <w:tcW w:w="1020" w:type="dxa"/>
            <w:vAlign w:val="bottom"/>
            <w:tcBorders>
              <w:bottom w:val="single" w:sz="8" w:color="auto"/>
            </w:tcBorders>
            <w:shd w:val="clear" w:color="auto" w:fill="CCEEFF"/>
          </w:tcPr>
          <w:p>
            <w:pPr>
              <w:jc w:val="right"/>
              <w:ind w:right="84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4,390</w:t>
            </w:r>
          </w:p>
        </w:tc>
        <w:tc>
          <w:tcPr>
            <w:tcW w:w="1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968"/>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3,714</w:t>
            </w:r>
          </w:p>
        </w:tc>
        <w:tc>
          <w:tcPr>
            <w:tcW w:w="1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86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11,807</w:t>
            </w:r>
          </w:p>
        </w:tc>
        <w:tc>
          <w:tcPr>
            <w:tcW w:w="1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48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10,981</w:t>
            </w: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6" w:name="page27"/>
    <w:bookmarkEnd w:id="26"/>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results of operations as a percentage of total revenue for each of the periods indicated: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960" w:type="dxa"/>
            <w:vAlign w:val="bottom"/>
            <w:gridSpan w:val="3"/>
          </w:tcPr>
          <w:p>
            <w:pPr>
              <w:jc w:val="center"/>
              <w:ind w:right="408"/>
              <w:spacing w:after="0"/>
              <w:rPr>
                <w:sz w:val="20"/>
                <w:szCs w:val="20"/>
                <w:color w:val="auto"/>
              </w:rPr>
            </w:pPr>
            <w:r>
              <w:rPr>
                <w:rFonts w:ascii="Arial" w:cs="Arial" w:eastAsia="Arial" w:hAnsi="Arial"/>
                <w:sz w:val="14"/>
                <w:szCs w:val="14"/>
                <w:b w:val="1"/>
                <w:bCs w:val="1"/>
                <w:color w:val="auto"/>
              </w:rPr>
              <w:t>Three Months Ended</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20" w:type="dxa"/>
            <w:vAlign w:val="bottom"/>
            <w:gridSpan w:val="3"/>
          </w:tcPr>
          <w:p>
            <w:pPr>
              <w:jc w:val="center"/>
              <w:spacing w:after="0"/>
              <w:rPr>
                <w:sz w:val="20"/>
                <w:szCs w:val="20"/>
                <w:color w:val="auto"/>
              </w:rPr>
            </w:pPr>
            <w:r>
              <w:rPr>
                <w:rFonts w:ascii="Arial" w:cs="Arial" w:eastAsia="Arial" w:hAnsi="Arial"/>
                <w:sz w:val="14"/>
                <w:szCs w:val="14"/>
                <w:b w:val="1"/>
                <w:bCs w:val="1"/>
                <w:color w:val="auto"/>
              </w:rPr>
              <w:t>Nine Months Ended</w:t>
            </w:r>
          </w:p>
        </w:tc>
        <w:tc>
          <w:tcPr>
            <w:tcW w:w="1080" w:type="dxa"/>
            <w:vAlign w:val="bottom"/>
          </w:tcPr>
          <w:p>
            <w:pPr>
              <w:spacing w:after="0"/>
              <w:rPr>
                <w:sz w:val="17"/>
                <w:szCs w:val="17"/>
                <w:color w:val="auto"/>
              </w:rPr>
            </w:pPr>
          </w:p>
        </w:tc>
      </w:tr>
      <w:tr>
        <w:trPr>
          <w:trHeight w:val="204"/>
        </w:trPr>
        <w:tc>
          <w:tcPr>
            <w:tcW w:w="400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gridSpan w:val="3"/>
          </w:tcPr>
          <w:p>
            <w:pPr>
              <w:jc w:val="center"/>
              <w:ind w:right="408"/>
              <w:spacing w:after="0"/>
              <w:rPr>
                <w:sz w:val="20"/>
                <w:szCs w:val="20"/>
                <w:color w:val="auto"/>
              </w:rPr>
            </w:pPr>
            <w:r>
              <w:rPr>
                <w:rFonts w:ascii="Arial" w:cs="Arial" w:eastAsia="Arial" w:hAnsi="Arial"/>
                <w:sz w:val="14"/>
                <w:szCs w:val="14"/>
                <w:b w:val="1"/>
                <w:bCs w:val="1"/>
                <w:color w:val="auto"/>
              </w:rPr>
              <w:t>September 30,</w:t>
            </w:r>
          </w:p>
        </w:tc>
        <w:tc>
          <w:tcPr>
            <w:tcW w:w="5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September 30,</w:t>
            </w:r>
          </w:p>
        </w:tc>
        <w:tc>
          <w:tcPr>
            <w:tcW w:w="1080" w:type="dxa"/>
            <w:vAlign w:val="bottom"/>
            <w:tcBorders>
              <w:bottom w:val="single" w:sz="8" w:color="auto"/>
            </w:tcBorders>
          </w:tcPr>
          <w:p>
            <w:pPr>
              <w:spacing w:after="0"/>
              <w:rPr>
                <w:sz w:val="17"/>
                <w:szCs w:val="17"/>
                <w:color w:val="auto"/>
              </w:rPr>
            </w:pPr>
          </w:p>
        </w:tc>
      </w:tr>
      <w:tr>
        <w:trPr>
          <w:trHeight w:val="196"/>
        </w:trPr>
        <w:tc>
          <w:tcPr>
            <w:tcW w:w="5040" w:type="dxa"/>
            <w:vAlign w:val="bottom"/>
            <w:gridSpan w:val="2"/>
          </w:tcPr>
          <w:p>
            <w:pPr>
              <w:ind w:left="4700"/>
              <w:spacing w:after="0"/>
              <w:rPr>
                <w:sz w:val="20"/>
                <w:szCs w:val="20"/>
                <w:color w:val="auto"/>
              </w:rPr>
            </w:pPr>
            <w:r>
              <w:rPr>
                <w:rFonts w:ascii="Arial" w:cs="Arial" w:eastAsia="Arial" w:hAnsi="Arial"/>
                <w:sz w:val="14"/>
                <w:szCs w:val="14"/>
                <w:b w:val="1"/>
                <w:bCs w:val="1"/>
                <w:color w:val="auto"/>
              </w:rPr>
              <w:t>2024</w:t>
            </w:r>
          </w:p>
        </w:tc>
        <w:tc>
          <w:tcPr>
            <w:tcW w:w="1960" w:type="dxa"/>
            <w:vAlign w:val="bottom"/>
            <w:gridSpan w:val="3"/>
          </w:tcPr>
          <w:p>
            <w:pPr>
              <w:ind w:left="1500"/>
              <w:spacing w:after="0"/>
              <w:rPr>
                <w:sz w:val="20"/>
                <w:szCs w:val="20"/>
                <w:color w:val="auto"/>
              </w:rPr>
            </w:pPr>
            <w:r>
              <w:rPr>
                <w:rFonts w:ascii="Arial" w:cs="Arial" w:eastAsia="Arial" w:hAnsi="Arial"/>
                <w:sz w:val="14"/>
                <w:szCs w:val="14"/>
                <w:b w:val="1"/>
                <w:bCs w:val="1"/>
                <w:color w:val="auto"/>
              </w:rPr>
              <w:t>2023</w:t>
            </w:r>
          </w:p>
        </w:tc>
        <w:tc>
          <w:tcPr>
            <w:tcW w:w="174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2024</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80" w:type="dxa"/>
            <w:vAlign w:val="bottom"/>
          </w:tcPr>
          <w:p>
            <w:pPr>
              <w:jc w:val="right"/>
              <w:ind w:right="648"/>
              <w:spacing w:after="0"/>
              <w:rPr>
                <w:sz w:val="20"/>
                <w:szCs w:val="20"/>
                <w:color w:val="auto"/>
              </w:rPr>
            </w:pPr>
            <w:r>
              <w:rPr>
                <w:rFonts w:ascii="Arial" w:cs="Arial" w:eastAsia="Arial" w:hAnsi="Arial"/>
                <w:sz w:val="14"/>
                <w:szCs w:val="14"/>
                <w:b w:val="1"/>
                <w:bCs w:val="1"/>
                <w:color w:val="auto"/>
              </w:rPr>
              <w:t>2023</w:t>
            </w:r>
          </w:p>
        </w:tc>
      </w:tr>
      <w:tr>
        <w:trPr>
          <w:trHeight w:val="193"/>
        </w:trPr>
        <w:tc>
          <w:tcPr>
            <w:tcW w:w="4000" w:type="dxa"/>
            <w:vAlign w:val="bottom"/>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920" w:type="dxa"/>
            <w:vAlign w:val="bottom"/>
            <w:tcBorders>
              <w:top w:val="single" w:sz="8" w:color="auto"/>
            </w:tcBorders>
            <w:gridSpan w:val="4"/>
          </w:tcPr>
          <w:p>
            <w:pPr>
              <w:ind w:left="720"/>
              <w:spacing w:after="0"/>
              <w:rPr>
                <w:sz w:val="20"/>
                <w:szCs w:val="20"/>
                <w:color w:val="auto"/>
              </w:rPr>
            </w:pPr>
            <w:r>
              <w:rPr>
                <w:rFonts w:ascii="Arial" w:cs="Arial" w:eastAsia="Arial" w:hAnsi="Arial"/>
                <w:sz w:val="14"/>
                <w:szCs w:val="14"/>
                <w:i w:val="1"/>
                <w:iCs w:val="1"/>
                <w:color w:val="auto"/>
              </w:rPr>
              <w:t>(as a percentage of total revenue)</w:t>
            </w:r>
          </w:p>
        </w:tc>
        <w:tc>
          <w:tcPr>
            <w:tcW w:w="6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r>
      <w:tr>
        <w:trPr>
          <w:trHeight w:val="207"/>
        </w:trPr>
        <w:tc>
          <w:tcPr>
            <w:tcW w:w="5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Total revenue</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r>
      <w:tr>
        <w:trPr>
          <w:trHeight w:val="198"/>
        </w:trPr>
        <w:tc>
          <w:tcPr>
            <w:tcW w:w="5040" w:type="dxa"/>
            <w:vAlign w:val="bottom"/>
            <w:gridSpan w:val="2"/>
          </w:tcPr>
          <w:p>
            <w:pPr>
              <w:ind w:left="20"/>
              <w:spacing w:after="0"/>
              <w:rPr>
                <w:sz w:val="20"/>
                <w:szCs w:val="20"/>
                <w:color w:val="auto"/>
              </w:rPr>
            </w:pPr>
            <w:r>
              <w:rPr>
                <w:rFonts w:ascii="Arial" w:cs="Arial" w:eastAsia="Arial" w:hAnsi="Arial"/>
                <w:sz w:val="14"/>
                <w:szCs w:val="14"/>
                <w:color w:val="auto"/>
              </w:rPr>
              <w:t>Cost of revenue</w:t>
            </w:r>
          </w:p>
        </w:tc>
        <w:tc>
          <w:tcPr>
            <w:tcW w:w="700" w:type="dxa"/>
            <w:vAlign w:val="bottom"/>
          </w:tcPr>
          <w:p>
            <w:pPr>
              <w:jc w:val="right"/>
              <w:ind w:right="128"/>
              <w:spacing w:after="0"/>
              <w:rPr>
                <w:sz w:val="20"/>
                <w:szCs w:val="20"/>
                <w:color w:val="auto"/>
              </w:rPr>
            </w:pPr>
            <w:r>
              <w:rPr>
                <w:rFonts w:ascii="Arial" w:cs="Arial" w:eastAsia="Arial" w:hAnsi="Arial"/>
                <w:sz w:val="14"/>
                <w:szCs w:val="14"/>
                <w:color w:val="auto"/>
              </w:rPr>
              <w:t>10</w:t>
            </w: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60" w:type="dxa"/>
            <w:vAlign w:val="bottom"/>
          </w:tcPr>
          <w:p>
            <w:pPr>
              <w:jc w:val="right"/>
              <w:ind w:right="10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60" w:type="dxa"/>
            <w:vAlign w:val="bottom"/>
          </w:tcPr>
          <w:p>
            <w:pPr>
              <w:jc w:val="right"/>
              <w:ind w:right="10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9</w:t>
            </w:r>
          </w:p>
        </w:tc>
      </w:tr>
      <w:tr>
        <w:trPr>
          <w:trHeight w:val="200"/>
        </w:trPr>
        <w:tc>
          <w:tcPr>
            <w:tcW w:w="4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Gross profit</w:t>
            </w:r>
          </w:p>
        </w:tc>
        <w:tc>
          <w:tcPr>
            <w:tcW w:w="104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90</w:t>
            </w:r>
          </w:p>
        </w:tc>
        <w:tc>
          <w:tcPr>
            <w:tcW w:w="8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bottom w:val="single" w:sz="8" w:color="auto"/>
            </w:tcBorders>
            <w:shd w:val="clear" w:color="auto" w:fill="CCEEFF"/>
          </w:tcPr>
          <w:p>
            <w:pPr>
              <w:spacing w:after="0"/>
              <w:rPr>
                <w:sz w:val="17"/>
                <w:szCs w:val="17"/>
                <w:color w:val="auto"/>
              </w:rPr>
            </w:pPr>
          </w:p>
        </w:tc>
        <w:tc>
          <w:tcPr>
            <w:tcW w:w="56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90</w:t>
            </w:r>
          </w:p>
        </w:tc>
        <w:tc>
          <w:tcPr>
            <w:tcW w:w="10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90</w:t>
            </w:r>
          </w:p>
        </w:tc>
        <w:tc>
          <w:tcPr>
            <w:tcW w:w="1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spacing w:after="0"/>
              <w:rPr>
                <w:sz w:val="17"/>
                <w:szCs w:val="17"/>
                <w:color w:val="auto"/>
              </w:rPr>
            </w:pPr>
          </w:p>
        </w:tc>
        <w:tc>
          <w:tcPr>
            <w:tcW w:w="10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91</w:t>
            </w:r>
          </w:p>
        </w:tc>
      </w:tr>
      <w:tr>
        <w:trPr>
          <w:trHeight w:val="178"/>
        </w:trPr>
        <w:tc>
          <w:tcPr>
            <w:tcW w:w="400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10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07"/>
        </w:trPr>
        <w:tc>
          <w:tcPr>
            <w:tcW w:w="5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Research and development</w:t>
            </w:r>
          </w:p>
        </w:tc>
        <w:tc>
          <w:tcPr>
            <w:tcW w:w="7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81</w:t>
            </w:r>
          </w:p>
        </w:tc>
        <w:tc>
          <w:tcPr>
            <w:tcW w:w="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83</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79</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84</w:t>
            </w:r>
          </w:p>
        </w:tc>
      </w:tr>
      <w:tr>
        <w:trPr>
          <w:trHeight w:val="198"/>
        </w:trPr>
        <w:tc>
          <w:tcPr>
            <w:tcW w:w="5040" w:type="dxa"/>
            <w:vAlign w:val="bottom"/>
            <w:gridSpan w:val="2"/>
          </w:tcPr>
          <w:p>
            <w:pPr>
              <w:ind w:left="20"/>
              <w:spacing w:after="0"/>
              <w:rPr>
                <w:sz w:val="20"/>
                <w:szCs w:val="20"/>
                <w:color w:val="auto"/>
              </w:rPr>
            </w:pPr>
            <w:r>
              <w:rPr>
                <w:rFonts w:ascii="Arial" w:cs="Arial" w:eastAsia="Arial" w:hAnsi="Arial"/>
                <w:sz w:val="14"/>
                <w:szCs w:val="14"/>
                <w:color w:val="auto"/>
              </w:rPr>
              <w:t>Sales and marketing</w:t>
            </w:r>
          </w:p>
        </w:tc>
        <w:tc>
          <w:tcPr>
            <w:tcW w:w="700" w:type="dxa"/>
            <w:vAlign w:val="bottom"/>
          </w:tcPr>
          <w:p>
            <w:pPr>
              <w:jc w:val="right"/>
              <w:ind w:right="128"/>
              <w:spacing w:after="0"/>
              <w:rPr>
                <w:sz w:val="20"/>
                <w:szCs w:val="20"/>
                <w:color w:val="auto"/>
              </w:rPr>
            </w:pPr>
            <w:r>
              <w:rPr>
                <w:rFonts w:ascii="Arial" w:cs="Arial" w:eastAsia="Arial" w:hAnsi="Arial"/>
                <w:sz w:val="14"/>
                <w:szCs w:val="14"/>
                <w:color w:val="auto"/>
              </w:rPr>
              <w:t>34</w:t>
            </w: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60" w:type="dxa"/>
            <w:vAlign w:val="bottom"/>
          </w:tcPr>
          <w:p>
            <w:pPr>
              <w:jc w:val="right"/>
              <w:ind w:right="108"/>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60" w:type="dxa"/>
            <w:vAlign w:val="bottom"/>
          </w:tcPr>
          <w:p>
            <w:pPr>
              <w:jc w:val="right"/>
              <w:ind w:right="108"/>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38</w:t>
            </w:r>
          </w:p>
        </w:tc>
      </w:tr>
      <w:tr>
        <w:trPr>
          <w:trHeight w:val="207"/>
        </w:trPr>
        <w:tc>
          <w:tcPr>
            <w:tcW w:w="5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General and administrative</w:t>
            </w:r>
          </w:p>
        </w:tc>
        <w:tc>
          <w:tcPr>
            <w:tcW w:w="7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29</w:t>
            </w:r>
          </w:p>
        </w:tc>
        <w:tc>
          <w:tcPr>
            <w:tcW w:w="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33</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32</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32</w:t>
            </w:r>
          </w:p>
        </w:tc>
      </w:tr>
      <w:tr>
        <w:trPr>
          <w:trHeight w:val="192"/>
        </w:trPr>
        <w:tc>
          <w:tcPr>
            <w:tcW w:w="40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operating expenses</w:t>
            </w:r>
          </w:p>
        </w:tc>
        <w:tc>
          <w:tcPr>
            <w:tcW w:w="104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144</w:t>
            </w:r>
          </w:p>
        </w:tc>
        <w:tc>
          <w:tcPr>
            <w:tcW w:w="80" w:type="dxa"/>
            <w:vAlign w:val="bottom"/>
            <w:tcBorders>
              <w:bottom w:val="single" w:sz="8" w:color="CCEEFF"/>
            </w:tcBorders>
          </w:tcPr>
          <w:p>
            <w:pPr>
              <w:spacing w:after="0"/>
              <w:rPr>
                <w:sz w:val="16"/>
                <w:szCs w:val="16"/>
                <w:color w:val="auto"/>
              </w:rPr>
            </w:pPr>
          </w:p>
        </w:tc>
        <w:tc>
          <w:tcPr>
            <w:tcW w:w="1180" w:type="dxa"/>
            <w:vAlign w:val="bottom"/>
            <w:tcBorders>
              <w:top w:val="single" w:sz="8" w:color="auto"/>
              <w:bottom w:val="single" w:sz="8" w:color="auto"/>
            </w:tcBorders>
          </w:tcPr>
          <w:p>
            <w:pPr>
              <w:spacing w:after="0"/>
              <w:rPr>
                <w:sz w:val="16"/>
                <w:szCs w:val="16"/>
                <w:color w:val="auto"/>
              </w:rPr>
            </w:pPr>
          </w:p>
        </w:tc>
        <w:tc>
          <w:tcPr>
            <w:tcW w:w="56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154</w:t>
            </w:r>
          </w:p>
        </w:tc>
        <w:tc>
          <w:tcPr>
            <w:tcW w:w="100" w:type="dxa"/>
            <w:vAlign w:val="bottom"/>
            <w:tcBorders>
              <w:bottom w:val="single" w:sz="8" w:color="CCEEFF"/>
            </w:tcBorders>
          </w:tcPr>
          <w:p>
            <w:pPr>
              <w:spacing w:after="0"/>
              <w:rPr>
                <w:sz w:val="16"/>
                <w:szCs w:val="16"/>
                <w:color w:val="auto"/>
              </w:rPr>
            </w:pPr>
          </w:p>
        </w:tc>
        <w:tc>
          <w:tcPr>
            <w:tcW w:w="108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148</w:t>
            </w:r>
          </w:p>
        </w:tc>
        <w:tc>
          <w:tcPr>
            <w:tcW w:w="100" w:type="dxa"/>
            <w:vAlign w:val="bottom"/>
            <w:tcBorders>
              <w:bottom w:val="single" w:sz="8" w:color="CCEEFF"/>
            </w:tcBorders>
          </w:tcPr>
          <w:p>
            <w:pPr>
              <w:spacing w:after="0"/>
              <w:rPr>
                <w:sz w:val="16"/>
                <w:szCs w:val="16"/>
                <w:color w:val="auto"/>
              </w:rPr>
            </w:pPr>
          </w:p>
        </w:tc>
        <w:tc>
          <w:tcPr>
            <w:tcW w:w="66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154</w:t>
            </w:r>
          </w:p>
        </w:tc>
      </w:tr>
      <w:tr>
        <w:trPr>
          <w:trHeight w:val="200"/>
        </w:trPr>
        <w:tc>
          <w:tcPr>
            <w:tcW w:w="4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from operations</w:t>
            </w:r>
          </w:p>
        </w:tc>
        <w:tc>
          <w:tcPr>
            <w:tcW w:w="104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(54)</w:t>
            </w:r>
          </w:p>
        </w:tc>
        <w:tc>
          <w:tcPr>
            <w:tcW w:w="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(64)</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(58)</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80" w:type="dxa"/>
            <w:vAlign w:val="bottom"/>
            <w:shd w:val="clear" w:color="auto" w:fill="CCEEFF"/>
          </w:tcPr>
          <w:p>
            <w:pPr>
              <w:ind w:left="680"/>
              <w:spacing w:after="0"/>
              <w:rPr>
                <w:sz w:val="20"/>
                <w:szCs w:val="20"/>
                <w:color w:val="auto"/>
              </w:rPr>
            </w:pPr>
            <w:r>
              <w:rPr>
                <w:rFonts w:ascii="Arial" w:cs="Arial" w:eastAsia="Arial" w:hAnsi="Arial"/>
                <w:sz w:val="14"/>
                <w:szCs w:val="14"/>
                <w:color w:val="auto"/>
              </w:rPr>
              <w:t>(63)</w:t>
            </w:r>
          </w:p>
        </w:tc>
      </w:tr>
      <w:tr>
        <w:trPr>
          <w:trHeight w:val="198"/>
        </w:trPr>
        <w:tc>
          <w:tcPr>
            <w:tcW w:w="5040" w:type="dxa"/>
            <w:vAlign w:val="bottom"/>
            <w:gridSpan w:val="2"/>
          </w:tcPr>
          <w:p>
            <w:pPr>
              <w:ind w:left="20"/>
              <w:spacing w:after="0"/>
              <w:rPr>
                <w:sz w:val="20"/>
                <w:szCs w:val="20"/>
                <w:color w:val="auto"/>
              </w:rPr>
            </w:pPr>
            <w:r>
              <w:rPr>
                <w:rFonts w:ascii="Arial" w:cs="Arial" w:eastAsia="Arial" w:hAnsi="Arial"/>
                <w:sz w:val="14"/>
                <w:szCs w:val="14"/>
                <w:color w:val="auto"/>
              </w:rPr>
              <w:t>Interest expense</w:t>
            </w:r>
          </w:p>
        </w:tc>
        <w:tc>
          <w:tcPr>
            <w:tcW w:w="1960" w:type="dxa"/>
            <w:vAlign w:val="bottom"/>
            <w:gridSpan w:val="3"/>
          </w:tcPr>
          <w:p>
            <w:pPr>
              <w:jc w:val="right"/>
              <w:ind w:right="1388"/>
              <w:spacing w:after="0"/>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1360"/>
              <w:spacing w:after="0"/>
              <w:rPr>
                <w:sz w:val="20"/>
                <w:szCs w:val="20"/>
                <w:color w:val="auto"/>
              </w:rPr>
            </w:pPr>
            <w:r>
              <w:rPr>
                <w:rFonts w:ascii="Arial" w:cs="Arial" w:eastAsia="Arial" w:hAnsi="Arial"/>
                <w:sz w:val="14"/>
                <w:szCs w:val="14"/>
                <w:color w:val="auto"/>
              </w:rPr>
              <w:t>—</w:t>
            </w:r>
          </w:p>
        </w:tc>
        <w:tc>
          <w:tcPr>
            <w:tcW w:w="1420" w:type="dxa"/>
            <w:vAlign w:val="bottom"/>
            <w:gridSpan w:val="3"/>
          </w:tcPr>
          <w:p>
            <w:pPr>
              <w:jc w:val="right"/>
              <w:ind w:right="94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w:t>
            </w:r>
          </w:p>
        </w:tc>
      </w:tr>
      <w:tr>
        <w:trPr>
          <w:trHeight w:val="206"/>
        </w:trPr>
        <w:tc>
          <w:tcPr>
            <w:tcW w:w="5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income (expense), net</w:t>
            </w:r>
          </w:p>
        </w:tc>
        <w:tc>
          <w:tcPr>
            <w:tcW w:w="7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5</w:t>
            </w:r>
          </w:p>
        </w:tc>
        <w:tc>
          <w:tcPr>
            <w:tcW w:w="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6</w:t>
            </w:r>
          </w:p>
        </w:tc>
      </w:tr>
      <w:tr>
        <w:trPr>
          <w:trHeight w:val="142"/>
        </w:trPr>
        <w:tc>
          <w:tcPr>
            <w:tcW w:w="4000" w:type="dxa"/>
            <w:vAlign w:val="bottom"/>
          </w:tcPr>
          <w:p>
            <w:pPr>
              <w:ind w:left="20"/>
              <w:spacing w:after="0" w:line="142" w:lineRule="exact"/>
              <w:rPr>
                <w:sz w:val="20"/>
                <w:szCs w:val="20"/>
                <w:color w:val="auto"/>
              </w:rPr>
            </w:pPr>
            <w:r>
              <w:rPr>
                <w:rFonts w:ascii="Arial" w:cs="Arial" w:eastAsia="Arial" w:hAnsi="Arial"/>
                <w:sz w:val="14"/>
                <w:szCs w:val="14"/>
                <w:color w:val="auto"/>
              </w:rPr>
              <w:t>Loss before income taxes and loss from equity method</w:t>
            </w:r>
          </w:p>
        </w:tc>
        <w:tc>
          <w:tcPr>
            <w:tcW w:w="10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88"/>
              <w:spacing w:after="0" w:line="142" w:lineRule="exact"/>
              <w:rPr>
                <w:sz w:val="20"/>
                <w:szCs w:val="20"/>
                <w:color w:val="auto"/>
              </w:rPr>
            </w:pPr>
            <w:r>
              <w:rPr>
                <w:rFonts w:ascii="Arial" w:cs="Arial" w:eastAsia="Arial" w:hAnsi="Arial"/>
                <w:sz w:val="14"/>
                <w:szCs w:val="14"/>
                <w:color w:val="auto"/>
              </w:rPr>
              <w:t>(49)</w:t>
            </w:r>
          </w:p>
        </w:tc>
        <w:tc>
          <w:tcPr>
            <w:tcW w:w="80" w:type="dxa"/>
            <w:vAlign w:val="bottom"/>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68"/>
              <w:spacing w:after="0" w:line="142" w:lineRule="exact"/>
              <w:rPr>
                <w:sz w:val="20"/>
                <w:szCs w:val="20"/>
                <w:color w:val="auto"/>
              </w:rPr>
            </w:pPr>
            <w:r>
              <w:rPr>
                <w:rFonts w:ascii="Arial" w:cs="Arial" w:eastAsia="Arial" w:hAnsi="Arial"/>
                <w:sz w:val="14"/>
                <w:szCs w:val="14"/>
                <w:color w:val="auto"/>
              </w:rPr>
              <w:t>(57)</w:t>
            </w:r>
          </w:p>
        </w:tc>
        <w:tc>
          <w:tcPr>
            <w:tcW w:w="10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ind w:left="260"/>
              <w:spacing w:after="0" w:line="142" w:lineRule="exact"/>
              <w:rPr>
                <w:sz w:val="20"/>
                <w:szCs w:val="20"/>
                <w:color w:val="auto"/>
              </w:rPr>
            </w:pPr>
            <w:r>
              <w:rPr>
                <w:rFonts w:ascii="Arial" w:cs="Arial" w:eastAsia="Arial" w:hAnsi="Arial"/>
                <w:sz w:val="14"/>
                <w:szCs w:val="14"/>
                <w:color w:val="auto"/>
              </w:rPr>
              <w:t>(52)</w:t>
            </w:r>
          </w:p>
        </w:tc>
        <w:tc>
          <w:tcPr>
            <w:tcW w:w="10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ind w:left="680"/>
              <w:spacing w:after="0" w:line="142" w:lineRule="exact"/>
              <w:rPr>
                <w:sz w:val="20"/>
                <w:szCs w:val="20"/>
                <w:color w:val="auto"/>
              </w:rPr>
            </w:pPr>
            <w:r>
              <w:rPr>
                <w:rFonts w:ascii="Arial" w:cs="Arial" w:eastAsia="Arial" w:hAnsi="Arial"/>
                <w:sz w:val="14"/>
                <w:szCs w:val="14"/>
                <w:color w:val="auto"/>
              </w:rPr>
              <w:t>(57)</w:t>
            </w:r>
          </w:p>
        </w:tc>
      </w:tr>
      <w:tr>
        <w:trPr>
          <w:trHeight w:val="175"/>
        </w:trPr>
        <w:tc>
          <w:tcPr>
            <w:tcW w:w="5040" w:type="dxa"/>
            <w:vAlign w:val="bottom"/>
            <w:gridSpan w:val="2"/>
          </w:tcPr>
          <w:p>
            <w:pPr>
              <w:ind w:left="20"/>
              <w:spacing w:after="0"/>
              <w:rPr>
                <w:sz w:val="20"/>
                <w:szCs w:val="20"/>
                <w:color w:val="auto"/>
              </w:rPr>
            </w:pPr>
            <w:r>
              <w:rPr>
                <w:rFonts w:ascii="Arial" w:cs="Arial" w:eastAsia="Arial" w:hAnsi="Arial"/>
                <w:sz w:val="14"/>
                <w:szCs w:val="14"/>
                <w:color w:val="auto"/>
              </w:rPr>
              <w:t>investment</w:t>
            </w: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03"/>
        </w:trPr>
        <w:tc>
          <w:tcPr>
            <w:tcW w:w="5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Loss from equity method investment, net of tax</w:t>
            </w:r>
          </w:p>
        </w:tc>
        <w:tc>
          <w:tcPr>
            <w:tcW w:w="7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4</w:t>
            </w:r>
          </w:p>
        </w:tc>
        <w:tc>
          <w:tcPr>
            <w:tcW w:w="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6</w:t>
            </w:r>
          </w:p>
        </w:tc>
      </w:tr>
      <w:tr>
        <w:trPr>
          <w:trHeight w:val="199"/>
        </w:trPr>
        <w:tc>
          <w:tcPr>
            <w:tcW w:w="5040" w:type="dxa"/>
            <w:vAlign w:val="bottom"/>
            <w:gridSpan w:val="2"/>
          </w:tcPr>
          <w:p>
            <w:pPr>
              <w:ind w:left="20"/>
              <w:spacing w:after="0"/>
              <w:rPr>
                <w:sz w:val="20"/>
                <w:szCs w:val="20"/>
                <w:color w:val="auto"/>
              </w:rPr>
            </w:pPr>
            <w:r>
              <w:rPr>
                <w:rFonts w:ascii="Arial" w:cs="Arial" w:eastAsia="Arial" w:hAnsi="Arial"/>
                <w:sz w:val="14"/>
                <w:szCs w:val="14"/>
                <w:color w:val="auto"/>
              </w:rPr>
              <w:t>Provision for (benefit from) income taxes</w:t>
            </w: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60" w:type="dxa"/>
            <w:vAlign w:val="bottom"/>
          </w:tcPr>
          <w:p>
            <w:pPr>
              <w:jc w:val="right"/>
              <w:ind w:right="6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60" w:type="dxa"/>
            <w:vAlign w:val="bottom"/>
          </w:tcPr>
          <w:p>
            <w:pPr>
              <w:jc w:val="right"/>
              <w:ind w:right="10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1</w:t>
            </w:r>
          </w:p>
        </w:tc>
      </w:tr>
      <w:tr>
        <w:trPr>
          <w:trHeight w:val="221"/>
        </w:trPr>
        <w:tc>
          <w:tcPr>
            <w:tcW w:w="4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104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ind w:left="260"/>
              <w:spacing w:after="0"/>
              <w:rPr>
                <w:sz w:val="20"/>
                <w:szCs w:val="20"/>
                <w:color w:val="auto"/>
              </w:rPr>
            </w:pPr>
            <w:r>
              <w:rPr>
                <w:rFonts w:ascii="Arial" w:cs="Arial" w:eastAsia="Arial" w:hAnsi="Arial"/>
                <w:sz w:val="14"/>
                <w:szCs w:val="14"/>
                <w:color w:val="auto"/>
              </w:rPr>
              <w:t>(60)%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ind w:left="680"/>
              <w:spacing w:after="0"/>
              <w:rPr>
                <w:sz w:val="20"/>
                <w:szCs w:val="20"/>
                <w:color w:val="auto"/>
              </w:rPr>
            </w:pPr>
            <w:r>
              <w:rPr>
                <w:rFonts w:ascii="Arial" w:cs="Arial" w:eastAsia="Arial" w:hAnsi="Arial"/>
                <w:sz w:val="14"/>
                <w:szCs w:val="14"/>
                <w:color w:val="auto"/>
              </w:rPr>
              <w:t>(64)%</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Three Months Ended September 30, 2024 and 2023</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242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80" w:type="dxa"/>
            <w:vAlign w:val="bottom"/>
            <w:gridSpan w:val="3"/>
          </w:tcPr>
          <w:p>
            <w:pPr>
              <w:ind w:left="1080"/>
              <w:spacing w:after="0"/>
              <w:rPr>
                <w:sz w:val="20"/>
                <w:szCs w:val="20"/>
                <w:color w:val="auto"/>
              </w:rPr>
            </w:pPr>
            <w:r>
              <w:rPr>
                <w:rFonts w:ascii="Arial" w:cs="Arial" w:eastAsia="Arial" w:hAnsi="Arial"/>
                <w:sz w:val="14"/>
                <w:szCs w:val="14"/>
                <w:b w:val="1"/>
                <w:bCs w:val="1"/>
                <w:color w:val="auto"/>
              </w:rPr>
              <w:t>Change</w:t>
            </w:r>
          </w:p>
        </w:tc>
        <w:tc>
          <w:tcPr>
            <w:tcW w:w="1240" w:type="dxa"/>
            <w:vAlign w:val="bottom"/>
          </w:tcPr>
          <w:p>
            <w:pPr>
              <w:spacing w:after="0"/>
              <w:rPr>
                <w:sz w:val="14"/>
                <w:szCs w:val="14"/>
                <w:color w:val="auto"/>
              </w:rPr>
            </w:pPr>
          </w:p>
        </w:tc>
      </w:tr>
      <w:tr>
        <w:trPr>
          <w:trHeight w:val="189"/>
        </w:trPr>
        <w:tc>
          <w:tcPr>
            <w:tcW w:w="414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128"/>
              <w:spacing w:after="0"/>
              <w:rPr>
                <w:sz w:val="20"/>
                <w:szCs w:val="20"/>
                <w:color w:val="auto"/>
              </w:rPr>
            </w:pPr>
            <w:r>
              <w:rPr>
                <w:rFonts w:ascii="Arial" w:cs="Arial" w:eastAsia="Arial" w:hAnsi="Arial"/>
                <w:sz w:val="14"/>
                <w:szCs w:val="14"/>
                <w:b w:val="1"/>
                <w:bCs w:val="1"/>
                <w:color w:val="auto"/>
              </w:rPr>
              <w:t>September 30,</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5"/>
        </w:trPr>
        <w:tc>
          <w:tcPr>
            <w:tcW w:w="4140" w:type="dxa"/>
            <w:vAlign w:val="bottom"/>
          </w:tcPr>
          <w:p>
            <w:pPr>
              <w:spacing w:after="0"/>
              <w:rPr>
                <w:sz w:val="16"/>
                <w:szCs w:val="16"/>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2024</w:t>
            </w:r>
          </w:p>
        </w:tc>
        <w:tc>
          <w:tcPr>
            <w:tcW w:w="6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768"/>
              <w:spacing w:after="0"/>
              <w:rPr>
                <w:sz w:val="20"/>
                <w:szCs w:val="20"/>
                <w:color w:val="auto"/>
              </w:rPr>
            </w:pPr>
            <w:r>
              <w:rPr>
                <w:rFonts w:ascii="Arial" w:cs="Arial" w:eastAsia="Arial" w:hAnsi="Arial"/>
                <w:sz w:val="14"/>
                <w:szCs w:val="14"/>
                <w:b w:val="1"/>
                <w:bCs w:val="1"/>
                <w:color w:val="auto"/>
              </w:rPr>
              <w:t>%</w:t>
            </w:r>
          </w:p>
        </w:tc>
      </w:tr>
      <w:tr>
        <w:trPr>
          <w:trHeight w:val="193"/>
        </w:trPr>
        <w:tc>
          <w:tcPr>
            <w:tcW w:w="4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80" w:type="dxa"/>
            <w:vAlign w:val="bottom"/>
            <w:gridSpan w:val="3"/>
          </w:tcPr>
          <w:p>
            <w:pPr>
              <w:ind w:left="160"/>
              <w:spacing w:after="0"/>
              <w:rPr>
                <w:sz w:val="20"/>
                <w:szCs w:val="20"/>
                <w:color w:val="auto"/>
              </w:rPr>
            </w:pPr>
            <w:r>
              <w:rPr>
                <w:rFonts w:ascii="Arial" w:cs="Arial" w:eastAsia="Arial" w:hAnsi="Arial"/>
                <w:sz w:val="14"/>
                <w:szCs w:val="14"/>
                <w:i w:val="1"/>
                <w:iCs w:val="1"/>
                <w:color w:val="auto"/>
              </w:rPr>
              <w:t>(dollars in thousands)</w:t>
            </w:r>
          </w:p>
        </w:tc>
        <w:tc>
          <w:tcPr>
            <w:tcW w:w="4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07"/>
        </w:trPr>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Licensing, support and maintenance</w:t>
            </w:r>
          </w:p>
        </w:tc>
        <w:tc>
          <w:tcPr>
            <w:tcW w:w="1080" w:type="dxa"/>
            <w:vAlign w:val="bottom"/>
            <w:shd w:val="clear" w:color="auto" w:fill="CCEEFF"/>
          </w:tcPr>
          <w:p>
            <w:pPr>
              <w:jc w:val="right"/>
              <w:ind w:right="90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13,507</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48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12,084</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1,423</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12 %</w:t>
            </w:r>
          </w:p>
        </w:tc>
      </w:tr>
      <w:tr>
        <w:trPr>
          <w:trHeight w:val="198"/>
        </w:trPr>
        <w:tc>
          <w:tcPr>
            <w:tcW w:w="4140" w:type="dxa"/>
            <w:vAlign w:val="bottom"/>
          </w:tcPr>
          <w:p>
            <w:pPr>
              <w:ind w:left="20"/>
              <w:spacing w:after="0"/>
              <w:rPr>
                <w:sz w:val="20"/>
                <w:szCs w:val="20"/>
                <w:color w:val="auto"/>
              </w:rPr>
            </w:pPr>
            <w:r>
              <w:rPr>
                <w:rFonts w:ascii="Arial" w:cs="Arial" w:eastAsia="Arial" w:hAnsi="Arial"/>
                <w:sz w:val="14"/>
                <w:szCs w:val="14"/>
                <w:color w:val="auto"/>
              </w:rPr>
              <w:t>Variable royalties</w:t>
            </w:r>
          </w:p>
        </w:tc>
        <w:tc>
          <w:tcPr>
            <w:tcW w:w="1080" w:type="dxa"/>
            <w:vAlign w:val="bottom"/>
          </w:tcPr>
          <w:p>
            <w:pPr>
              <w:spacing w:after="0"/>
              <w:rPr>
                <w:sz w:val="17"/>
                <w:szCs w:val="17"/>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1,176</w:t>
            </w: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1,068</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108</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10 %</w:t>
            </w:r>
          </w:p>
        </w:tc>
      </w:tr>
      <w:tr>
        <w:trPr>
          <w:trHeight w:val="207"/>
        </w:trPr>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108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30</w:t>
            </w:r>
          </w:p>
        </w:tc>
        <w:tc>
          <w:tcPr>
            <w:tcW w:w="8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122</w:t>
            </w:r>
          </w:p>
        </w:tc>
        <w:tc>
          <w:tcPr>
            <w:tcW w:w="1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w:t>
            </w:r>
          </w:p>
        </w:tc>
        <w:tc>
          <w:tcPr>
            <w:tcW w:w="10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w:t>
            </w:r>
          </w:p>
        </w:tc>
      </w:tr>
      <w:tr>
        <w:trPr>
          <w:trHeight w:val="192"/>
        </w:trPr>
        <w:tc>
          <w:tcPr>
            <w:tcW w:w="4140" w:type="dxa"/>
            <w:vAlign w:val="bottom"/>
          </w:tcPr>
          <w:p>
            <w:pPr>
              <w:ind w:left="20"/>
              <w:spacing w:after="0"/>
              <w:rPr>
                <w:sz w:val="20"/>
                <w:szCs w:val="20"/>
                <w:color w:val="auto"/>
              </w:rPr>
            </w:pPr>
            <w:r>
              <w:rPr>
                <w:rFonts w:ascii="Arial" w:cs="Arial" w:eastAsia="Arial" w:hAnsi="Arial"/>
                <w:sz w:val="14"/>
                <w:szCs w:val="14"/>
                <w:color w:val="auto"/>
              </w:rPr>
              <w:t>Total</w:t>
            </w:r>
          </w:p>
        </w:tc>
        <w:tc>
          <w:tcPr>
            <w:tcW w:w="1080" w:type="dxa"/>
            <w:vAlign w:val="bottom"/>
            <w:tcBorders>
              <w:bottom w:val="single" w:sz="8" w:color="auto"/>
            </w:tcBorders>
          </w:tcPr>
          <w:p>
            <w:pPr>
              <w:jc w:val="right"/>
              <w:ind w:right="90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14,713</w:t>
            </w:r>
          </w:p>
        </w:tc>
        <w:tc>
          <w:tcPr>
            <w:tcW w:w="80" w:type="dxa"/>
            <w:vAlign w:val="bottom"/>
          </w:tcPr>
          <w:p>
            <w:pPr>
              <w:spacing w:after="0"/>
              <w:rPr>
                <w:sz w:val="16"/>
                <w:szCs w:val="16"/>
                <w:color w:val="auto"/>
              </w:rPr>
            </w:pPr>
          </w:p>
        </w:tc>
        <w:tc>
          <w:tcPr>
            <w:tcW w:w="6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13,274</w:t>
            </w:r>
          </w:p>
        </w:tc>
        <w:tc>
          <w:tcPr>
            <w:tcW w:w="100" w:type="dxa"/>
            <w:vAlign w:val="bottom"/>
          </w:tcPr>
          <w:p>
            <w:pPr>
              <w:spacing w:after="0"/>
              <w:rPr>
                <w:sz w:val="16"/>
                <w:szCs w:val="16"/>
                <w:color w:val="auto"/>
              </w:rPr>
            </w:pP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1,439</w:t>
            </w:r>
          </w:p>
        </w:tc>
        <w:tc>
          <w:tcPr>
            <w:tcW w:w="10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11 %</w:t>
            </w:r>
          </w:p>
        </w:tc>
      </w:tr>
      <w:tr>
        <w:trPr>
          <w:trHeight w:val="25"/>
        </w:trPr>
        <w:tc>
          <w:tcPr>
            <w:tcW w:w="41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bl>
    <w:p>
      <w:pPr>
        <w:spacing w:after="0" w:line="27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Revenue from licensing, support and maintenance increased $1.4 million for the three months ended September 30, 2024 when compared to the three months ended September 30, 2023. The increase was primarily due to new license arrangements with existing customers. Growth in our variable royalty revenue was primarily due to an increase in production from existing customers.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242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0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80" w:type="dxa"/>
            <w:vAlign w:val="bottom"/>
          </w:tcPr>
          <w:p>
            <w:pPr>
              <w:jc w:val="right"/>
              <w:ind w:right="208"/>
              <w:spacing w:after="0"/>
              <w:rPr>
                <w:sz w:val="20"/>
                <w:szCs w:val="20"/>
                <w:color w:val="auto"/>
              </w:rPr>
            </w:pPr>
            <w:r>
              <w:rPr>
                <w:rFonts w:ascii="Arial" w:cs="Arial" w:eastAsia="Arial" w:hAnsi="Arial"/>
                <w:sz w:val="14"/>
                <w:szCs w:val="14"/>
                <w:b w:val="1"/>
                <w:bCs w:val="1"/>
                <w:color w:val="auto"/>
              </w:rPr>
              <w:t>Change</w:t>
            </w: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14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1020" w:type="dxa"/>
            <w:vAlign w:val="bottom"/>
            <w:tcBorders>
              <w:bottom w:val="single" w:sz="8" w:color="auto"/>
            </w:tcBorders>
          </w:tcPr>
          <w:p>
            <w:pPr>
              <w:spacing w:after="0"/>
              <w:rPr>
                <w:sz w:val="16"/>
                <w:szCs w:val="16"/>
                <w:color w:val="auto"/>
              </w:rPr>
            </w:pPr>
          </w:p>
        </w:tc>
        <w:tc>
          <w:tcPr>
            <w:tcW w:w="540" w:type="dxa"/>
            <w:vAlign w:val="bottom"/>
          </w:tcPr>
          <w:p>
            <w:pPr>
              <w:spacing w:after="0"/>
              <w:rPr>
                <w:sz w:val="16"/>
                <w:szCs w:val="16"/>
                <w:color w:val="auto"/>
              </w:rPr>
            </w:pPr>
          </w:p>
        </w:tc>
        <w:tc>
          <w:tcPr>
            <w:tcW w:w="1880" w:type="dxa"/>
            <w:vAlign w:val="bottom"/>
            <w:vMerge w:val="restart"/>
          </w:tcPr>
          <w:p>
            <w:pPr>
              <w:jc w:val="right"/>
              <w:ind w:right="1368"/>
              <w:spacing w:after="0"/>
              <w:rPr>
                <w:sz w:val="20"/>
                <w:szCs w:val="20"/>
                <w:color w:val="auto"/>
              </w:rPr>
            </w:pPr>
            <w:r>
              <w:rPr>
                <w:rFonts w:ascii="Arial" w:cs="Arial" w:eastAsia="Arial" w:hAnsi="Arial"/>
                <w:sz w:val="14"/>
                <w:szCs w:val="14"/>
                <w:b w:val="1"/>
                <w:bCs w:val="1"/>
                <w:color w:val="auto"/>
              </w:rPr>
              <w:t>$</w:t>
            </w:r>
          </w:p>
        </w:tc>
        <w:tc>
          <w:tcPr>
            <w:tcW w:w="1240" w:type="dxa"/>
            <w:vAlign w:val="bottom"/>
            <w:vMerge w:val="restart"/>
          </w:tcPr>
          <w:p>
            <w:pPr>
              <w:jc w:val="right"/>
              <w:ind w:right="76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5"/>
        </w:trPr>
        <w:tc>
          <w:tcPr>
            <w:tcW w:w="4140" w:type="dxa"/>
            <w:vAlign w:val="bottom"/>
          </w:tcPr>
          <w:p>
            <w:pPr>
              <w:spacing w:after="0"/>
              <w:rPr>
                <w:sz w:val="16"/>
                <w:szCs w:val="16"/>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2024</w:t>
            </w:r>
          </w:p>
        </w:tc>
        <w:tc>
          <w:tcPr>
            <w:tcW w:w="5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2023</w:t>
            </w:r>
          </w:p>
        </w:tc>
        <w:tc>
          <w:tcPr>
            <w:tcW w:w="5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vMerge w:val="continue"/>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740" w:type="dxa"/>
            <w:vAlign w:val="bottom"/>
            <w:gridSpan w:val="2"/>
          </w:tcPr>
          <w:p>
            <w:pPr>
              <w:jc w:val="center"/>
              <w:ind w:left="8"/>
              <w:spacing w:after="0"/>
              <w:rPr>
                <w:sz w:val="20"/>
                <w:szCs w:val="20"/>
                <w:color w:val="auto"/>
              </w:rPr>
            </w:pPr>
            <w:r>
              <w:rPr>
                <w:rFonts w:ascii="Arial" w:cs="Arial" w:eastAsia="Arial" w:hAnsi="Arial"/>
                <w:sz w:val="14"/>
                <w:szCs w:val="14"/>
                <w:i w:val="1"/>
                <w:iCs w:val="1"/>
                <w:color w:val="auto"/>
              </w:rPr>
              <w:t>(dollars in thousands)</w:t>
            </w:r>
          </w:p>
        </w:tc>
        <w:tc>
          <w:tcPr>
            <w:tcW w:w="5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revenue</w:t>
            </w:r>
          </w:p>
        </w:tc>
        <w:tc>
          <w:tcPr>
            <w:tcW w:w="1120" w:type="dxa"/>
            <w:vAlign w:val="bottom"/>
            <w:shd w:val="clear" w:color="auto" w:fill="CCEEFF"/>
          </w:tcPr>
          <w:p>
            <w:pPr>
              <w:jc w:val="right"/>
              <w:ind w:right="948"/>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1,461</w:t>
            </w:r>
          </w:p>
        </w:tc>
        <w:tc>
          <w:tcPr>
            <w:tcW w:w="720" w:type="dxa"/>
            <w:vAlign w:val="bottom"/>
            <w:shd w:val="clear" w:color="auto" w:fill="CCEEFF"/>
          </w:tcPr>
          <w:p>
            <w:pPr>
              <w:jc w:val="right"/>
              <w:ind w:right="48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1,280</w:t>
            </w:r>
          </w:p>
        </w:tc>
        <w:tc>
          <w:tcPr>
            <w:tcW w:w="5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880" w:type="dxa"/>
            <w:vAlign w:val="bottom"/>
            <w:shd w:val="clear" w:color="auto" w:fill="CCEEFF"/>
          </w:tcPr>
          <w:p>
            <w:pPr>
              <w:jc w:val="right"/>
              <w:ind w:right="648"/>
              <w:spacing w:after="0"/>
              <w:rPr>
                <w:sz w:val="20"/>
                <w:szCs w:val="20"/>
                <w:color w:val="auto"/>
              </w:rPr>
            </w:pPr>
            <w:r>
              <w:rPr>
                <w:rFonts w:ascii="Arial" w:cs="Arial" w:eastAsia="Arial" w:hAnsi="Arial"/>
                <w:sz w:val="14"/>
                <w:szCs w:val="14"/>
                <w:color w:val="auto"/>
              </w:rPr>
              <w:t>181</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14 %</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Cost of revenue increased $0.2 million or 14%, to $1.5 million for the three months ended September 30, 2024 from $1.3 million for the three months ended September 30, 2023. The increase in cost of revenue during the three months ended September 30, 2024 was primarily due to higher FAE employee-related expenses.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7" w:name="page28"/>
    <w:bookmarkEnd w:id="27"/>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242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80" w:type="dxa"/>
            <w:vAlign w:val="bottom"/>
            <w:gridSpan w:val="3"/>
          </w:tcPr>
          <w:p>
            <w:pPr>
              <w:ind w:left="1080"/>
              <w:spacing w:after="0"/>
              <w:rPr>
                <w:sz w:val="20"/>
                <w:szCs w:val="20"/>
                <w:color w:val="auto"/>
              </w:rPr>
            </w:pPr>
            <w:r>
              <w:rPr>
                <w:rFonts w:ascii="Arial" w:cs="Arial" w:eastAsia="Arial" w:hAnsi="Arial"/>
                <w:sz w:val="14"/>
                <w:szCs w:val="14"/>
                <w:b w:val="1"/>
                <w:bCs w:val="1"/>
                <w:color w:val="auto"/>
              </w:rPr>
              <w:t>Change</w:t>
            </w: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14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128"/>
              <w:spacing w:after="0"/>
              <w:rPr>
                <w:sz w:val="20"/>
                <w:szCs w:val="20"/>
                <w:color w:val="auto"/>
              </w:rPr>
            </w:pPr>
            <w:r>
              <w:rPr>
                <w:rFonts w:ascii="Arial" w:cs="Arial" w:eastAsia="Arial" w:hAnsi="Arial"/>
                <w:sz w:val="14"/>
                <w:szCs w:val="14"/>
                <w:b w:val="1"/>
                <w:bCs w:val="1"/>
                <w:color w:val="auto"/>
              </w:rPr>
              <w:t>September 30,</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20" w:type="dxa"/>
            <w:vAlign w:val="bottom"/>
            <w:vMerge w:val="restart"/>
          </w:tcPr>
          <w:p>
            <w:pPr>
              <w:jc w:val="right"/>
              <w:ind w:right="70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40" w:type="dxa"/>
            <w:vAlign w:val="bottom"/>
            <w:vMerge w:val="restart"/>
          </w:tcPr>
          <w:p>
            <w:pPr>
              <w:jc w:val="right"/>
              <w:ind w:right="76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5"/>
        </w:trPr>
        <w:tc>
          <w:tcPr>
            <w:tcW w:w="4140" w:type="dxa"/>
            <w:vAlign w:val="bottom"/>
          </w:tcPr>
          <w:p>
            <w:pPr>
              <w:spacing w:after="0"/>
              <w:rPr>
                <w:sz w:val="16"/>
                <w:szCs w:val="16"/>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2024</w:t>
            </w:r>
          </w:p>
        </w:tc>
        <w:tc>
          <w:tcPr>
            <w:tcW w:w="6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80" w:type="dxa"/>
            <w:vAlign w:val="bottom"/>
            <w:gridSpan w:val="3"/>
          </w:tcPr>
          <w:p>
            <w:pPr>
              <w:ind w:left="160"/>
              <w:spacing w:after="0"/>
              <w:rPr>
                <w:sz w:val="20"/>
                <w:szCs w:val="20"/>
                <w:color w:val="auto"/>
              </w:rPr>
            </w:pPr>
            <w:r>
              <w:rPr>
                <w:rFonts w:ascii="Arial" w:cs="Arial" w:eastAsia="Arial" w:hAnsi="Arial"/>
                <w:sz w:val="14"/>
                <w:szCs w:val="14"/>
                <w:i w:val="1"/>
                <w:iCs w:val="1"/>
                <w:color w:val="auto"/>
              </w:rPr>
              <w:t>(dollars in thousands)</w:t>
            </w:r>
          </w:p>
        </w:tc>
        <w:tc>
          <w:tcPr>
            <w:tcW w:w="4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Research and development</w:t>
            </w:r>
          </w:p>
        </w:tc>
        <w:tc>
          <w:tcPr>
            <w:tcW w:w="1080" w:type="dxa"/>
            <w:vAlign w:val="bottom"/>
            <w:shd w:val="clear" w:color="auto" w:fill="CCEEFF"/>
          </w:tcPr>
          <w:p>
            <w:pPr>
              <w:jc w:val="right"/>
              <w:ind w:right="90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11,923</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48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10,997</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926</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8 %</w:t>
            </w:r>
          </w:p>
        </w:tc>
        <w:tc>
          <w:tcPr>
            <w:tcW w:w="0" w:type="dxa"/>
            <w:vAlign w:val="bottom"/>
          </w:tcPr>
          <w:p>
            <w:pPr>
              <w:spacing w:after="0"/>
              <w:rPr>
                <w:sz w:val="1"/>
                <w:szCs w:val="1"/>
                <w:color w:val="auto"/>
              </w:rPr>
            </w:pPr>
          </w:p>
        </w:tc>
      </w:tr>
      <w:tr>
        <w:trPr>
          <w:trHeight w:val="198"/>
        </w:trPr>
        <w:tc>
          <w:tcPr>
            <w:tcW w:w="4140" w:type="dxa"/>
            <w:vAlign w:val="bottom"/>
          </w:tcPr>
          <w:p>
            <w:pPr>
              <w:ind w:left="20"/>
              <w:spacing w:after="0"/>
              <w:rPr>
                <w:sz w:val="20"/>
                <w:szCs w:val="20"/>
                <w:color w:val="auto"/>
              </w:rPr>
            </w:pPr>
            <w:r>
              <w:rPr>
                <w:rFonts w:ascii="Arial" w:cs="Arial" w:eastAsia="Arial" w:hAnsi="Arial"/>
                <w:sz w:val="14"/>
                <w:szCs w:val="14"/>
                <w:color w:val="auto"/>
              </w:rPr>
              <w:t>Sales and marketing</w:t>
            </w:r>
          </w:p>
        </w:tc>
        <w:tc>
          <w:tcPr>
            <w:tcW w:w="1080" w:type="dxa"/>
            <w:vAlign w:val="bottom"/>
          </w:tcPr>
          <w:p>
            <w:pPr>
              <w:spacing w:after="0"/>
              <w:rPr>
                <w:sz w:val="17"/>
                <w:szCs w:val="17"/>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4,962</w:t>
            </w: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5,024</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(62)</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7"/>
        </w:trPr>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General and administrative</w:t>
            </w:r>
          </w:p>
        </w:tc>
        <w:tc>
          <w:tcPr>
            <w:tcW w:w="108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4,286</w:t>
            </w:r>
          </w:p>
        </w:tc>
        <w:tc>
          <w:tcPr>
            <w:tcW w:w="8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4,426</w:t>
            </w:r>
          </w:p>
        </w:tc>
        <w:tc>
          <w:tcPr>
            <w:tcW w:w="1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(140)</w:t>
            </w:r>
          </w:p>
        </w:tc>
        <w:tc>
          <w:tcPr>
            <w:tcW w:w="10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92"/>
        </w:trPr>
        <w:tc>
          <w:tcPr>
            <w:tcW w:w="4140" w:type="dxa"/>
            <w:vAlign w:val="bottom"/>
          </w:tcPr>
          <w:p>
            <w:pPr>
              <w:ind w:left="20"/>
              <w:spacing w:after="0"/>
              <w:rPr>
                <w:sz w:val="20"/>
                <w:szCs w:val="20"/>
                <w:color w:val="auto"/>
              </w:rPr>
            </w:pPr>
            <w:r>
              <w:rPr>
                <w:rFonts w:ascii="Arial" w:cs="Arial" w:eastAsia="Arial" w:hAnsi="Arial"/>
                <w:sz w:val="14"/>
                <w:szCs w:val="14"/>
                <w:color w:val="auto"/>
              </w:rPr>
              <w:t>Total operating expenses</w:t>
            </w:r>
          </w:p>
        </w:tc>
        <w:tc>
          <w:tcPr>
            <w:tcW w:w="1080" w:type="dxa"/>
            <w:vAlign w:val="bottom"/>
            <w:tcBorders>
              <w:bottom w:val="single" w:sz="8" w:color="auto"/>
            </w:tcBorders>
          </w:tcPr>
          <w:p>
            <w:pPr>
              <w:jc w:val="right"/>
              <w:ind w:right="90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21,171</w:t>
            </w:r>
          </w:p>
        </w:tc>
        <w:tc>
          <w:tcPr>
            <w:tcW w:w="80" w:type="dxa"/>
            <w:vAlign w:val="bottom"/>
          </w:tcPr>
          <w:p>
            <w:pPr>
              <w:spacing w:after="0"/>
              <w:rPr>
                <w:sz w:val="16"/>
                <w:szCs w:val="16"/>
                <w:color w:val="auto"/>
              </w:rPr>
            </w:pPr>
          </w:p>
        </w:tc>
        <w:tc>
          <w:tcPr>
            <w:tcW w:w="6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20,447</w:t>
            </w:r>
          </w:p>
        </w:tc>
        <w:tc>
          <w:tcPr>
            <w:tcW w:w="100" w:type="dxa"/>
            <w:vAlign w:val="bottom"/>
          </w:tcPr>
          <w:p>
            <w:pPr>
              <w:spacing w:after="0"/>
              <w:rPr>
                <w:sz w:val="16"/>
                <w:szCs w:val="16"/>
                <w:color w:val="auto"/>
              </w:rPr>
            </w:pP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724</w:t>
            </w:r>
          </w:p>
        </w:tc>
        <w:tc>
          <w:tcPr>
            <w:tcW w:w="10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4 %</w:t>
            </w:r>
          </w:p>
        </w:tc>
        <w:tc>
          <w:tcPr>
            <w:tcW w:w="0" w:type="dxa"/>
            <w:vAlign w:val="bottom"/>
          </w:tcPr>
          <w:p>
            <w:pPr>
              <w:spacing w:after="0"/>
              <w:rPr>
                <w:sz w:val="1"/>
                <w:szCs w:val="1"/>
                <w:color w:val="auto"/>
              </w:rPr>
            </w:pPr>
          </w:p>
        </w:tc>
      </w:tr>
      <w:tr>
        <w:trPr>
          <w:trHeight w:val="25"/>
        </w:trPr>
        <w:tc>
          <w:tcPr>
            <w:tcW w:w="41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R&amp;D expenses increased, $0.9 million, or 8%, to $11.9 million for the three months ended September 30, 2024 from $11.0 million for the three months ended September 30, 2023. The increase in R&amp;D expenses was due to higher employee-related costs of $0.4 million primarily attributable to increased engineering headcount to support our continued growth and investment in our interconnect technology and SIA solutions. We also incurred higher stock-based compensation expense of $0.4 million primarily related to new grants in 2024.</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 expenses</w:t>
      </w:r>
    </w:p>
    <w:p>
      <w:pPr>
        <w:spacing w:after="0" w:line="22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S&amp;M expenses remained relatively flat for the three months ended September 30, 2024 when compared to the three months ended September 30, 2023.</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3"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G&amp;A expenses remained relatively flat for the three months ended September 30, 2024 when compared to the three months ended September 30, 2023.</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2420" w:type="dxa"/>
            <w:vAlign w:val="bottom"/>
            <w:gridSpan w:val="3"/>
          </w:tcPr>
          <w:p>
            <w:pPr>
              <w:jc w:val="center"/>
              <w:ind w:left="908"/>
              <w:spacing w:after="0"/>
              <w:rPr>
                <w:sz w:val="20"/>
                <w:szCs w:val="20"/>
                <w:color w:val="auto"/>
              </w:rPr>
            </w:pPr>
            <w:r>
              <w:rPr>
                <w:rFonts w:ascii="Arial" w:cs="Arial" w:eastAsia="Arial" w:hAnsi="Arial"/>
                <w:sz w:val="14"/>
                <w:szCs w:val="14"/>
                <w:b w:val="1"/>
                <w:bCs w:val="1"/>
                <w:color w:val="auto"/>
              </w:rPr>
              <w:t>Three Months Ended</w:t>
            </w:r>
          </w:p>
        </w:tc>
        <w:tc>
          <w:tcPr>
            <w:tcW w:w="10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80" w:type="dxa"/>
            <w:vAlign w:val="bottom"/>
          </w:tcPr>
          <w:p>
            <w:pPr>
              <w:jc w:val="right"/>
              <w:ind w:right="208"/>
              <w:spacing w:after="0"/>
              <w:rPr>
                <w:sz w:val="20"/>
                <w:szCs w:val="20"/>
                <w:color w:val="auto"/>
              </w:rPr>
            </w:pPr>
            <w:r>
              <w:rPr>
                <w:rFonts w:ascii="Arial" w:cs="Arial" w:eastAsia="Arial" w:hAnsi="Arial"/>
                <w:sz w:val="14"/>
                <w:szCs w:val="14"/>
                <w:b w:val="1"/>
                <w:bCs w:val="1"/>
                <w:color w:val="auto"/>
              </w:rPr>
              <w:t>Change</w:t>
            </w:r>
          </w:p>
        </w:tc>
        <w:tc>
          <w:tcPr>
            <w:tcW w:w="1240" w:type="dxa"/>
            <w:vAlign w:val="bottom"/>
          </w:tcPr>
          <w:p>
            <w:pPr>
              <w:spacing w:after="0"/>
              <w:rPr>
                <w:sz w:val="14"/>
                <w:szCs w:val="14"/>
                <w:color w:val="auto"/>
              </w:rPr>
            </w:pPr>
          </w:p>
        </w:tc>
      </w:tr>
      <w:tr>
        <w:trPr>
          <w:trHeight w:val="189"/>
        </w:trPr>
        <w:tc>
          <w:tcPr>
            <w:tcW w:w="414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28"/>
              <w:spacing w:after="0"/>
              <w:rPr>
                <w:sz w:val="20"/>
                <w:szCs w:val="20"/>
                <w:color w:val="auto"/>
              </w:rPr>
            </w:pPr>
            <w:r>
              <w:rPr>
                <w:rFonts w:ascii="Arial" w:cs="Arial" w:eastAsia="Arial" w:hAnsi="Arial"/>
                <w:sz w:val="14"/>
                <w:szCs w:val="14"/>
                <w:b w:val="1"/>
                <w:bCs w:val="1"/>
                <w:color w:val="auto"/>
              </w:rPr>
              <w:t>September 30,</w:t>
            </w:r>
          </w:p>
        </w:tc>
        <w:tc>
          <w:tcPr>
            <w:tcW w:w="1020" w:type="dxa"/>
            <w:vAlign w:val="bottom"/>
            <w:tcBorders>
              <w:bottom w:val="single" w:sz="8" w:color="auto"/>
            </w:tcBorders>
          </w:tcPr>
          <w:p>
            <w:pPr>
              <w:spacing w:after="0"/>
              <w:rPr>
                <w:sz w:val="16"/>
                <w:szCs w:val="16"/>
                <w:color w:val="auto"/>
              </w:rPr>
            </w:pPr>
          </w:p>
        </w:tc>
        <w:tc>
          <w:tcPr>
            <w:tcW w:w="5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5"/>
        </w:trPr>
        <w:tc>
          <w:tcPr>
            <w:tcW w:w="4140" w:type="dxa"/>
            <w:vAlign w:val="bottom"/>
          </w:tcPr>
          <w:p>
            <w:pPr>
              <w:spacing w:after="0"/>
              <w:rPr>
                <w:sz w:val="16"/>
                <w:szCs w:val="16"/>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2024</w:t>
            </w:r>
          </w:p>
        </w:tc>
        <w:tc>
          <w:tcPr>
            <w:tcW w:w="6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2023</w:t>
            </w:r>
          </w:p>
        </w:tc>
        <w:tc>
          <w:tcPr>
            <w:tcW w:w="5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right"/>
              <w:ind w:right="1368"/>
              <w:spacing w:after="0"/>
              <w:rPr>
                <w:sz w:val="20"/>
                <w:szCs w:val="20"/>
                <w:color w:val="auto"/>
              </w:rPr>
            </w:pPr>
            <w:r>
              <w:rPr>
                <w:rFonts w:ascii="Arial" w:cs="Arial" w:eastAsia="Arial" w:hAnsi="Arial"/>
                <w:sz w:val="14"/>
                <w:szCs w:val="14"/>
                <w:b w:val="1"/>
                <w:bCs w:val="1"/>
                <w:color w:val="auto"/>
              </w:rPr>
              <w:t>$</w:t>
            </w:r>
          </w:p>
        </w:tc>
        <w:tc>
          <w:tcPr>
            <w:tcW w:w="1240" w:type="dxa"/>
            <w:vAlign w:val="bottom"/>
            <w:tcBorders>
              <w:bottom w:val="single" w:sz="8" w:color="auto"/>
            </w:tcBorders>
          </w:tcPr>
          <w:p>
            <w:pPr>
              <w:jc w:val="right"/>
              <w:ind w:right="768"/>
              <w:spacing w:after="0"/>
              <w:rPr>
                <w:sz w:val="20"/>
                <w:szCs w:val="20"/>
                <w:color w:val="auto"/>
              </w:rPr>
            </w:pPr>
            <w:r>
              <w:rPr>
                <w:rFonts w:ascii="Arial" w:cs="Arial" w:eastAsia="Arial" w:hAnsi="Arial"/>
                <w:sz w:val="14"/>
                <w:szCs w:val="14"/>
                <w:b w:val="1"/>
                <w:bCs w:val="1"/>
                <w:color w:val="auto"/>
              </w:rPr>
              <w:t>%</w:t>
            </w:r>
          </w:p>
        </w:tc>
      </w:tr>
      <w:tr>
        <w:trPr>
          <w:trHeight w:val="193"/>
        </w:trPr>
        <w:tc>
          <w:tcPr>
            <w:tcW w:w="4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720" w:type="dxa"/>
            <w:vAlign w:val="bottom"/>
            <w:gridSpan w:val="2"/>
          </w:tcPr>
          <w:p>
            <w:pPr>
              <w:jc w:val="center"/>
              <w:spacing w:after="0"/>
              <w:rPr>
                <w:sz w:val="20"/>
                <w:szCs w:val="20"/>
                <w:color w:val="auto"/>
              </w:rPr>
            </w:pPr>
            <w:r>
              <w:rPr>
                <w:rFonts w:ascii="Arial" w:cs="Arial" w:eastAsia="Arial" w:hAnsi="Arial"/>
                <w:sz w:val="14"/>
                <w:szCs w:val="14"/>
                <w:i w:val="1"/>
                <w:iCs w:val="1"/>
                <w:color w:val="auto"/>
              </w:rPr>
              <w:t>(dollars in thousands)</w:t>
            </w:r>
          </w:p>
        </w:tc>
        <w:tc>
          <w:tcPr>
            <w:tcW w:w="5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06"/>
        </w:trPr>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1120" w:type="dxa"/>
            <w:vAlign w:val="bottom"/>
            <w:shd w:val="clear" w:color="auto" w:fill="CCEEFF"/>
          </w:tcPr>
          <w:p>
            <w:pPr>
              <w:jc w:val="right"/>
              <w:ind w:right="94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(55)</w:t>
            </w:r>
          </w:p>
        </w:tc>
        <w:tc>
          <w:tcPr>
            <w:tcW w:w="700" w:type="dxa"/>
            <w:vAlign w:val="bottom"/>
            <w:shd w:val="clear" w:color="auto" w:fill="CCEEFF"/>
          </w:tcPr>
          <w:p>
            <w:pPr>
              <w:jc w:val="right"/>
              <w:ind w:right="48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5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880" w:type="dxa"/>
            <w:vAlign w:val="bottom"/>
            <w:shd w:val="clear" w:color="auto" w:fill="CCEEFF"/>
          </w:tcPr>
          <w:p>
            <w:pPr>
              <w:jc w:val="right"/>
              <w:ind w:right="648"/>
              <w:spacing w:after="0"/>
              <w:rPr>
                <w:sz w:val="20"/>
                <w:szCs w:val="20"/>
                <w:color w:val="auto"/>
              </w:rPr>
            </w:pPr>
            <w:r>
              <w:rPr>
                <w:rFonts w:ascii="Arial" w:cs="Arial" w:eastAsia="Arial" w:hAnsi="Arial"/>
                <w:sz w:val="14"/>
                <w:szCs w:val="14"/>
                <w:color w:val="auto"/>
              </w:rPr>
              <w:t>22</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r>
    </w:tbl>
    <w:p>
      <w:pPr>
        <w:spacing w:after="0" w:line="27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Interest expense remained relatively flat for the three months ended September 30, 2024 when compared to the three months ended September 30, 2023.</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2420" w:type="dxa"/>
            <w:vAlign w:val="bottom"/>
            <w:gridSpan w:val="3"/>
          </w:tcPr>
          <w:p>
            <w:pPr>
              <w:jc w:val="center"/>
              <w:ind w:left="908"/>
              <w:spacing w:after="0"/>
              <w:rPr>
                <w:sz w:val="20"/>
                <w:szCs w:val="20"/>
                <w:color w:val="auto"/>
              </w:rPr>
            </w:pPr>
            <w:r>
              <w:rPr>
                <w:rFonts w:ascii="Arial" w:cs="Arial" w:eastAsia="Arial" w:hAnsi="Arial"/>
                <w:sz w:val="14"/>
                <w:szCs w:val="14"/>
                <w:b w:val="1"/>
                <w:bCs w:val="1"/>
                <w:color w:val="auto"/>
              </w:rPr>
              <w:t>Three Months Ended</w:t>
            </w:r>
          </w:p>
        </w:tc>
        <w:tc>
          <w:tcPr>
            <w:tcW w:w="10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80" w:type="dxa"/>
            <w:vAlign w:val="bottom"/>
          </w:tcPr>
          <w:p>
            <w:pPr>
              <w:jc w:val="right"/>
              <w:ind w:right="208"/>
              <w:spacing w:after="0"/>
              <w:rPr>
                <w:sz w:val="20"/>
                <w:szCs w:val="20"/>
                <w:color w:val="auto"/>
              </w:rPr>
            </w:pPr>
            <w:r>
              <w:rPr>
                <w:rFonts w:ascii="Arial" w:cs="Arial" w:eastAsia="Arial" w:hAnsi="Arial"/>
                <w:sz w:val="14"/>
                <w:szCs w:val="14"/>
                <w:b w:val="1"/>
                <w:bCs w:val="1"/>
                <w:color w:val="auto"/>
              </w:rPr>
              <w:t>Change</w:t>
            </w: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14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28"/>
              <w:spacing w:after="0"/>
              <w:rPr>
                <w:sz w:val="20"/>
                <w:szCs w:val="20"/>
                <w:color w:val="auto"/>
              </w:rPr>
            </w:pPr>
            <w:r>
              <w:rPr>
                <w:rFonts w:ascii="Arial" w:cs="Arial" w:eastAsia="Arial" w:hAnsi="Arial"/>
                <w:sz w:val="14"/>
                <w:szCs w:val="14"/>
                <w:b w:val="1"/>
                <w:bCs w:val="1"/>
                <w:color w:val="auto"/>
              </w:rPr>
              <w:t>September 30,</w:t>
            </w:r>
          </w:p>
        </w:tc>
        <w:tc>
          <w:tcPr>
            <w:tcW w:w="1020" w:type="dxa"/>
            <w:vAlign w:val="bottom"/>
            <w:tcBorders>
              <w:bottom w:val="single" w:sz="8" w:color="auto"/>
            </w:tcBorders>
          </w:tcPr>
          <w:p>
            <w:pPr>
              <w:spacing w:after="0"/>
              <w:rPr>
                <w:sz w:val="16"/>
                <w:szCs w:val="16"/>
                <w:color w:val="auto"/>
              </w:rPr>
            </w:pPr>
          </w:p>
        </w:tc>
        <w:tc>
          <w:tcPr>
            <w:tcW w:w="540" w:type="dxa"/>
            <w:vAlign w:val="bottom"/>
          </w:tcPr>
          <w:p>
            <w:pPr>
              <w:spacing w:after="0"/>
              <w:rPr>
                <w:sz w:val="16"/>
                <w:szCs w:val="16"/>
                <w:color w:val="auto"/>
              </w:rPr>
            </w:pPr>
          </w:p>
        </w:tc>
        <w:tc>
          <w:tcPr>
            <w:tcW w:w="1880" w:type="dxa"/>
            <w:vAlign w:val="bottom"/>
            <w:vMerge w:val="restart"/>
          </w:tcPr>
          <w:p>
            <w:pPr>
              <w:jc w:val="right"/>
              <w:ind w:right="1368"/>
              <w:spacing w:after="0"/>
              <w:rPr>
                <w:sz w:val="20"/>
                <w:szCs w:val="20"/>
                <w:color w:val="auto"/>
              </w:rPr>
            </w:pPr>
            <w:r>
              <w:rPr>
                <w:rFonts w:ascii="Arial" w:cs="Arial" w:eastAsia="Arial" w:hAnsi="Arial"/>
                <w:sz w:val="14"/>
                <w:szCs w:val="14"/>
                <w:b w:val="1"/>
                <w:bCs w:val="1"/>
                <w:color w:val="auto"/>
              </w:rPr>
              <w:t>$</w:t>
            </w:r>
          </w:p>
        </w:tc>
        <w:tc>
          <w:tcPr>
            <w:tcW w:w="1240" w:type="dxa"/>
            <w:vAlign w:val="bottom"/>
            <w:vMerge w:val="restart"/>
          </w:tcPr>
          <w:p>
            <w:pPr>
              <w:jc w:val="right"/>
              <w:ind w:right="76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5"/>
        </w:trPr>
        <w:tc>
          <w:tcPr>
            <w:tcW w:w="4140" w:type="dxa"/>
            <w:vAlign w:val="bottom"/>
          </w:tcPr>
          <w:p>
            <w:pPr>
              <w:spacing w:after="0"/>
              <w:rPr>
                <w:sz w:val="16"/>
                <w:szCs w:val="16"/>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2024</w:t>
            </w:r>
          </w:p>
        </w:tc>
        <w:tc>
          <w:tcPr>
            <w:tcW w:w="5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2023</w:t>
            </w:r>
          </w:p>
        </w:tc>
        <w:tc>
          <w:tcPr>
            <w:tcW w:w="5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vMerge w:val="continue"/>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740" w:type="dxa"/>
            <w:vAlign w:val="bottom"/>
            <w:gridSpan w:val="2"/>
          </w:tcPr>
          <w:p>
            <w:pPr>
              <w:jc w:val="center"/>
              <w:ind w:left="8"/>
              <w:spacing w:after="0"/>
              <w:rPr>
                <w:sz w:val="20"/>
                <w:szCs w:val="20"/>
                <w:color w:val="auto"/>
              </w:rPr>
            </w:pPr>
            <w:r>
              <w:rPr>
                <w:rFonts w:ascii="Arial" w:cs="Arial" w:eastAsia="Arial" w:hAnsi="Arial"/>
                <w:sz w:val="14"/>
                <w:szCs w:val="14"/>
                <w:i w:val="1"/>
                <w:iCs w:val="1"/>
                <w:color w:val="auto"/>
              </w:rPr>
              <w:t>(dollars in thousands)</w:t>
            </w:r>
          </w:p>
        </w:tc>
        <w:tc>
          <w:tcPr>
            <w:tcW w:w="5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income (expense), net</w:t>
            </w:r>
          </w:p>
        </w:tc>
        <w:tc>
          <w:tcPr>
            <w:tcW w:w="1120" w:type="dxa"/>
            <w:vAlign w:val="bottom"/>
            <w:shd w:val="clear" w:color="auto" w:fill="CCEEFF"/>
          </w:tcPr>
          <w:p>
            <w:pPr>
              <w:jc w:val="right"/>
              <w:ind w:right="948"/>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775</w:t>
            </w:r>
          </w:p>
        </w:tc>
        <w:tc>
          <w:tcPr>
            <w:tcW w:w="720" w:type="dxa"/>
            <w:vAlign w:val="bottom"/>
            <w:shd w:val="clear" w:color="auto" w:fill="CCEEFF"/>
          </w:tcPr>
          <w:p>
            <w:pPr>
              <w:jc w:val="right"/>
              <w:ind w:right="48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898</w:t>
            </w:r>
          </w:p>
        </w:tc>
        <w:tc>
          <w:tcPr>
            <w:tcW w:w="5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880" w:type="dxa"/>
            <w:vAlign w:val="bottom"/>
            <w:shd w:val="clear" w:color="auto" w:fill="CCEEFF"/>
          </w:tcPr>
          <w:p>
            <w:pPr>
              <w:jc w:val="right"/>
              <w:ind w:right="608"/>
              <w:spacing w:after="0"/>
              <w:rPr>
                <w:sz w:val="20"/>
                <w:szCs w:val="20"/>
                <w:color w:val="auto"/>
              </w:rPr>
            </w:pPr>
            <w:r>
              <w:rPr>
                <w:rFonts w:ascii="Arial" w:cs="Arial" w:eastAsia="Arial" w:hAnsi="Arial"/>
                <w:sz w:val="14"/>
                <w:szCs w:val="14"/>
                <w:color w:val="auto"/>
              </w:rPr>
              <w:t>(123)</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Other income (expense), net remained relatively flat for the three months ended September 30, 2024, when compared to the three months ended September 30,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8" w:name="page29"/>
    <w:bookmarkEnd w:id="28"/>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Loss from equity method investment</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2580" w:type="dxa"/>
            <w:vAlign w:val="bottom"/>
            <w:gridSpan w:val="3"/>
          </w:tcPr>
          <w:p>
            <w:pPr>
              <w:jc w:val="center"/>
              <w:ind w:left="328"/>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340" w:type="dxa"/>
            <w:vAlign w:val="bottom"/>
          </w:tcPr>
          <w:p>
            <w:pPr>
              <w:jc w:val="right"/>
              <w:ind w:right="160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5"/>
        </w:trPr>
        <w:tc>
          <w:tcPr>
            <w:tcW w:w="424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jc w:val="center"/>
              <w:ind w:right="448"/>
              <w:spacing w:after="0"/>
              <w:rPr>
                <w:sz w:val="20"/>
                <w:szCs w:val="20"/>
                <w:color w:val="auto"/>
              </w:rPr>
            </w:pPr>
            <w:r>
              <w:rPr>
                <w:rFonts w:ascii="Arial" w:cs="Arial" w:eastAsia="Arial" w:hAnsi="Arial"/>
                <w:sz w:val="14"/>
                <w:szCs w:val="14"/>
                <w:b w:val="1"/>
                <w:bCs w:val="1"/>
                <w:color w:val="auto"/>
              </w:rPr>
              <w:t>September 30,</w:t>
            </w:r>
          </w:p>
        </w:tc>
        <w:tc>
          <w:tcPr>
            <w:tcW w:w="440" w:type="dxa"/>
            <w:vAlign w:val="bottom"/>
            <w:tcBorders>
              <w:bottom w:val="single" w:sz="8" w:color="auto"/>
            </w:tcBorders>
          </w:tcPr>
          <w:p>
            <w:pPr>
              <w:spacing w:after="0"/>
              <w:rPr>
                <w:sz w:val="16"/>
                <w:szCs w:val="16"/>
                <w:color w:val="auto"/>
              </w:rPr>
            </w:pPr>
          </w:p>
        </w:tc>
        <w:tc>
          <w:tcPr>
            <w:tcW w:w="480" w:type="dxa"/>
            <w:vAlign w:val="bottom"/>
          </w:tcPr>
          <w:p>
            <w:pPr>
              <w:spacing w:after="0"/>
              <w:rPr>
                <w:sz w:val="16"/>
                <w:szCs w:val="16"/>
                <w:color w:val="auto"/>
              </w:rPr>
            </w:pPr>
          </w:p>
        </w:tc>
        <w:tc>
          <w:tcPr>
            <w:tcW w:w="1160" w:type="dxa"/>
            <w:vAlign w:val="bottom"/>
            <w:vMerge w:val="restart"/>
          </w:tcPr>
          <w:p>
            <w:pPr>
              <w:jc w:val="right"/>
              <w:ind w:right="708"/>
              <w:spacing w:after="0"/>
              <w:rPr>
                <w:sz w:val="20"/>
                <w:szCs w:val="20"/>
                <w:color w:val="auto"/>
              </w:rPr>
            </w:pPr>
            <w:r>
              <w:rPr>
                <w:rFonts w:ascii="Arial" w:cs="Arial" w:eastAsia="Arial" w:hAnsi="Arial"/>
                <w:sz w:val="14"/>
                <w:szCs w:val="14"/>
                <w:b w:val="1"/>
                <w:bCs w:val="1"/>
                <w:color w:val="auto"/>
              </w:rPr>
              <w:t>$</w:t>
            </w:r>
          </w:p>
        </w:tc>
        <w:tc>
          <w:tcPr>
            <w:tcW w:w="2340" w:type="dxa"/>
            <w:vAlign w:val="bottom"/>
            <w:vMerge w:val="restart"/>
          </w:tcPr>
          <w:p>
            <w:pPr>
              <w:jc w:val="right"/>
              <w:ind w:right="102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5"/>
        </w:trPr>
        <w:tc>
          <w:tcPr>
            <w:tcW w:w="424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5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2023</w:t>
            </w:r>
          </w:p>
        </w:tc>
        <w:tc>
          <w:tcPr>
            <w:tcW w:w="4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23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540" w:type="dxa"/>
            <w:vAlign w:val="bottom"/>
            <w:gridSpan w:val="2"/>
          </w:tcPr>
          <w:p>
            <w:pPr>
              <w:jc w:val="center"/>
              <w:ind w:left="8"/>
              <w:spacing w:after="0"/>
              <w:rPr>
                <w:sz w:val="20"/>
                <w:szCs w:val="20"/>
                <w:color w:val="auto"/>
              </w:rPr>
            </w:pPr>
            <w:r>
              <w:rPr>
                <w:rFonts w:ascii="Arial" w:cs="Arial" w:eastAsia="Arial" w:hAnsi="Arial"/>
                <w:sz w:val="14"/>
                <w:szCs w:val="14"/>
                <w:i w:val="1"/>
                <w:iCs w:val="1"/>
                <w:color w:val="auto"/>
              </w:rPr>
              <w:t>(dollars in thousands)</w:t>
            </w:r>
          </w:p>
        </w:tc>
        <w:tc>
          <w:tcPr>
            <w:tcW w:w="4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4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from equity method investment</w:t>
            </w:r>
          </w:p>
        </w:tc>
        <w:tc>
          <w:tcPr>
            <w:tcW w:w="960" w:type="dxa"/>
            <w:vAlign w:val="bottom"/>
            <w:shd w:val="clear" w:color="auto" w:fill="CCEEFF"/>
          </w:tcPr>
          <w:p>
            <w:pPr>
              <w:jc w:val="right"/>
              <w:ind w:right="788"/>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580</w:t>
            </w:r>
          </w:p>
        </w:tc>
        <w:tc>
          <w:tcPr>
            <w:tcW w:w="1100" w:type="dxa"/>
            <w:vAlign w:val="bottom"/>
            <w:shd w:val="clear" w:color="auto" w:fill="CCEEFF"/>
          </w:tcPr>
          <w:p>
            <w:pPr>
              <w:jc w:val="right"/>
              <w:ind w:right="848"/>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919</w:t>
            </w:r>
          </w:p>
        </w:tc>
        <w:tc>
          <w:tcPr>
            <w:tcW w:w="4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(339)</w:t>
            </w:r>
          </w:p>
        </w:tc>
        <w:tc>
          <w:tcPr>
            <w:tcW w:w="2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Loss from equity method investment was $0.6 million for the three months ended September 30, 2024, compared to $0.9 million for the three months ended September 30, 2023, representing our proportionate share of Transchip’s net loss during the three months ended June 30, 2024. The decrease in loss from equity method investment was primarily due to Transchip recognizing higher revenue, resulting in lower losses, during the three months ended June 30, 2024, compared to the same period in 2023. Such losses are expected to continue in the near future.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(benefit from) income taxes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2420" w:type="dxa"/>
            <w:vAlign w:val="bottom"/>
            <w:gridSpan w:val="3"/>
          </w:tcPr>
          <w:p>
            <w:pPr>
              <w:jc w:val="center"/>
              <w:ind w:left="908"/>
              <w:spacing w:after="0"/>
              <w:rPr>
                <w:sz w:val="20"/>
                <w:szCs w:val="20"/>
                <w:color w:val="auto"/>
              </w:rPr>
            </w:pPr>
            <w:r>
              <w:rPr>
                <w:rFonts w:ascii="Arial" w:cs="Arial" w:eastAsia="Arial" w:hAnsi="Arial"/>
                <w:sz w:val="14"/>
                <w:szCs w:val="14"/>
                <w:b w:val="1"/>
                <w:bCs w:val="1"/>
                <w:color w:val="auto"/>
              </w:rPr>
              <w:t>Three Months Ended</w:t>
            </w:r>
          </w:p>
        </w:tc>
        <w:tc>
          <w:tcPr>
            <w:tcW w:w="10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80" w:type="dxa"/>
            <w:vAlign w:val="bottom"/>
          </w:tcPr>
          <w:p>
            <w:pPr>
              <w:jc w:val="right"/>
              <w:ind w:right="208"/>
              <w:spacing w:after="0"/>
              <w:rPr>
                <w:sz w:val="20"/>
                <w:szCs w:val="20"/>
                <w:color w:val="auto"/>
              </w:rPr>
            </w:pPr>
            <w:r>
              <w:rPr>
                <w:rFonts w:ascii="Arial" w:cs="Arial" w:eastAsia="Arial" w:hAnsi="Arial"/>
                <w:sz w:val="14"/>
                <w:szCs w:val="14"/>
                <w:b w:val="1"/>
                <w:bCs w:val="1"/>
                <w:color w:val="auto"/>
              </w:rPr>
              <w:t>Change</w:t>
            </w: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14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28"/>
              <w:spacing w:after="0"/>
              <w:rPr>
                <w:sz w:val="20"/>
                <w:szCs w:val="20"/>
                <w:color w:val="auto"/>
              </w:rPr>
            </w:pPr>
            <w:r>
              <w:rPr>
                <w:rFonts w:ascii="Arial" w:cs="Arial" w:eastAsia="Arial" w:hAnsi="Arial"/>
                <w:sz w:val="14"/>
                <w:szCs w:val="14"/>
                <w:b w:val="1"/>
                <w:bCs w:val="1"/>
                <w:color w:val="auto"/>
              </w:rPr>
              <w:t>September 30,</w:t>
            </w:r>
          </w:p>
        </w:tc>
        <w:tc>
          <w:tcPr>
            <w:tcW w:w="1020" w:type="dxa"/>
            <w:vAlign w:val="bottom"/>
            <w:tcBorders>
              <w:bottom w:val="single" w:sz="8" w:color="auto"/>
            </w:tcBorders>
          </w:tcPr>
          <w:p>
            <w:pPr>
              <w:spacing w:after="0"/>
              <w:rPr>
                <w:sz w:val="16"/>
                <w:szCs w:val="16"/>
                <w:color w:val="auto"/>
              </w:rPr>
            </w:pPr>
          </w:p>
        </w:tc>
        <w:tc>
          <w:tcPr>
            <w:tcW w:w="540" w:type="dxa"/>
            <w:vAlign w:val="bottom"/>
          </w:tcPr>
          <w:p>
            <w:pPr>
              <w:spacing w:after="0"/>
              <w:rPr>
                <w:sz w:val="16"/>
                <w:szCs w:val="16"/>
                <w:color w:val="auto"/>
              </w:rPr>
            </w:pPr>
          </w:p>
        </w:tc>
        <w:tc>
          <w:tcPr>
            <w:tcW w:w="1880" w:type="dxa"/>
            <w:vAlign w:val="bottom"/>
            <w:vMerge w:val="restart"/>
          </w:tcPr>
          <w:p>
            <w:pPr>
              <w:jc w:val="right"/>
              <w:ind w:right="1368"/>
              <w:spacing w:after="0"/>
              <w:rPr>
                <w:sz w:val="20"/>
                <w:szCs w:val="20"/>
                <w:color w:val="auto"/>
              </w:rPr>
            </w:pPr>
            <w:r>
              <w:rPr>
                <w:rFonts w:ascii="Arial" w:cs="Arial" w:eastAsia="Arial" w:hAnsi="Arial"/>
                <w:sz w:val="14"/>
                <w:szCs w:val="14"/>
                <w:b w:val="1"/>
                <w:bCs w:val="1"/>
                <w:color w:val="auto"/>
              </w:rPr>
              <w:t>$</w:t>
            </w:r>
          </w:p>
        </w:tc>
        <w:tc>
          <w:tcPr>
            <w:tcW w:w="1240" w:type="dxa"/>
            <w:vAlign w:val="bottom"/>
            <w:vMerge w:val="restart"/>
          </w:tcPr>
          <w:p>
            <w:pPr>
              <w:jc w:val="right"/>
              <w:ind w:right="76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5"/>
        </w:trPr>
        <w:tc>
          <w:tcPr>
            <w:tcW w:w="4140" w:type="dxa"/>
            <w:vAlign w:val="bottom"/>
          </w:tcPr>
          <w:p>
            <w:pPr>
              <w:spacing w:after="0"/>
              <w:rPr>
                <w:sz w:val="16"/>
                <w:szCs w:val="16"/>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2024</w:t>
            </w:r>
          </w:p>
        </w:tc>
        <w:tc>
          <w:tcPr>
            <w:tcW w:w="6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2023</w:t>
            </w:r>
          </w:p>
        </w:tc>
        <w:tc>
          <w:tcPr>
            <w:tcW w:w="5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vMerge w:val="continue"/>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720" w:type="dxa"/>
            <w:vAlign w:val="bottom"/>
            <w:gridSpan w:val="2"/>
          </w:tcPr>
          <w:p>
            <w:pPr>
              <w:jc w:val="center"/>
              <w:spacing w:after="0"/>
              <w:rPr>
                <w:sz w:val="20"/>
                <w:szCs w:val="20"/>
                <w:color w:val="auto"/>
              </w:rPr>
            </w:pPr>
            <w:r>
              <w:rPr>
                <w:rFonts w:ascii="Arial" w:cs="Arial" w:eastAsia="Arial" w:hAnsi="Arial"/>
                <w:sz w:val="14"/>
                <w:szCs w:val="14"/>
                <w:i w:val="1"/>
                <w:iCs w:val="1"/>
                <w:color w:val="auto"/>
              </w:rPr>
              <w:t>(dollars in thousands)</w:t>
            </w:r>
          </w:p>
        </w:tc>
        <w:tc>
          <w:tcPr>
            <w:tcW w:w="5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Provision for (benefit from) income taxes</w:t>
            </w:r>
          </w:p>
        </w:tc>
        <w:tc>
          <w:tcPr>
            <w:tcW w:w="1120" w:type="dxa"/>
            <w:vAlign w:val="bottom"/>
            <w:shd w:val="clear" w:color="auto" w:fill="CCEEFF"/>
          </w:tcPr>
          <w:p>
            <w:pPr>
              <w:jc w:val="right"/>
              <w:ind w:right="94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(92)</w:t>
            </w:r>
          </w:p>
        </w:tc>
        <w:tc>
          <w:tcPr>
            <w:tcW w:w="700" w:type="dxa"/>
            <w:vAlign w:val="bottom"/>
            <w:shd w:val="clear" w:color="auto" w:fill="CCEEFF"/>
          </w:tcPr>
          <w:p>
            <w:pPr>
              <w:jc w:val="right"/>
              <w:ind w:right="48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(398)</w:t>
            </w:r>
          </w:p>
        </w:tc>
        <w:tc>
          <w:tcPr>
            <w:tcW w:w="5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880" w:type="dxa"/>
            <w:vAlign w:val="bottom"/>
            <w:shd w:val="clear" w:color="auto" w:fill="CCEEFF"/>
          </w:tcPr>
          <w:p>
            <w:pPr>
              <w:jc w:val="right"/>
              <w:ind w:right="648"/>
              <w:spacing w:after="0"/>
              <w:rPr>
                <w:sz w:val="20"/>
                <w:szCs w:val="20"/>
                <w:color w:val="auto"/>
              </w:rPr>
            </w:pPr>
            <w:r>
              <w:rPr>
                <w:rFonts w:ascii="Arial" w:cs="Arial" w:eastAsia="Arial" w:hAnsi="Arial"/>
                <w:sz w:val="14"/>
                <w:szCs w:val="14"/>
                <w:color w:val="auto"/>
              </w:rPr>
              <w:t>306</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provision for (benefit from) income taxes was a benefit of $0.1 million for the three months ended September 30, 2024 compared to a benefit of $0.4 million for the three months ended September 30, 2023. The increase in our income tax expense was due to a change in the forecasted geographic mix of worldwide earnings which are taxed at different statutory tax rates, the impact of losses in jurisdictions which have full valuation allowances, and changes in current year foreign withholding taxes. Foreign withholding taxes are generally assessed on gross revenue generated, rather than pre-tax income, in certain countries in which the Company does not file an income tax return.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Nine Months Ended September 30, 2024 and 2023</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80" w:type="dxa"/>
            <w:vAlign w:val="bottom"/>
            <w:gridSpan w:val="3"/>
          </w:tcPr>
          <w:p>
            <w:pPr>
              <w:ind w:left="1080"/>
              <w:spacing w:after="0"/>
              <w:rPr>
                <w:sz w:val="20"/>
                <w:szCs w:val="20"/>
                <w:color w:val="auto"/>
              </w:rPr>
            </w:pPr>
            <w:r>
              <w:rPr>
                <w:rFonts w:ascii="Arial" w:cs="Arial" w:eastAsia="Arial" w:hAnsi="Arial"/>
                <w:sz w:val="14"/>
                <w:szCs w:val="14"/>
                <w:b w:val="1"/>
                <w:bCs w:val="1"/>
                <w:color w:val="auto"/>
              </w:rPr>
              <w:t>Change</w:t>
            </w:r>
          </w:p>
        </w:tc>
        <w:tc>
          <w:tcPr>
            <w:tcW w:w="1240" w:type="dxa"/>
            <w:vAlign w:val="bottom"/>
          </w:tcPr>
          <w:p>
            <w:pPr>
              <w:spacing w:after="0"/>
              <w:rPr>
                <w:sz w:val="14"/>
                <w:szCs w:val="14"/>
                <w:color w:val="auto"/>
              </w:rPr>
            </w:pPr>
          </w:p>
        </w:tc>
      </w:tr>
      <w:tr>
        <w:trPr>
          <w:trHeight w:val="189"/>
        </w:trPr>
        <w:tc>
          <w:tcPr>
            <w:tcW w:w="414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108"/>
              <w:spacing w:after="0"/>
              <w:rPr>
                <w:sz w:val="20"/>
                <w:szCs w:val="20"/>
                <w:color w:val="auto"/>
              </w:rPr>
            </w:pPr>
            <w:r>
              <w:rPr>
                <w:rFonts w:ascii="Arial" w:cs="Arial" w:eastAsia="Arial" w:hAnsi="Arial"/>
                <w:sz w:val="14"/>
                <w:szCs w:val="14"/>
                <w:b w:val="1"/>
                <w:bCs w:val="1"/>
                <w:color w:val="auto"/>
              </w:rPr>
              <w:t>September 30,</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5"/>
        </w:trPr>
        <w:tc>
          <w:tcPr>
            <w:tcW w:w="4140" w:type="dxa"/>
            <w:vAlign w:val="bottom"/>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6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768"/>
              <w:spacing w:after="0"/>
              <w:rPr>
                <w:sz w:val="20"/>
                <w:szCs w:val="20"/>
                <w:color w:val="auto"/>
              </w:rPr>
            </w:pPr>
            <w:r>
              <w:rPr>
                <w:rFonts w:ascii="Arial" w:cs="Arial" w:eastAsia="Arial" w:hAnsi="Arial"/>
                <w:sz w:val="14"/>
                <w:szCs w:val="14"/>
                <w:b w:val="1"/>
                <w:bCs w:val="1"/>
                <w:color w:val="auto"/>
              </w:rPr>
              <w:t>%</w:t>
            </w:r>
          </w:p>
        </w:tc>
      </w:tr>
      <w:tr>
        <w:trPr>
          <w:trHeight w:val="193"/>
        </w:trPr>
        <w:tc>
          <w:tcPr>
            <w:tcW w:w="4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80" w:type="dxa"/>
            <w:vAlign w:val="bottom"/>
            <w:gridSpan w:val="3"/>
          </w:tcPr>
          <w:p>
            <w:pPr>
              <w:ind w:left="160"/>
              <w:spacing w:after="0"/>
              <w:rPr>
                <w:sz w:val="20"/>
                <w:szCs w:val="20"/>
                <w:color w:val="auto"/>
              </w:rPr>
            </w:pPr>
            <w:r>
              <w:rPr>
                <w:rFonts w:ascii="Arial" w:cs="Arial" w:eastAsia="Arial" w:hAnsi="Arial"/>
                <w:sz w:val="14"/>
                <w:szCs w:val="14"/>
                <w:i w:val="1"/>
                <w:iCs w:val="1"/>
                <w:color w:val="auto"/>
              </w:rPr>
              <w:t>(dollars in thousands)</w:t>
            </w:r>
          </w:p>
        </w:tc>
        <w:tc>
          <w:tcPr>
            <w:tcW w:w="4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07"/>
        </w:trPr>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Licensing, support and maintenance</w:t>
            </w:r>
          </w:p>
        </w:tc>
        <w:tc>
          <w:tcPr>
            <w:tcW w:w="1020" w:type="dxa"/>
            <w:vAlign w:val="bottom"/>
            <w:shd w:val="clear" w:color="auto" w:fill="CCEEFF"/>
          </w:tcPr>
          <w:p>
            <w:pPr>
              <w:jc w:val="right"/>
              <w:ind w:right="84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38,799</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46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36,926</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1,873</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5 %</w:t>
            </w:r>
          </w:p>
        </w:tc>
      </w:tr>
      <w:tr>
        <w:trPr>
          <w:trHeight w:val="198"/>
        </w:trPr>
        <w:tc>
          <w:tcPr>
            <w:tcW w:w="4140" w:type="dxa"/>
            <w:vAlign w:val="bottom"/>
          </w:tcPr>
          <w:p>
            <w:pPr>
              <w:ind w:left="20"/>
              <w:spacing w:after="0"/>
              <w:rPr>
                <w:sz w:val="20"/>
                <w:szCs w:val="20"/>
                <w:color w:val="auto"/>
              </w:rPr>
            </w:pPr>
            <w:r>
              <w:rPr>
                <w:rFonts w:ascii="Arial" w:cs="Arial" w:eastAsia="Arial" w:hAnsi="Arial"/>
                <w:sz w:val="14"/>
                <w:szCs w:val="14"/>
                <w:color w:val="auto"/>
              </w:rPr>
              <w:t>Variable royalties</w:t>
            </w:r>
          </w:p>
        </w:tc>
        <w:tc>
          <w:tcPr>
            <w:tcW w:w="1020" w:type="dxa"/>
            <w:vAlign w:val="bottom"/>
          </w:tcPr>
          <w:p>
            <w:pPr>
              <w:spacing w:after="0"/>
              <w:rPr>
                <w:sz w:val="17"/>
                <w:szCs w:val="17"/>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2,965</w:t>
            </w: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4,058</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(1,093)</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(27)%</w:t>
            </w:r>
          </w:p>
        </w:tc>
      </w:tr>
      <w:tr>
        <w:trPr>
          <w:trHeight w:val="207"/>
        </w:trPr>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10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471</w:t>
            </w:r>
          </w:p>
        </w:tc>
        <w:tc>
          <w:tcPr>
            <w:tcW w:w="80" w:type="dxa"/>
            <w:vAlign w:val="bottom"/>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178</w:t>
            </w:r>
          </w:p>
        </w:tc>
        <w:tc>
          <w:tcPr>
            <w:tcW w:w="1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293</w:t>
            </w:r>
          </w:p>
        </w:tc>
        <w:tc>
          <w:tcPr>
            <w:tcW w:w="10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165 %</w:t>
            </w:r>
          </w:p>
        </w:tc>
      </w:tr>
      <w:tr>
        <w:trPr>
          <w:trHeight w:val="192"/>
        </w:trPr>
        <w:tc>
          <w:tcPr>
            <w:tcW w:w="4140" w:type="dxa"/>
            <w:vAlign w:val="bottom"/>
          </w:tcPr>
          <w:p>
            <w:pPr>
              <w:ind w:left="20"/>
              <w:spacing w:after="0"/>
              <w:rPr>
                <w:sz w:val="20"/>
                <w:szCs w:val="20"/>
                <w:color w:val="auto"/>
              </w:rPr>
            </w:pPr>
            <w:r>
              <w:rPr>
                <w:rFonts w:ascii="Arial" w:cs="Arial" w:eastAsia="Arial" w:hAnsi="Arial"/>
                <w:sz w:val="14"/>
                <w:szCs w:val="14"/>
                <w:color w:val="auto"/>
              </w:rPr>
              <w:t>Total</w:t>
            </w:r>
          </w:p>
        </w:tc>
        <w:tc>
          <w:tcPr>
            <w:tcW w:w="1020" w:type="dxa"/>
            <w:vAlign w:val="bottom"/>
            <w:tcBorders>
              <w:bottom w:val="single" w:sz="8" w:color="auto"/>
            </w:tcBorders>
          </w:tcPr>
          <w:p>
            <w:pPr>
              <w:jc w:val="right"/>
              <w:ind w:right="84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42,235</w:t>
            </w:r>
          </w:p>
        </w:tc>
        <w:tc>
          <w:tcPr>
            <w:tcW w:w="80" w:type="dxa"/>
            <w:vAlign w:val="bottom"/>
          </w:tcPr>
          <w:p>
            <w:pPr>
              <w:spacing w:after="0"/>
              <w:rPr>
                <w:sz w:val="16"/>
                <w:szCs w:val="16"/>
                <w:color w:val="auto"/>
              </w:rPr>
            </w:pPr>
          </w:p>
        </w:tc>
        <w:tc>
          <w:tcPr>
            <w:tcW w:w="6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41,162</w:t>
            </w:r>
          </w:p>
        </w:tc>
        <w:tc>
          <w:tcPr>
            <w:tcW w:w="100" w:type="dxa"/>
            <w:vAlign w:val="bottom"/>
          </w:tcPr>
          <w:p>
            <w:pPr>
              <w:spacing w:after="0"/>
              <w:rPr>
                <w:sz w:val="16"/>
                <w:szCs w:val="16"/>
                <w:color w:val="auto"/>
              </w:rPr>
            </w:pP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1,073</w:t>
            </w:r>
          </w:p>
        </w:tc>
        <w:tc>
          <w:tcPr>
            <w:tcW w:w="10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3 %</w:t>
            </w:r>
          </w:p>
        </w:tc>
      </w:tr>
      <w:tr>
        <w:trPr>
          <w:trHeight w:val="25"/>
        </w:trPr>
        <w:tc>
          <w:tcPr>
            <w:tcW w:w="41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bl>
    <w:p>
      <w:pPr>
        <w:spacing w:after="0" w:line="27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Revenue from licensing, support and maintenance increased $ 1.9 million during the nine months ended September 30, 2024 when compared to the nine months ended September 30, 2023. The increase was primarily due to new license arrangements with existing customers. The change in variable royalty revenue was primarily due to revenue from royalty audit findings and other one-time up-front royalties from certain customers in 2023. Other revenue increased due to timing of completion of professional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9" w:name="page30"/>
    <w:bookmarkEnd w:id="29"/>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gridSpan w:val="2"/>
          </w:tcPr>
          <w:p>
            <w:pPr>
              <w:spacing w:after="0"/>
              <w:rPr>
                <w:sz w:val="20"/>
                <w:szCs w:val="20"/>
                <w:color w:val="auto"/>
              </w:rPr>
            </w:pPr>
            <w:r>
              <w:rPr>
                <w:rFonts w:ascii="Arial" w:cs="Arial" w:eastAsia="Arial" w:hAnsi="Arial"/>
                <w:sz w:val="14"/>
                <w:szCs w:val="14"/>
                <w:b w:val="1"/>
                <w:bCs w:val="1"/>
                <w:color w:val="auto"/>
              </w:rPr>
              <w:t>Nine Months Ended</w:t>
            </w:r>
          </w:p>
        </w:tc>
        <w:tc>
          <w:tcPr>
            <w:tcW w:w="10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80" w:type="dxa"/>
            <w:vAlign w:val="bottom"/>
          </w:tcPr>
          <w:p>
            <w:pPr>
              <w:jc w:val="right"/>
              <w:ind w:right="208"/>
              <w:spacing w:after="0"/>
              <w:rPr>
                <w:sz w:val="20"/>
                <w:szCs w:val="20"/>
                <w:color w:val="auto"/>
              </w:rPr>
            </w:pPr>
            <w:r>
              <w:rPr>
                <w:rFonts w:ascii="Arial" w:cs="Arial" w:eastAsia="Arial" w:hAnsi="Arial"/>
                <w:sz w:val="14"/>
                <w:szCs w:val="14"/>
                <w:b w:val="1"/>
                <w:bCs w:val="1"/>
                <w:color w:val="auto"/>
              </w:rPr>
              <w:t>Change</w:t>
            </w: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14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September 30,</w:t>
            </w:r>
          </w:p>
        </w:tc>
        <w:tc>
          <w:tcPr>
            <w:tcW w:w="1040" w:type="dxa"/>
            <w:vAlign w:val="bottom"/>
            <w:tcBorders>
              <w:bottom w:val="single" w:sz="8" w:color="auto"/>
            </w:tcBorders>
          </w:tcPr>
          <w:p>
            <w:pPr>
              <w:spacing w:after="0"/>
              <w:rPr>
                <w:sz w:val="16"/>
                <w:szCs w:val="16"/>
                <w:color w:val="auto"/>
              </w:rPr>
            </w:pPr>
          </w:p>
        </w:tc>
        <w:tc>
          <w:tcPr>
            <w:tcW w:w="540" w:type="dxa"/>
            <w:vAlign w:val="bottom"/>
          </w:tcPr>
          <w:p>
            <w:pPr>
              <w:spacing w:after="0"/>
              <w:rPr>
                <w:sz w:val="16"/>
                <w:szCs w:val="16"/>
                <w:color w:val="auto"/>
              </w:rPr>
            </w:pPr>
          </w:p>
        </w:tc>
        <w:tc>
          <w:tcPr>
            <w:tcW w:w="1880" w:type="dxa"/>
            <w:vAlign w:val="bottom"/>
            <w:vMerge w:val="restart"/>
          </w:tcPr>
          <w:p>
            <w:pPr>
              <w:jc w:val="right"/>
              <w:ind w:right="1368"/>
              <w:spacing w:after="0"/>
              <w:rPr>
                <w:sz w:val="20"/>
                <w:szCs w:val="20"/>
                <w:color w:val="auto"/>
              </w:rPr>
            </w:pPr>
            <w:r>
              <w:rPr>
                <w:rFonts w:ascii="Arial" w:cs="Arial" w:eastAsia="Arial" w:hAnsi="Arial"/>
                <w:sz w:val="14"/>
                <w:szCs w:val="14"/>
                <w:b w:val="1"/>
                <w:bCs w:val="1"/>
                <w:color w:val="auto"/>
              </w:rPr>
              <w:t>$</w:t>
            </w:r>
          </w:p>
        </w:tc>
        <w:tc>
          <w:tcPr>
            <w:tcW w:w="1240" w:type="dxa"/>
            <w:vAlign w:val="bottom"/>
            <w:vMerge w:val="restart"/>
          </w:tcPr>
          <w:p>
            <w:pPr>
              <w:jc w:val="right"/>
              <w:ind w:right="76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5"/>
        </w:trPr>
        <w:tc>
          <w:tcPr>
            <w:tcW w:w="4140" w:type="dxa"/>
            <w:vAlign w:val="bottom"/>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6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2023</w:t>
            </w:r>
          </w:p>
        </w:tc>
        <w:tc>
          <w:tcPr>
            <w:tcW w:w="5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vMerge w:val="continue"/>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740" w:type="dxa"/>
            <w:vAlign w:val="bottom"/>
            <w:gridSpan w:val="2"/>
          </w:tcPr>
          <w:p>
            <w:pPr>
              <w:jc w:val="center"/>
              <w:ind w:left="8"/>
              <w:spacing w:after="0"/>
              <w:rPr>
                <w:sz w:val="20"/>
                <w:szCs w:val="20"/>
                <w:color w:val="auto"/>
              </w:rPr>
            </w:pPr>
            <w:r>
              <w:rPr>
                <w:rFonts w:ascii="Arial" w:cs="Arial" w:eastAsia="Arial" w:hAnsi="Arial"/>
                <w:sz w:val="14"/>
                <w:szCs w:val="14"/>
                <w:i w:val="1"/>
                <w:iCs w:val="1"/>
                <w:color w:val="auto"/>
              </w:rPr>
              <w:t>(dollars in thousands)</w:t>
            </w:r>
          </w:p>
        </w:tc>
        <w:tc>
          <w:tcPr>
            <w:tcW w:w="5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revenue</w:t>
            </w:r>
          </w:p>
        </w:tc>
        <w:tc>
          <w:tcPr>
            <w:tcW w:w="1020" w:type="dxa"/>
            <w:vAlign w:val="bottom"/>
            <w:shd w:val="clear" w:color="auto" w:fill="CCEEFF"/>
          </w:tcPr>
          <w:p>
            <w:pPr>
              <w:jc w:val="right"/>
              <w:ind w:right="84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4,387</w:t>
            </w:r>
          </w:p>
        </w:tc>
        <w:tc>
          <w:tcPr>
            <w:tcW w:w="700" w:type="dxa"/>
            <w:vAlign w:val="bottom"/>
            <w:shd w:val="clear" w:color="auto" w:fill="CCEEFF"/>
          </w:tcPr>
          <w:p>
            <w:pPr>
              <w:jc w:val="right"/>
              <w:ind w:right="46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3,629</w:t>
            </w:r>
          </w:p>
        </w:tc>
        <w:tc>
          <w:tcPr>
            <w:tcW w:w="5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880" w:type="dxa"/>
            <w:vAlign w:val="bottom"/>
            <w:shd w:val="clear" w:color="auto" w:fill="CCEEFF"/>
          </w:tcPr>
          <w:p>
            <w:pPr>
              <w:jc w:val="right"/>
              <w:ind w:right="648"/>
              <w:spacing w:after="0"/>
              <w:rPr>
                <w:sz w:val="20"/>
                <w:szCs w:val="20"/>
                <w:color w:val="auto"/>
              </w:rPr>
            </w:pPr>
            <w:r>
              <w:rPr>
                <w:rFonts w:ascii="Arial" w:cs="Arial" w:eastAsia="Arial" w:hAnsi="Arial"/>
                <w:sz w:val="14"/>
                <w:szCs w:val="14"/>
                <w:color w:val="auto"/>
              </w:rPr>
              <w:t>758</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21 %</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Cost of revenue increased, $0.8 million, or 21%, to $4.4 million for the nine months ended September 30, 2024 from $3.6 million for the nine months ended September 30, 2023. The increase in cost of revenue was primarily due to higher FAE employee-related expenses.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80" w:type="dxa"/>
            <w:vAlign w:val="bottom"/>
            <w:gridSpan w:val="3"/>
          </w:tcPr>
          <w:p>
            <w:pPr>
              <w:ind w:left="1080"/>
              <w:spacing w:after="0"/>
              <w:rPr>
                <w:sz w:val="20"/>
                <w:szCs w:val="20"/>
                <w:color w:val="auto"/>
              </w:rPr>
            </w:pPr>
            <w:r>
              <w:rPr>
                <w:rFonts w:ascii="Arial" w:cs="Arial" w:eastAsia="Arial" w:hAnsi="Arial"/>
                <w:sz w:val="14"/>
                <w:szCs w:val="14"/>
                <w:b w:val="1"/>
                <w:bCs w:val="1"/>
                <w:color w:val="auto"/>
              </w:rPr>
              <w:t>Change</w:t>
            </w:r>
          </w:p>
        </w:tc>
        <w:tc>
          <w:tcPr>
            <w:tcW w:w="1240" w:type="dxa"/>
            <w:vAlign w:val="bottom"/>
          </w:tcPr>
          <w:p>
            <w:pPr>
              <w:spacing w:after="0"/>
              <w:rPr>
                <w:sz w:val="14"/>
                <w:szCs w:val="14"/>
                <w:color w:val="auto"/>
              </w:rPr>
            </w:pPr>
          </w:p>
        </w:tc>
      </w:tr>
      <w:tr>
        <w:trPr>
          <w:trHeight w:val="189"/>
        </w:trPr>
        <w:tc>
          <w:tcPr>
            <w:tcW w:w="414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108"/>
              <w:spacing w:after="0"/>
              <w:rPr>
                <w:sz w:val="20"/>
                <w:szCs w:val="20"/>
                <w:color w:val="auto"/>
              </w:rPr>
            </w:pPr>
            <w:r>
              <w:rPr>
                <w:rFonts w:ascii="Arial" w:cs="Arial" w:eastAsia="Arial" w:hAnsi="Arial"/>
                <w:sz w:val="14"/>
                <w:szCs w:val="14"/>
                <w:b w:val="1"/>
                <w:bCs w:val="1"/>
                <w:color w:val="auto"/>
              </w:rPr>
              <w:t>September 30,</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5"/>
        </w:trPr>
        <w:tc>
          <w:tcPr>
            <w:tcW w:w="4140" w:type="dxa"/>
            <w:vAlign w:val="bottom"/>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6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768"/>
              <w:spacing w:after="0"/>
              <w:rPr>
                <w:sz w:val="20"/>
                <w:szCs w:val="20"/>
                <w:color w:val="auto"/>
              </w:rPr>
            </w:pPr>
            <w:r>
              <w:rPr>
                <w:rFonts w:ascii="Arial" w:cs="Arial" w:eastAsia="Arial" w:hAnsi="Arial"/>
                <w:sz w:val="14"/>
                <w:szCs w:val="14"/>
                <w:b w:val="1"/>
                <w:bCs w:val="1"/>
                <w:color w:val="auto"/>
              </w:rPr>
              <w:t>%</w:t>
            </w:r>
          </w:p>
        </w:tc>
      </w:tr>
      <w:tr>
        <w:trPr>
          <w:trHeight w:val="193"/>
        </w:trPr>
        <w:tc>
          <w:tcPr>
            <w:tcW w:w="4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80" w:type="dxa"/>
            <w:vAlign w:val="bottom"/>
            <w:gridSpan w:val="3"/>
          </w:tcPr>
          <w:p>
            <w:pPr>
              <w:ind w:left="160"/>
              <w:spacing w:after="0"/>
              <w:rPr>
                <w:sz w:val="20"/>
                <w:szCs w:val="20"/>
                <w:color w:val="auto"/>
              </w:rPr>
            </w:pPr>
            <w:r>
              <w:rPr>
                <w:rFonts w:ascii="Arial" w:cs="Arial" w:eastAsia="Arial" w:hAnsi="Arial"/>
                <w:sz w:val="14"/>
                <w:szCs w:val="14"/>
                <w:i w:val="1"/>
                <w:iCs w:val="1"/>
                <w:color w:val="auto"/>
              </w:rPr>
              <w:t>(dollars in thousands)</w:t>
            </w:r>
          </w:p>
        </w:tc>
        <w:tc>
          <w:tcPr>
            <w:tcW w:w="4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06"/>
        </w:trPr>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Research and development</w:t>
            </w:r>
          </w:p>
        </w:tc>
        <w:tc>
          <w:tcPr>
            <w:tcW w:w="1020" w:type="dxa"/>
            <w:vAlign w:val="bottom"/>
            <w:shd w:val="clear" w:color="auto" w:fill="CCEEFF"/>
          </w:tcPr>
          <w:p>
            <w:pPr>
              <w:jc w:val="right"/>
              <w:ind w:right="84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33,475</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46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34,465</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(990)</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r>
      <w:tr>
        <w:trPr>
          <w:trHeight w:val="199"/>
        </w:trPr>
        <w:tc>
          <w:tcPr>
            <w:tcW w:w="4140" w:type="dxa"/>
            <w:vAlign w:val="bottom"/>
          </w:tcPr>
          <w:p>
            <w:pPr>
              <w:ind w:left="20"/>
              <w:spacing w:after="0"/>
              <w:rPr>
                <w:sz w:val="20"/>
                <w:szCs w:val="20"/>
                <w:color w:val="auto"/>
              </w:rPr>
            </w:pPr>
            <w:r>
              <w:rPr>
                <w:rFonts w:ascii="Arial" w:cs="Arial" w:eastAsia="Arial" w:hAnsi="Arial"/>
                <w:sz w:val="14"/>
                <w:szCs w:val="14"/>
                <w:color w:val="auto"/>
              </w:rPr>
              <w:t>Sales and marketing</w:t>
            </w:r>
          </w:p>
        </w:tc>
        <w:tc>
          <w:tcPr>
            <w:tcW w:w="1020" w:type="dxa"/>
            <w:vAlign w:val="bottom"/>
          </w:tcPr>
          <w:p>
            <w:pPr>
              <w:spacing w:after="0"/>
              <w:rPr>
                <w:sz w:val="17"/>
                <w:szCs w:val="17"/>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15,431</w:t>
            </w: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15,630</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(199)</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206"/>
        </w:trPr>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General and administrative</w:t>
            </w:r>
          </w:p>
        </w:tc>
        <w:tc>
          <w:tcPr>
            <w:tcW w:w="10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13,436</w:t>
            </w:r>
          </w:p>
        </w:tc>
        <w:tc>
          <w:tcPr>
            <w:tcW w:w="80" w:type="dxa"/>
            <w:vAlign w:val="bottom"/>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13,331</w:t>
            </w:r>
          </w:p>
        </w:tc>
        <w:tc>
          <w:tcPr>
            <w:tcW w:w="1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w:t>
            </w:r>
          </w:p>
        </w:tc>
        <w:tc>
          <w:tcPr>
            <w:tcW w:w="10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1 %</w:t>
            </w:r>
          </w:p>
        </w:tc>
      </w:tr>
      <w:tr>
        <w:trPr>
          <w:trHeight w:val="192"/>
        </w:trPr>
        <w:tc>
          <w:tcPr>
            <w:tcW w:w="4140" w:type="dxa"/>
            <w:vAlign w:val="bottom"/>
          </w:tcPr>
          <w:p>
            <w:pPr>
              <w:ind w:left="20"/>
              <w:spacing w:after="0"/>
              <w:rPr>
                <w:sz w:val="20"/>
                <w:szCs w:val="20"/>
                <w:color w:val="auto"/>
              </w:rPr>
            </w:pPr>
            <w:r>
              <w:rPr>
                <w:rFonts w:ascii="Arial" w:cs="Arial" w:eastAsia="Arial" w:hAnsi="Arial"/>
                <w:sz w:val="14"/>
                <w:szCs w:val="14"/>
                <w:color w:val="auto"/>
              </w:rPr>
              <w:t>Total operating expenses</w:t>
            </w:r>
          </w:p>
        </w:tc>
        <w:tc>
          <w:tcPr>
            <w:tcW w:w="1020" w:type="dxa"/>
            <w:vAlign w:val="bottom"/>
            <w:tcBorders>
              <w:bottom w:val="single" w:sz="8" w:color="auto"/>
            </w:tcBorders>
          </w:tcPr>
          <w:p>
            <w:pPr>
              <w:jc w:val="right"/>
              <w:ind w:right="84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62,342</w:t>
            </w:r>
          </w:p>
        </w:tc>
        <w:tc>
          <w:tcPr>
            <w:tcW w:w="80" w:type="dxa"/>
            <w:vAlign w:val="bottom"/>
          </w:tcPr>
          <w:p>
            <w:pPr>
              <w:spacing w:after="0"/>
              <w:rPr>
                <w:sz w:val="16"/>
                <w:szCs w:val="16"/>
                <w:color w:val="auto"/>
              </w:rPr>
            </w:pPr>
          </w:p>
        </w:tc>
        <w:tc>
          <w:tcPr>
            <w:tcW w:w="6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63,426</w:t>
            </w:r>
          </w:p>
        </w:tc>
        <w:tc>
          <w:tcPr>
            <w:tcW w:w="100" w:type="dxa"/>
            <w:vAlign w:val="bottom"/>
          </w:tcPr>
          <w:p>
            <w:pPr>
              <w:spacing w:after="0"/>
              <w:rPr>
                <w:sz w:val="16"/>
                <w:szCs w:val="16"/>
                <w:color w:val="auto"/>
              </w:rPr>
            </w:pP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(1,084)</w:t>
            </w:r>
          </w:p>
        </w:tc>
        <w:tc>
          <w:tcPr>
            <w:tcW w:w="10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r>
      <w:tr>
        <w:trPr>
          <w:trHeight w:val="24"/>
        </w:trPr>
        <w:tc>
          <w:tcPr>
            <w:tcW w:w="41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bl>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R&amp;D expenses decreased, $1.0 million, or 3%, to $ 33.5 million for the nine months ended September 30, 2024 from $34.5 million for the nine months ended September 30, 2023. The decrease in R&amp;D expenses was primarily due to $0.9 million of grants received by our subsidiary in France for R&amp;D projects.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 expenses</w:t>
      </w:r>
    </w:p>
    <w:p>
      <w:pPr>
        <w:spacing w:after="0" w:line="22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S&amp;M expenses remained relatively flat for the nine months ended September 30, 2024 when compared to the nine months ended September 30, 2023.</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G&amp;A expenses remained relatively flat for the nine months ended September 30, 2024 when compared to the nine months ended September 30, 2023.</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gridSpan w:val="2"/>
          </w:tcPr>
          <w:p>
            <w:pPr>
              <w:jc w:val="center"/>
              <w:spacing w:after="0"/>
              <w:rPr>
                <w:sz w:val="20"/>
                <w:szCs w:val="20"/>
                <w:color w:val="auto"/>
              </w:rPr>
            </w:pPr>
            <w:r>
              <w:rPr>
                <w:rFonts w:ascii="Arial" w:cs="Arial" w:eastAsia="Arial" w:hAnsi="Arial"/>
                <w:sz w:val="14"/>
                <w:szCs w:val="14"/>
                <w:b w:val="1"/>
                <w:bCs w:val="1"/>
                <w:color w:val="auto"/>
              </w:rPr>
              <w:t>Nine Months Ended</w:t>
            </w:r>
          </w:p>
        </w:tc>
        <w:tc>
          <w:tcPr>
            <w:tcW w:w="10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80" w:type="dxa"/>
            <w:vAlign w:val="bottom"/>
          </w:tcPr>
          <w:p>
            <w:pPr>
              <w:jc w:val="right"/>
              <w:ind w:right="208"/>
              <w:spacing w:after="0"/>
              <w:rPr>
                <w:sz w:val="20"/>
                <w:szCs w:val="20"/>
                <w:color w:val="auto"/>
              </w:rPr>
            </w:pPr>
            <w:r>
              <w:rPr>
                <w:rFonts w:ascii="Arial" w:cs="Arial" w:eastAsia="Arial" w:hAnsi="Arial"/>
                <w:sz w:val="14"/>
                <w:szCs w:val="14"/>
                <w:b w:val="1"/>
                <w:bCs w:val="1"/>
                <w:color w:val="auto"/>
              </w:rPr>
              <w:t>Change</w:t>
            </w: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14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September 30,</w:t>
            </w:r>
          </w:p>
        </w:tc>
        <w:tc>
          <w:tcPr>
            <w:tcW w:w="1040" w:type="dxa"/>
            <w:vAlign w:val="bottom"/>
            <w:tcBorders>
              <w:bottom w:val="single" w:sz="8" w:color="auto"/>
            </w:tcBorders>
          </w:tcPr>
          <w:p>
            <w:pPr>
              <w:spacing w:after="0"/>
              <w:rPr>
                <w:sz w:val="16"/>
                <w:szCs w:val="16"/>
                <w:color w:val="auto"/>
              </w:rPr>
            </w:pPr>
          </w:p>
        </w:tc>
        <w:tc>
          <w:tcPr>
            <w:tcW w:w="540" w:type="dxa"/>
            <w:vAlign w:val="bottom"/>
          </w:tcPr>
          <w:p>
            <w:pPr>
              <w:spacing w:after="0"/>
              <w:rPr>
                <w:sz w:val="16"/>
                <w:szCs w:val="16"/>
                <w:color w:val="auto"/>
              </w:rPr>
            </w:pPr>
          </w:p>
        </w:tc>
        <w:tc>
          <w:tcPr>
            <w:tcW w:w="1880" w:type="dxa"/>
            <w:vAlign w:val="bottom"/>
            <w:vMerge w:val="restart"/>
          </w:tcPr>
          <w:p>
            <w:pPr>
              <w:jc w:val="right"/>
              <w:ind w:right="1368"/>
              <w:spacing w:after="0"/>
              <w:rPr>
                <w:sz w:val="20"/>
                <w:szCs w:val="20"/>
                <w:color w:val="auto"/>
              </w:rPr>
            </w:pPr>
            <w:r>
              <w:rPr>
                <w:rFonts w:ascii="Arial" w:cs="Arial" w:eastAsia="Arial" w:hAnsi="Arial"/>
                <w:sz w:val="14"/>
                <w:szCs w:val="14"/>
                <w:b w:val="1"/>
                <w:bCs w:val="1"/>
                <w:color w:val="auto"/>
              </w:rPr>
              <w:t>$</w:t>
            </w:r>
          </w:p>
        </w:tc>
        <w:tc>
          <w:tcPr>
            <w:tcW w:w="1240" w:type="dxa"/>
            <w:vAlign w:val="bottom"/>
            <w:vMerge w:val="restart"/>
          </w:tcPr>
          <w:p>
            <w:pPr>
              <w:jc w:val="right"/>
              <w:ind w:right="76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5"/>
        </w:trPr>
        <w:tc>
          <w:tcPr>
            <w:tcW w:w="4140" w:type="dxa"/>
            <w:vAlign w:val="bottom"/>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7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2023</w:t>
            </w:r>
          </w:p>
        </w:tc>
        <w:tc>
          <w:tcPr>
            <w:tcW w:w="5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vMerge w:val="continue"/>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720" w:type="dxa"/>
            <w:vAlign w:val="bottom"/>
            <w:gridSpan w:val="2"/>
          </w:tcPr>
          <w:p>
            <w:pPr>
              <w:jc w:val="center"/>
              <w:spacing w:after="0"/>
              <w:rPr>
                <w:sz w:val="20"/>
                <w:szCs w:val="20"/>
                <w:color w:val="auto"/>
              </w:rPr>
            </w:pPr>
            <w:r>
              <w:rPr>
                <w:rFonts w:ascii="Arial" w:cs="Arial" w:eastAsia="Arial" w:hAnsi="Arial"/>
                <w:sz w:val="14"/>
                <w:szCs w:val="14"/>
                <w:i w:val="1"/>
                <w:iCs w:val="1"/>
                <w:color w:val="auto"/>
              </w:rPr>
              <w:t>(dollars in thousands)</w:t>
            </w:r>
          </w:p>
        </w:tc>
        <w:tc>
          <w:tcPr>
            <w:tcW w:w="5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1020" w:type="dxa"/>
            <w:vAlign w:val="bottom"/>
            <w:shd w:val="clear" w:color="auto" w:fill="CCEEFF"/>
          </w:tcPr>
          <w:p>
            <w:pPr>
              <w:jc w:val="right"/>
              <w:ind w:right="84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(199)</w:t>
            </w:r>
          </w:p>
        </w:tc>
        <w:tc>
          <w:tcPr>
            <w:tcW w:w="680" w:type="dxa"/>
            <w:vAlign w:val="bottom"/>
            <w:shd w:val="clear" w:color="auto" w:fill="CCEEFF"/>
          </w:tcPr>
          <w:p>
            <w:pPr>
              <w:jc w:val="right"/>
              <w:ind w:right="46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w:t>
            </w:r>
          </w:p>
        </w:tc>
        <w:tc>
          <w:tcPr>
            <w:tcW w:w="5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880" w:type="dxa"/>
            <w:vAlign w:val="bottom"/>
            <w:shd w:val="clear" w:color="auto" w:fill="CCEEFF"/>
          </w:tcPr>
          <w:p>
            <w:pPr>
              <w:jc w:val="right"/>
              <w:ind w:right="608"/>
              <w:spacing w:after="0"/>
              <w:rPr>
                <w:sz w:val="20"/>
                <w:szCs w:val="20"/>
                <w:color w:val="auto"/>
              </w:rPr>
            </w:pPr>
            <w:r>
              <w:rPr>
                <w:rFonts w:ascii="Arial" w:cs="Arial" w:eastAsia="Arial" w:hAnsi="Arial"/>
                <w:sz w:val="14"/>
                <w:szCs w:val="14"/>
                <w:color w:val="auto"/>
              </w:rPr>
              <w:t>(63)</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46 %</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Interest expense remained relatively flat for the nine months ended September 30, 2024 when compared to the nine months ended September 30,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0" w:name="page31"/>
    <w:bookmarkEnd w:id="30"/>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gridSpan w:val="2"/>
          </w:tcPr>
          <w:p>
            <w:pPr>
              <w:spacing w:after="0"/>
              <w:rPr>
                <w:sz w:val="20"/>
                <w:szCs w:val="20"/>
                <w:color w:val="auto"/>
              </w:rPr>
            </w:pPr>
            <w:r>
              <w:rPr>
                <w:rFonts w:ascii="Arial" w:cs="Arial" w:eastAsia="Arial" w:hAnsi="Arial"/>
                <w:sz w:val="14"/>
                <w:szCs w:val="14"/>
                <w:b w:val="1"/>
                <w:bCs w:val="1"/>
                <w:color w:val="auto"/>
              </w:rPr>
              <w:t>Nine Months Ended</w:t>
            </w:r>
          </w:p>
        </w:tc>
        <w:tc>
          <w:tcPr>
            <w:tcW w:w="10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80" w:type="dxa"/>
            <w:vAlign w:val="bottom"/>
          </w:tcPr>
          <w:p>
            <w:pPr>
              <w:jc w:val="right"/>
              <w:ind w:right="208"/>
              <w:spacing w:after="0"/>
              <w:rPr>
                <w:sz w:val="20"/>
                <w:szCs w:val="20"/>
                <w:color w:val="auto"/>
              </w:rPr>
            </w:pPr>
            <w:r>
              <w:rPr>
                <w:rFonts w:ascii="Arial" w:cs="Arial" w:eastAsia="Arial" w:hAnsi="Arial"/>
                <w:sz w:val="14"/>
                <w:szCs w:val="14"/>
                <w:b w:val="1"/>
                <w:bCs w:val="1"/>
                <w:color w:val="auto"/>
              </w:rPr>
              <w:t>Change</w:t>
            </w: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14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September 30,</w:t>
            </w:r>
          </w:p>
        </w:tc>
        <w:tc>
          <w:tcPr>
            <w:tcW w:w="1040" w:type="dxa"/>
            <w:vAlign w:val="bottom"/>
            <w:tcBorders>
              <w:bottom w:val="single" w:sz="8" w:color="auto"/>
            </w:tcBorders>
          </w:tcPr>
          <w:p>
            <w:pPr>
              <w:spacing w:after="0"/>
              <w:rPr>
                <w:sz w:val="16"/>
                <w:szCs w:val="16"/>
                <w:color w:val="auto"/>
              </w:rPr>
            </w:pPr>
          </w:p>
        </w:tc>
        <w:tc>
          <w:tcPr>
            <w:tcW w:w="540" w:type="dxa"/>
            <w:vAlign w:val="bottom"/>
          </w:tcPr>
          <w:p>
            <w:pPr>
              <w:spacing w:after="0"/>
              <w:rPr>
                <w:sz w:val="16"/>
                <w:szCs w:val="16"/>
                <w:color w:val="auto"/>
              </w:rPr>
            </w:pPr>
          </w:p>
        </w:tc>
        <w:tc>
          <w:tcPr>
            <w:tcW w:w="1880" w:type="dxa"/>
            <w:vAlign w:val="bottom"/>
            <w:vMerge w:val="restart"/>
          </w:tcPr>
          <w:p>
            <w:pPr>
              <w:jc w:val="right"/>
              <w:ind w:right="1368"/>
              <w:spacing w:after="0"/>
              <w:rPr>
                <w:sz w:val="20"/>
                <w:szCs w:val="20"/>
                <w:color w:val="auto"/>
              </w:rPr>
            </w:pPr>
            <w:r>
              <w:rPr>
                <w:rFonts w:ascii="Arial" w:cs="Arial" w:eastAsia="Arial" w:hAnsi="Arial"/>
                <w:sz w:val="14"/>
                <w:szCs w:val="14"/>
                <w:b w:val="1"/>
                <w:bCs w:val="1"/>
                <w:color w:val="auto"/>
              </w:rPr>
              <w:t>$</w:t>
            </w:r>
          </w:p>
        </w:tc>
        <w:tc>
          <w:tcPr>
            <w:tcW w:w="1240" w:type="dxa"/>
            <w:vAlign w:val="bottom"/>
            <w:vMerge w:val="restart"/>
          </w:tcPr>
          <w:p>
            <w:pPr>
              <w:jc w:val="right"/>
              <w:ind w:right="76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5"/>
        </w:trPr>
        <w:tc>
          <w:tcPr>
            <w:tcW w:w="4140" w:type="dxa"/>
            <w:vAlign w:val="bottom"/>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6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2023</w:t>
            </w:r>
          </w:p>
        </w:tc>
        <w:tc>
          <w:tcPr>
            <w:tcW w:w="5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vMerge w:val="continue"/>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740" w:type="dxa"/>
            <w:vAlign w:val="bottom"/>
            <w:gridSpan w:val="2"/>
          </w:tcPr>
          <w:p>
            <w:pPr>
              <w:jc w:val="center"/>
              <w:ind w:left="8"/>
              <w:spacing w:after="0"/>
              <w:rPr>
                <w:sz w:val="20"/>
                <w:szCs w:val="20"/>
                <w:color w:val="auto"/>
              </w:rPr>
            </w:pPr>
            <w:r>
              <w:rPr>
                <w:rFonts w:ascii="Arial" w:cs="Arial" w:eastAsia="Arial" w:hAnsi="Arial"/>
                <w:sz w:val="14"/>
                <w:szCs w:val="14"/>
                <w:i w:val="1"/>
                <w:iCs w:val="1"/>
                <w:color w:val="auto"/>
              </w:rPr>
              <w:t>(dollars in thousands)</w:t>
            </w:r>
          </w:p>
        </w:tc>
        <w:tc>
          <w:tcPr>
            <w:tcW w:w="5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income (expense), net</w:t>
            </w:r>
          </w:p>
        </w:tc>
        <w:tc>
          <w:tcPr>
            <w:tcW w:w="1020" w:type="dxa"/>
            <w:vAlign w:val="bottom"/>
            <w:shd w:val="clear" w:color="auto" w:fill="CCEEFF"/>
          </w:tcPr>
          <w:p>
            <w:pPr>
              <w:jc w:val="right"/>
              <w:ind w:right="84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2,576</w:t>
            </w:r>
          </w:p>
        </w:tc>
        <w:tc>
          <w:tcPr>
            <w:tcW w:w="700" w:type="dxa"/>
            <w:vAlign w:val="bottom"/>
            <w:shd w:val="clear" w:color="auto" w:fill="CCEEFF"/>
          </w:tcPr>
          <w:p>
            <w:pPr>
              <w:jc w:val="right"/>
              <w:ind w:right="46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2,641</w:t>
            </w:r>
          </w:p>
        </w:tc>
        <w:tc>
          <w:tcPr>
            <w:tcW w:w="5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880" w:type="dxa"/>
            <w:vAlign w:val="bottom"/>
            <w:shd w:val="clear" w:color="auto" w:fill="CCEEFF"/>
          </w:tcPr>
          <w:p>
            <w:pPr>
              <w:jc w:val="right"/>
              <w:ind w:right="608"/>
              <w:spacing w:after="0"/>
              <w:rPr>
                <w:sz w:val="20"/>
                <w:szCs w:val="20"/>
                <w:color w:val="auto"/>
              </w:rPr>
            </w:pPr>
            <w:r>
              <w:rPr>
                <w:rFonts w:ascii="Arial" w:cs="Arial" w:eastAsia="Arial" w:hAnsi="Arial"/>
                <w:sz w:val="14"/>
                <w:szCs w:val="14"/>
                <w:color w:val="auto"/>
              </w:rPr>
              <w:t>(65)</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Other income (expense), net remained relatively flat for the nine months ended September 30, 2024 when compared to the nine months ended September 30, 2023.</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Loss from equity method investment</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gridSpan w:val="2"/>
          </w:tcPr>
          <w:p>
            <w:pPr>
              <w:spacing w:after="0"/>
              <w:rPr>
                <w:sz w:val="20"/>
                <w:szCs w:val="20"/>
                <w:color w:val="auto"/>
              </w:rPr>
            </w:pPr>
            <w:r>
              <w:rPr>
                <w:rFonts w:ascii="Arial" w:cs="Arial" w:eastAsia="Arial" w:hAnsi="Arial"/>
                <w:sz w:val="14"/>
                <w:szCs w:val="14"/>
                <w:b w:val="1"/>
                <w:bCs w:val="1"/>
                <w:color w:val="auto"/>
              </w:rPr>
              <w:t>Nine Months Ended</w:t>
            </w:r>
          </w:p>
        </w:tc>
        <w:tc>
          <w:tcPr>
            <w:tcW w:w="10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80" w:type="dxa"/>
            <w:vAlign w:val="bottom"/>
          </w:tcPr>
          <w:p>
            <w:pPr>
              <w:jc w:val="right"/>
              <w:ind w:right="208"/>
              <w:spacing w:after="0"/>
              <w:rPr>
                <w:sz w:val="20"/>
                <w:szCs w:val="20"/>
                <w:color w:val="auto"/>
              </w:rPr>
            </w:pPr>
            <w:r>
              <w:rPr>
                <w:rFonts w:ascii="Arial" w:cs="Arial" w:eastAsia="Arial" w:hAnsi="Arial"/>
                <w:sz w:val="14"/>
                <w:szCs w:val="14"/>
                <w:b w:val="1"/>
                <w:bCs w:val="1"/>
                <w:color w:val="auto"/>
              </w:rPr>
              <w:t>Change</w:t>
            </w: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14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September 30,</w:t>
            </w:r>
          </w:p>
        </w:tc>
        <w:tc>
          <w:tcPr>
            <w:tcW w:w="1040" w:type="dxa"/>
            <w:vAlign w:val="bottom"/>
            <w:tcBorders>
              <w:bottom w:val="single" w:sz="8" w:color="auto"/>
            </w:tcBorders>
          </w:tcPr>
          <w:p>
            <w:pPr>
              <w:spacing w:after="0"/>
              <w:rPr>
                <w:sz w:val="16"/>
                <w:szCs w:val="16"/>
                <w:color w:val="auto"/>
              </w:rPr>
            </w:pPr>
          </w:p>
        </w:tc>
        <w:tc>
          <w:tcPr>
            <w:tcW w:w="540" w:type="dxa"/>
            <w:vAlign w:val="bottom"/>
          </w:tcPr>
          <w:p>
            <w:pPr>
              <w:spacing w:after="0"/>
              <w:rPr>
                <w:sz w:val="16"/>
                <w:szCs w:val="16"/>
                <w:color w:val="auto"/>
              </w:rPr>
            </w:pPr>
          </w:p>
        </w:tc>
        <w:tc>
          <w:tcPr>
            <w:tcW w:w="1880" w:type="dxa"/>
            <w:vAlign w:val="bottom"/>
            <w:vMerge w:val="restart"/>
          </w:tcPr>
          <w:p>
            <w:pPr>
              <w:jc w:val="right"/>
              <w:ind w:right="1368"/>
              <w:spacing w:after="0"/>
              <w:rPr>
                <w:sz w:val="20"/>
                <w:szCs w:val="20"/>
                <w:color w:val="auto"/>
              </w:rPr>
            </w:pPr>
            <w:r>
              <w:rPr>
                <w:rFonts w:ascii="Arial" w:cs="Arial" w:eastAsia="Arial" w:hAnsi="Arial"/>
                <w:sz w:val="14"/>
                <w:szCs w:val="14"/>
                <w:b w:val="1"/>
                <w:bCs w:val="1"/>
                <w:color w:val="auto"/>
              </w:rPr>
              <w:t>$</w:t>
            </w:r>
          </w:p>
        </w:tc>
        <w:tc>
          <w:tcPr>
            <w:tcW w:w="1240" w:type="dxa"/>
            <w:vAlign w:val="bottom"/>
            <w:vMerge w:val="restart"/>
          </w:tcPr>
          <w:p>
            <w:pPr>
              <w:jc w:val="right"/>
              <w:ind w:right="76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5"/>
        </w:trPr>
        <w:tc>
          <w:tcPr>
            <w:tcW w:w="4140" w:type="dxa"/>
            <w:vAlign w:val="bottom"/>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6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2023</w:t>
            </w:r>
          </w:p>
        </w:tc>
        <w:tc>
          <w:tcPr>
            <w:tcW w:w="5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vMerge w:val="continue"/>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740" w:type="dxa"/>
            <w:vAlign w:val="bottom"/>
            <w:gridSpan w:val="2"/>
          </w:tcPr>
          <w:p>
            <w:pPr>
              <w:jc w:val="center"/>
              <w:ind w:left="8"/>
              <w:spacing w:after="0"/>
              <w:rPr>
                <w:sz w:val="20"/>
                <w:szCs w:val="20"/>
                <w:color w:val="auto"/>
              </w:rPr>
            </w:pPr>
            <w:r>
              <w:rPr>
                <w:rFonts w:ascii="Arial" w:cs="Arial" w:eastAsia="Arial" w:hAnsi="Arial"/>
                <w:sz w:val="14"/>
                <w:szCs w:val="14"/>
                <w:i w:val="1"/>
                <w:iCs w:val="1"/>
                <w:color w:val="auto"/>
              </w:rPr>
              <w:t>(dollars in thousands)</w:t>
            </w:r>
          </w:p>
        </w:tc>
        <w:tc>
          <w:tcPr>
            <w:tcW w:w="5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from equity method investment</w:t>
            </w:r>
          </w:p>
        </w:tc>
        <w:tc>
          <w:tcPr>
            <w:tcW w:w="1020" w:type="dxa"/>
            <w:vAlign w:val="bottom"/>
            <w:shd w:val="clear" w:color="auto" w:fill="CCEEFF"/>
          </w:tcPr>
          <w:p>
            <w:pPr>
              <w:jc w:val="right"/>
              <w:ind w:right="84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2,064</w:t>
            </w:r>
          </w:p>
        </w:tc>
        <w:tc>
          <w:tcPr>
            <w:tcW w:w="700" w:type="dxa"/>
            <w:vAlign w:val="bottom"/>
            <w:shd w:val="clear" w:color="auto" w:fill="CCEEFF"/>
          </w:tcPr>
          <w:p>
            <w:pPr>
              <w:jc w:val="right"/>
              <w:ind w:right="46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2,487</w:t>
            </w:r>
          </w:p>
        </w:tc>
        <w:tc>
          <w:tcPr>
            <w:tcW w:w="5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880" w:type="dxa"/>
            <w:vAlign w:val="bottom"/>
            <w:shd w:val="clear" w:color="auto" w:fill="CCEEFF"/>
          </w:tcPr>
          <w:p>
            <w:pPr>
              <w:jc w:val="right"/>
              <w:ind w:right="608"/>
              <w:spacing w:after="0"/>
              <w:rPr>
                <w:sz w:val="20"/>
                <w:szCs w:val="20"/>
                <w:color w:val="auto"/>
              </w:rPr>
            </w:pPr>
            <w:r>
              <w:rPr>
                <w:rFonts w:ascii="Arial" w:cs="Arial" w:eastAsia="Arial" w:hAnsi="Arial"/>
                <w:sz w:val="14"/>
                <w:szCs w:val="14"/>
                <w:color w:val="auto"/>
              </w:rPr>
              <w:t>(423)</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bl>
    <w:p>
      <w:pPr>
        <w:spacing w:after="0" w:line="33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Loss from equity method investment was $2.1 million for the nine months ended September 30, 2024, compared to $2.5 million for the nine months ended September 30, 2023, representing our proportionate share of Transchip’s net loss during the trailing nine months ended June 30, 2024. The decrease in loss from equity method investment was primarily due to Transchip recognizing higher revenue during the trailing nine months ended June 30, 2024, compared to the trailing nine months ended June 30, 2023. Such losses are expected to continue in the near future.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gridSpan w:val="2"/>
          </w:tcPr>
          <w:p>
            <w:pPr>
              <w:spacing w:after="0"/>
              <w:rPr>
                <w:sz w:val="20"/>
                <w:szCs w:val="20"/>
                <w:color w:val="auto"/>
              </w:rPr>
            </w:pPr>
            <w:r>
              <w:rPr>
                <w:rFonts w:ascii="Arial" w:cs="Arial" w:eastAsia="Arial" w:hAnsi="Arial"/>
                <w:sz w:val="14"/>
                <w:szCs w:val="14"/>
                <w:b w:val="1"/>
                <w:bCs w:val="1"/>
                <w:color w:val="auto"/>
              </w:rPr>
              <w:t>Nine Months Ended</w:t>
            </w:r>
          </w:p>
        </w:tc>
        <w:tc>
          <w:tcPr>
            <w:tcW w:w="10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80" w:type="dxa"/>
            <w:vAlign w:val="bottom"/>
          </w:tcPr>
          <w:p>
            <w:pPr>
              <w:jc w:val="right"/>
              <w:ind w:right="208"/>
              <w:spacing w:after="0"/>
              <w:rPr>
                <w:sz w:val="20"/>
                <w:szCs w:val="20"/>
                <w:color w:val="auto"/>
              </w:rPr>
            </w:pPr>
            <w:r>
              <w:rPr>
                <w:rFonts w:ascii="Arial" w:cs="Arial" w:eastAsia="Arial" w:hAnsi="Arial"/>
                <w:sz w:val="14"/>
                <w:szCs w:val="14"/>
                <w:b w:val="1"/>
                <w:bCs w:val="1"/>
                <w:color w:val="auto"/>
              </w:rPr>
              <w:t>Change</w:t>
            </w:r>
          </w:p>
        </w:tc>
        <w:tc>
          <w:tcPr>
            <w:tcW w:w="1240" w:type="dxa"/>
            <w:vAlign w:val="bottom"/>
          </w:tcPr>
          <w:p>
            <w:pPr>
              <w:spacing w:after="0"/>
              <w:rPr>
                <w:sz w:val="14"/>
                <w:szCs w:val="14"/>
                <w:color w:val="auto"/>
              </w:rPr>
            </w:pPr>
          </w:p>
        </w:tc>
      </w:tr>
      <w:tr>
        <w:trPr>
          <w:trHeight w:val="189"/>
        </w:trPr>
        <w:tc>
          <w:tcPr>
            <w:tcW w:w="414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September 30,</w:t>
            </w:r>
          </w:p>
        </w:tc>
        <w:tc>
          <w:tcPr>
            <w:tcW w:w="1040" w:type="dxa"/>
            <w:vAlign w:val="bottom"/>
            <w:tcBorders>
              <w:bottom w:val="single" w:sz="8" w:color="auto"/>
            </w:tcBorders>
          </w:tcPr>
          <w:p>
            <w:pPr>
              <w:spacing w:after="0"/>
              <w:rPr>
                <w:sz w:val="16"/>
                <w:szCs w:val="16"/>
                <w:color w:val="auto"/>
              </w:rPr>
            </w:pPr>
          </w:p>
        </w:tc>
        <w:tc>
          <w:tcPr>
            <w:tcW w:w="5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5"/>
        </w:trPr>
        <w:tc>
          <w:tcPr>
            <w:tcW w:w="4140" w:type="dxa"/>
            <w:vAlign w:val="bottom"/>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6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2023</w:t>
            </w:r>
          </w:p>
        </w:tc>
        <w:tc>
          <w:tcPr>
            <w:tcW w:w="5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right"/>
              <w:ind w:right="1368"/>
              <w:spacing w:after="0"/>
              <w:rPr>
                <w:sz w:val="20"/>
                <w:szCs w:val="20"/>
                <w:color w:val="auto"/>
              </w:rPr>
            </w:pPr>
            <w:r>
              <w:rPr>
                <w:rFonts w:ascii="Arial" w:cs="Arial" w:eastAsia="Arial" w:hAnsi="Arial"/>
                <w:sz w:val="14"/>
                <w:szCs w:val="14"/>
                <w:b w:val="1"/>
                <w:bCs w:val="1"/>
                <w:color w:val="auto"/>
              </w:rPr>
              <w:t>$</w:t>
            </w:r>
          </w:p>
        </w:tc>
        <w:tc>
          <w:tcPr>
            <w:tcW w:w="1240" w:type="dxa"/>
            <w:vAlign w:val="bottom"/>
            <w:tcBorders>
              <w:bottom w:val="single" w:sz="8" w:color="auto"/>
            </w:tcBorders>
          </w:tcPr>
          <w:p>
            <w:pPr>
              <w:jc w:val="right"/>
              <w:ind w:right="768"/>
              <w:spacing w:after="0"/>
              <w:rPr>
                <w:sz w:val="20"/>
                <w:szCs w:val="20"/>
                <w:color w:val="auto"/>
              </w:rPr>
            </w:pPr>
            <w:r>
              <w:rPr>
                <w:rFonts w:ascii="Arial" w:cs="Arial" w:eastAsia="Arial" w:hAnsi="Arial"/>
                <w:sz w:val="14"/>
                <w:szCs w:val="14"/>
                <w:b w:val="1"/>
                <w:bCs w:val="1"/>
                <w:color w:val="auto"/>
              </w:rPr>
              <w:t>%</w:t>
            </w:r>
          </w:p>
        </w:tc>
      </w:tr>
      <w:tr>
        <w:trPr>
          <w:trHeight w:val="193"/>
        </w:trPr>
        <w:tc>
          <w:tcPr>
            <w:tcW w:w="4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740" w:type="dxa"/>
            <w:vAlign w:val="bottom"/>
            <w:gridSpan w:val="2"/>
          </w:tcPr>
          <w:p>
            <w:pPr>
              <w:jc w:val="center"/>
              <w:ind w:left="8"/>
              <w:spacing w:after="0"/>
              <w:rPr>
                <w:sz w:val="20"/>
                <w:szCs w:val="20"/>
                <w:color w:val="auto"/>
              </w:rPr>
            </w:pPr>
            <w:r>
              <w:rPr>
                <w:rFonts w:ascii="Arial" w:cs="Arial" w:eastAsia="Arial" w:hAnsi="Arial"/>
                <w:sz w:val="14"/>
                <w:szCs w:val="14"/>
                <w:i w:val="1"/>
                <w:iCs w:val="1"/>
                <w:color w:val="auto"/>
              </w:rPr>
              <w:t>(dollars in thousands)</w:t>
            </w:r>
          </w:p>
        </w:tc>
        <w:tc>
          <w:tcPr>
            <w:tcW w:w="5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06"/>
        </w:trPr>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Provision for income taxes</w:t>
            </w:r>
          </w:p>
        </w:tc>
        <w:tc>
          <w:tcPr>
            <w:tcW w:w="1020" w:type="dxa"/>
            <w:vAlign w:val="bottom"/>
            <w:shd w:val="clear" w:color="auto" w:fill="CCEEFF"/>
          </w:tcPr>
          <w:p>
            <w:pPr>
              <w:jc w:val="right"/>
              <w:ind w:right="84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1,253</w:t>
            </w:r>
          </w:p>
        </w:tc>
        <w:tc>
          <w:tcPr>
            <w:tcW w:w="700" w:type="dxa"/>
            <w:vAlign w:val="bottom"/>
            <w:shd w:val="clear" w:color="auto" w:fill="CCEEFF"/>
          </w:tcPr>
          <w:p>
            <w:pPr>
              <w:jc w:val="right"/>
              <w:ind w:right="46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453</w:t>
            </w:r>
          </w:p>
        </w:tc>
        <w:tc>
          <w:tcPr>
            <w:tcW w:w="5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880" w:type="dxa"/>
            <w:vAlign w:val="bottom"/>
            <w:shd w:val="clear" w:color="auto" w:fill="CCEEFF"/>
          </w:tcPr>
          <w:p>
            <w:pPr>
              <w:jc w:val="right"/>
              <w:ind w:right="648"/>
              <w:spacing w:after="0"/>
              <w:rPr>
                <w:sz w:val="20"/>
                <w:szCs w:val="20"/>
                <w:color w:val="auto"/>
              </w:rPr>
            </w:pPr>
            <w:r>
              <w:rPr>
                <w:rFonts w:ascii="Arial" w:cs="Arial" w:eastAsia="Arial" w:hAnsi="Arial"/>
                <w:sz w:val="14"/>
                <w:szCs w:val="14"/>
                <w:color w:val="auto"/>
              </w:rPr>
              <w:t>800</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177 %</w:t>
            </w:r>
          </w:p>
        </w:tc>
      </w:tr>
    </w:tbl>
    <w:p>
      <w:pPr>
        <w:spacing w:after="0" w:line="2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Provision for income taxes for the nine months ended September 30, 2024 was $ 1.3 million, compared to $0.5 million for the nine months ended September 30, 2023. The increase in our income tax expense was due to a change in the forecasted geographic mix of worldwide earnings which are taxed at different statutory tax rates, the impact of losses in jurisdictions which have full valuation allowances, and changes in current year foreign withholding taxes. Foreign withholding taxes are generally assessed on gross revenue generated, rather than pre-tax income, in certain countries in which the Company does not file an income tax return.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Since inception, we have financed operations primarily from payments received from our customers, the net proceeds from the sale of our common stock in the IPO as well as the net proceeds from the private issuance of our convertible preferred stock and common stock. As of September 30, 2024, we had $48.7 million in cash and cash equivalents and short-term investments of which $1.8 million was held by our foreign subsidiaries. In addition, as of September 30, 2024, we also had $5.8 million in long-term investments.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1" w:name="page32"/>
    <w:bookmarkEnd w:id="31"/>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believe our cash and cash equivalents, investments and cash provided by sales of our products will be sufficient to meet our expected working capital needs, capital expenditures, financial commitments and other liquidity requirements associated with our existing operations for at least the next 12 months. If these resources are not sufficient to satisfy our liquidity requirements, we may be required to seek additional financing. If we raise additional funds by issuing equity securities, our stockholders will experience dilution. Debt financing, if available, may contain covenants that significantly restrict our operations or our ability to obtain additional debt financing in the future. Any additional financing that we raise may contain terms that are not favorable to us or our stockholders. We cannot assure you that we would be able to obtain additional financing on terms favorable to us or our existing stockholders, or at all. See “Risk Factors —Risks Related to Our Business and Industry—Our ability to raise capital in the future may be limited and could prevent us from executing our growth strategy” for additional information.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changes in our cash flows for the periods indicated:</w:t>
      </w:r>
    </w:p>
    <w:p>
      <w:pPr>
        <w:spacing w:after="0" w:line="275" w:lineRule="exact"/>
        <w:rPr>
          <w:sz w:val="20"/>
          <w:szCs w:val="20"/>
          <w:color w:val="auto"/>
        </w:rPr>
      </w:pPr>
    </w:p>
    <w:p>
      <w:pPr>
        <w:ind w:left="8800"/>
        <w:spacing w:after="0"/>
        <w:rPr>
          <w:sz w:val="20"/>
          <w:szCs w:val="20"/>
          <w:color w:val="auto"/>
        </w:rPr>
      </w:pPr>
      <w:r>
        <w:rPr>
          <w:rFonts w:ascii="Arial" w:cs="Arial" w:eastAsia="Arial" w:hAnsi="Arial"/>
          <w:sz w:val="14"/>
          <w:szCs w:val="14"/>
          <w:b w:val="1"/>
          <w:bCs w:val="1"/>
          <w:color w:val="auto"/>
        </w:rPr>
        <w:t>Nine Months Ended</w:t>
      </w:r>
    </w:p>
    <w:p>
      <w:pPr>
        <w:spacing w:after="0" w:line="2" w:lineRule="exact"/>
        <w:rPr>
          <w:sz w:val="20"/>
          <w:szCs w:val="20"/>
          <w:color w:val="auto"/>
        </w:rPr>
      </w:pPr>
    </w:p>
    <w:p>
      <w:pPr>
        <w:ind w:left="9000"/>
        <w:spacing w:after="0"/>
        <w:rPr>
          <w:sz w:val="20"/>
          <w:szCs w:val="20"/>
          <w:color w:val="auto"/>
        </w:rPr>
      </w:pPr>
      <w:r>
        <w:rPr>
          <w:rFonts w:ascii="Arial" w:cs="Arial" w:eastAsia="Arial" w:hAnsi="Arial"/>
          <w:sz w:val="14"/>
          <w:szCs w:val="14"/>
          <w:b w:val="1"/>
          <w:bCs w:val="1"/>
          <w:color w:val="auto"/>
        </w:rPr>
        <w:t>September 30,</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740" w:type="dxa"/>
            <w:vAlign w:val="bottom"/>
          </w:tcPr>
          <w:p>
            <w:pPr>
              <w:spacing w:after="0"/>
              <w:rPr>
                <w:sz w:val="17"/>
                <w:szCs w:val="17"/>
                <w:color w:val="auto"/>
              </w:rPr>
            </w:pPr>
          </w:p>
        </w:tc>
        <w:tc>
          <w:tcPr>
            <w:tcW w:w="11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2024</w:t>
            </w:r>
          </w:p>
        </w:tc>
        <w:tc>
          <w:tcPr>
            <w:tcW w:w="60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2023</w:t>
            </w:r>
          </w:p>
        </w:tc>
      </w:tr>
      <w:tr>
        <w:trPr>
          <w:trHeight w:val="192"/>
        </w:trPr>
        <w:tc>
          <w:tcPr>
            <w:tcW w:w="77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0" w:type="dxa"/>
            <w:vAlign w:val="bottom"/>
            <w:gridSpan w:val="2"/>
          </w:tcPr>
          <w:p>
            <w:pPr>
              <w:jc w:val="right"/>
              <w:ind w:right="68"/>
              <w:spacing w:after="0"/>
              <w:rPr>
                <w:sz w:val="20"/>
                <w:szCs w:val="20"/>
                <w:color w:val="auto"/>
              </w:rPr>
            </w:pPr>
            <w:r>
              <w:rPr>
                <w:rFonts w:ascii="Arial" w:cs="Arial" w:eastAsia="Arial" w:hAnsi="Arial"/>
                <w:sz w:val="14"/>
                <w:szCs w:val="14"/>
                <w:i w:val="1"/>
                <w:iCs w:val="1"/>
                <w:color w:val="auto"/>
              </w:rPr>
              <w:t>(in thousands)</w:t>
            </w:r>
          </w:p>
        </w:tc>
        <w:tc>
          <w:tcPr>
            <w:tcW w:w="1160" w:type="dxa"/>
            <w:vAlign w:val="bottom"/>
          </w:tcPr>
          <w:p>
            <w:pPr>
              <w:spacing w:after="0"/>
              <w:rPr>
                <w:sz w:val="16"/>
                <w:szCs w:val="16"/>
                <w:color w:val="auto"/>
              </w:rPr>
            </w:pPr>
          </w:p>
        </w:tc>
      </w:tr>
      <w:tr>
        <w:trPr>
          <w:trHeight w:val="207"/>
        </w:trPr>
        <w:tc>
          <w:tcPr>
            <w:tcW w:w="7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provided by (used in) operating activities</w:t>
            </w:r>
          </w:p>
        </w:tc>
        <w:tc>
          <w:tcPr>
            <w:tcW w:w="1140" w:type="dxa"/>
            <w:vAlign w:val="bottom"/>
            <w:shd w:val="clear" w:color="auto" w:fill="CCEEFF"/>
          </w:tcPr>
          <w:p>
            <w:pPr>
              <w:jc w:val="right"/>
              <w:ind w:right="96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1,911</w:t>
            </w:r>
          </w:p>
        </w:tc>
        <w:tc>
          <w:tcPr>
            <w:tcW w:w="60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(12,750)</w:t>
            </w:r>
          </w:p>
        </w:tc>
      </w:tr>
      <w:tr>
        <w:trPr>
          <w:trHeight w:val="198"/>
        </w:trPr>
        <w:tc>
          <w:tcPr>
            <w:tcW w:w="7740" w:type="dxa"/>
            <w:vAlign w:val="bottom"/>
          </w:tcPr>
          <w:p>
            <w:pPr>
              <w:ind w:left="20"/>
              <w:spacing w:after="0"/>
              <w:rPr>
                <w:sz w:val="20"/>
                <w:szCs w:val="20"/>
                <w:color w:val="auto"/>
              </w:rPr>
            </w:pPr>
            <w:r>
              <w:rPr>
                <w:rFonts w:ascii="Arial" w:cs="Arial" w:eastAsia="Arial" w:hAnsi="Arial"/>
                <w:sz w:val="14"/>
                <w:szCs w:val="14"/>
                <w:color w:val="auto"/>
              </w:rPr>
              <w:t>Net cash provided by (used in) investing activities</w:t>
            </w:r>
          </w:p>
        </w:tc>
        <w:tc>
          <w:tcPr>
            <w:tcW w:w="1140" w:type="dxa"/>
            <w:vAlign w:val="bottom"/>
          </w:tcPr>
          <w:p>
            <w:pPr>
              <w:jc w:val="right"/>
              <w:ind w:right="968"/>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2,898</w:t>
            </w:r>
          </w:p>
        </w:tc>
        <w:tc>
          <w:tcPr>
            <w:tcW w:w="60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(3,323)</w:t>
            </w:r>
          </w:p>
        </w:tc>
      </w:tr>
      <w:tr>
        <w:trPr>
          <w:trHeight w:val="207"/>
        </w:trPr>
        <w:tc>
          <w:tcPr>
            <w:tcW w:w="7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used in financing activities</w:t>
            </w:r>
          </w:p>
        </w:tc>
        <w:tc>
          <w:tcPr>
            <w:tcW w:w="1140" w:type="dxa"/>
            <w:vAlign w:val="bottom"/>
            <w:shd w:val="clear" w:color="auto" w:fill="CCEEFF"/>
          </w:tcPr>
          <w:p>
            <w:pPr>
              <w:jc w:val="right"/>
              <w:ind w:right="96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(676)</w:t>
            </w:r>
          </w:p>
        </w:tc>
        <w:tc>
          <w:tcPr>
            <w:tcW w:w="60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(2,335)</w:t>
            </w:r>
          </w:p>
        </w:tc>
      </w:tr>
    </w:tbl>
    <w:p>
      <w:pPr>
        <w:spacing w:after="0" w:line="2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2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Cash flows from operating activities may vary significantly from period to period depending on a variety of factors including the timing of our receipts and payments. Our ongoing cash outflows from operating activities primarily relate to payroll-related costs, payments for professional services, obligations under our property leases and design tool licenses. Our primary source of cash inflows is receipts from our customers. The timing of receipts of accounts receivable from customers is based upon the completion of agreed milestones or agreed dates as set forth in the contracts.</w:t>
      </w:r>
    </w:p>
    <w:p>
      <w:pPr>
        <w:spacing w:after="0" w:line="17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For the nine months ended September 30, 2024, net cash provided by operating activities was $1.9 million, primarily due to our net loss of $25.4 million, adjusted for non-cash charges of $15.1 million and $12.3 million changes in operating assets and liabilities. Non-cash charges primarily consisted of stock-based compensation of $ 11.8 million, depreciation and amortization of $2.5 million and loss from our equity method investment of $2.1 million, partially offset by amortization of deferred income of $ 0.9 million and net accretion of discounts on available-for-sale securities of $0.5 million. The drivers of the changes in operating assets and liabilities were a $8.8 million increase in deferred revenue, a $3.3 million decrease in accounts receivable and a $1.5 million increase in accrued expenses and other liabilities, partially offset by a $1.2 million increase in prepaid expense and other assets.</w:t>
      </w:r>
    </w:p>
    <w:p>
      <w:pPr>
        <w:spacing w:after="0" w:line="18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For the nine months ended September 30, 2023, net cash used in operating activities was $12.8 million primarily due to our net loss of $26.3 million, adjusted for non-cash charges of $14.1 million and $0.5 million changes in operating assets and liabilities. Non-cash charges primarily consisted of stock-based compensation of $11.0 million, loss from our equity method investment of $2.5 million and depreciation and amortization of $ 2.2 million, partially offset by amortization of deferred income of $0.9 million and net accretion of discounts on available-for-sale securities of $0.7 million. The drivers of the changes in operating assets and liabilities were a $3.2 million increase in accounts receivable, a $0.5 million increase in prepaid expense and other current assets and a $0.2 million decrease in accounts payable, offset by a $1.9 million increase in deferred revenue and a $1.5 million increase in accrued expenses and other liabilities.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2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Net cash provided by investing activities for the nine months ended September 30, 2024 was $2.9 million, primarily attributable to proceeds from maturities of available-for-sale securities and certificate of deposit, partially offset by purchases of available-for-sale securities and property and equipment.</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2" w:name="page33"/>
    <w:bookmarkEnd w:id="32"/>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Net cash used in investing activities for the nine months ended September 30, 2023 was $3.3 million, primarily attributable to purchases of property and equipment, available-for-sale securities and certificate of deposit, partially offset by proceeds from maturities of available-for-sale securities.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2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Net cash used in financing activities for the nine months ended September 30, 2024 was $0.7 million, primarily attributable to principal payments under vendor financing arrangements, partially offset by proceeds from exercise of stock options.</w:t>
      </w:r>
    </w:p>
    <w:p>
      <w:pPr>
        <w:spacing w:after="0" w:line="180"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Net cash used in financing activities for the nine months ended September 30, 2023 was $ 2.3 million, primarily attributable to payments of contingent consideration for business combination of $1.3 million and principal payments under vendor financing arrangements of $1.0 million.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did not have during the periods presented, and we do not currently have, any off-balance sheet financing arrangements or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unaudited condensed consolidated financial statements and the related notes thereto included elsewhere in this Quarterly Report on Form 10-Q are prepared in accordance with GAAP. The preparation of these unaudited condensed consolidated financial statements requires us to make certain estimates and assumptions that affect the reported amounts of assets, liabilities, revenue, costs and expenses, and related disclosures. We base our estimates on historical experience and on various other assumptions that we believe to be reasonable under the circumstances. Actual results could differ significantly from the estimates made by management. To the extent that there are differences between our estimates and actual results, our financial condition, results of operations, and cash flows will be affected.</w:t>
      </w:r>
    </w:p>
    <w:p>
      <w:pPr>
        <w:spacing w:after="0" w:line="18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There have been no material changes to our critical accounting estimates as compared to those described in “Management’s Discussion and Analysis of Financial Condition and Results of Operations” set forth in our 2023 Form 10-K, other than those discussed in Note 2 to our unaudited condensed consolidated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and Adopted Accounting Pronouncements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For more information regarding recently issued accounting pronouncements, see Note 2 Basis of Presentation and Summary of Significant Accounting Policies, to our unaudited condensed consolidated financial statements included elsewhere in this Quarterly Report on Form 10-Q.</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JOBS Act</w:t>
      </w:r>
    </w:p>
    <w:p>
      <w:pPr>
        <w:spacing w:after="0" w:line="2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an emerging growth company, as defined in the Jumpstart Our Business Startups (JOBS) Act. The JOBS Act provides that an emerging growth company can take advantage of an extended transition period for complying with new or revised accounting standards. This provision allows an emerging growth company to delay the adoption of some accounting standards until those standards would otherwise apply to private companies. We have elected to use the extended transition period under the JOBS Act for the adoption of certain accounting standards until the earlier of the date we (i) are no longer an emerging growth company or (ii) affirmatively and irrevocably opt out of the extended transition period provided in the JOBS Act. See Note 2, Basis of Presentation and Summary of Significant Accounting Policies, in the notes to our consolidated financial statements included on our 2023 Form 10-K. As a result, our financial statements may not be comparable to companies that comply with new or revised accounting pronouncements as of public company effective dates.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 required for the Company as a smaller reporting company.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3" w:name="page34"/>
    <w:bookmarkEnd w:id="33"/>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management, with the participation of our Chief Executive Officer and Chief Financial Officer, has evaluated the effectiveness of our disclosure controls and procedures as of the end of the period covered by this Quarterly Report on Form 10-Q. The term “disclosure controls and procedures,” as defined in Rules 13a-15(e) and 15d-15(e) under the Securities Exchange Act of 1934, as amended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In designing and evaluating our disclosure controls and procedures, our management recognizes that disclosure controls and procedures, no matter how well conceived and operated, can provide only reasonable assurance that the objectives of the disclosure controls and procedures are met. Based on such evaluation, our Chief Executive Officer and Chief Financial Officer concluded that, as of the end of the period covered by this Quarterly Report on Form 10-Q, our disclosure controls and procedures were effective at the reasonable assurance level.</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There were no changes in our internal control over financial reporting identified in connection with the evaluation required by Rule 13a-15(d) and 15d-15(d) of the Exchange Act that occurred during the period covered by this Quarterly Report on Form 10-Q that have materially affected, or are reasonably likely to materially affect, our internal control over financial reporting.</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Inherent Limitations on Effectiveness of Controls</w:t>
      </w:r>
    </w:p>
    <w:p>
      <w:pPr>
        <w:spacing w:after="0" w:line="2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management, including our Chief Executive Officer and Chief Financial Officer, believes that our disclosure controls and procedures and internal control over financial reporting are designed to provide reasonable assurance of achieving their objectives and are effective at the reasonable assurance level. However, management does not expect that our disclosure controls and procedures or our internal control over financial reporting will prevent or detect all errors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4" w:name="page35"/>
    <w:bookmarkEnd w:id="34"/>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See Note 10 Commitments and Contingencies, to our unaudited condensed consolidated financial statements included elsewhere in this Quarterly Report on Form 10-Q.</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7"/>
          <w:szCs w:val="17"/>
          <w:i w:val="1"/>
          <w:iCs w:val="1"/>
          <w:color w:val="auto"/>
        </w:rPr>
        <w:t>Investing in our common stock involves a high degree of risk. Before making your decision to invest in shares of our common stock, you should carefully consider and read carefully all of the risks described below, together with the other information contained in this report, including our financial statements and the related notes and the section titled “Management’s Discussion and Analysis of Financial Condition and Results of Operations” in this report. We cannot assure you that any of the events discussed below will not occur. These events could have a material and adverse impact on our business, financial condition, results of operations and prospects. Unless otherwise indicated, references to our business being harmed in these risk factors will include harm to our business, reputation, financial condition, results of operations, revenue and future prospects. In such event, the trading price of our common stock could decline, and you could lose all or part of your investment. Additional risks and uncertainties not presently known to us or not believed by us to be material may also negatively impact us.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Summary</w:t>
      </w:r>
    </w:p>
    <w:p>
      <w:pPr>
        <w:spacing w:after="0" w:line="119" w:lineRule="exact"/>
        <w:rPr>
          <w:sz w:val="20"/>
          <w:szCs w:val="20"/>
          <w:color w:val="auto"/>
        </w:rPr>
      </w:pPr>
    </w:p>
    <w:p>
      <w:pPr>
        <w:jc w:val="both"/>
        <w:spacing w:after="0" w:line="267" w:lineRule="auto"/>
        <w:rPr>
          <w:sz w:val="20"/>
          <w:szCs w:val="20"/>
          <w:color w:val="auto"/>
        </w:rPr>
      </w:pPr>
      <w:r>
        <w:rPr>
          <w:rFonts w:ascii="Arial" w:cs="Arial" w:eastAsia="Arial" w:hAnsi="Arial"/>
          <w:sz w:val="18"/>
          <w:szCs w:val="18"/>
          <w:i w:val="1"/>
          <w:iCs w:val="1"/>
          <w:color w:val="auto"/>
        </w:rPr>
        <w:t>This risk factor summary contains a high-level summary of risks associated with our business. It does not contain all of the information that may be important to you, and you should read this risk factor summary together with the more detailed discussion of risks and uncertainties set forth following this summary. The principal risks and uncertainties affecting our business includes, but is not limited to, the following:</w:t>
      </w:r>
    </w:p>
    <w:p>
      <w:pPr>
        <w:spacing w:after="0" w:line="117" w:lineRule="exact"/>
        <w:rPr>
          <w:sz w:val="20"/>
          <w:szCs w:val="20"/>
          <w:color w:val="auto"/>
        </w:rPr>
      </w:pPr>
    </w:p>
    <w:p>
      <w:pPr>
        <w:ind w:left="660" w:right="20" w:hanging="328"/>
        <w:spacing w:after="0" w:line="287" w:lineRule="auto"/>
        <w:tabs>
          <w:tab w:leader="none" w:pos="647" w:val="left"/>
        </w:tabs>
        <w:numPr>
          <w:ilvl w:val="0"/>
          <w:numId w:val="14"/>
        </w:numPr>
        <w:rPr>
          <w:rFonts w:ascii="Arial" w:cs="Arial" w:eastAsia="Arial" w:hAnsi="Arial"/>
          <w:sz w:val="18"/>
          <w:szCs w:val="18"/>
          <w:b w:val="1"/>
          <w:bCs w:val="1"/>
          <w:i w:val="1"/>
          <w:iCs w:val="1"/>
          <w:color w:val="auto"/>
        </w:rPr>
      </w:pPr>
      <w:r>
        <w:rPr>
          <w:rFonts w:ascii="Arial" w:cs="Arial" w:eastAsia="Arial" w:hAnsi="Arial"/>
          <w:sz w:val="18"/>
          <w:szCs w:val="18"/>
          <w:color w:val="auto"/>
        </w:rPr>
        <w:t>We face significant competition from larger companies and third party providers that may deploy their resources so they can develop their IP solutions internally.</w:t>
      </w:r>
    </w:p>
    <w:p>
      <w:pPr>
        <w:spacing w:after="0" w:line="98" w:lineRule="exact"/>
        <w:rPr>
          <w:rFonts w:ascii="Arial" w:cs="Arial" w:eastAsia="Arial" w:hAnsi="Arial"/>
          <w:sz w:val="18"/>
          <w:szCs w:val="18"/>
          <w:b w:val="1"/>
          <w:bCs w:val="1"/>
          <w:i w:val="1"/>
          <w:iCs w:val="1"/>
          <w:color w:val="auto"/>
        </w:rPr>
      </w:pPr>
    </w:p>
    <w:p>
      <w:pPr>
        <w:ind w:left="640" w:hanging="308"/>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have a history of net losses, and we may not achieve or maintain profitability in the future.</w:t>
      </w:r>
    </w:p>
    <w:p>
      <w:pPr>
        <w:spacing w:after="0" w:line="171" w:lineRule="exact"/>
        <w:rPr>
          <w:rFonts w:ascii="Arial" w:cs="Arial" w:eastAsia="Arial" w:hAnsi="Arial"/>
          <w:sz w:val="18"/>
          <w:szCs w:val="18"/>
          <w:color w:val="auto"/>
        </w:rPr>
      </w:pPr>
    </w:p>
    <w:p>
      <w:pPr>
        <w:jc w:val="both"/>
        <w:ind w:left="660" w:hanging="328"/>
        <w:spacing w:after="0" w:line="262" w:lineRule="auto"/>
        <w:tabs>
          <w:tab w:leader="none" w:pos="688" w:val="left"/>
        </w:tabs>
        <w:numPr>
          <w:ilvl w:val="0"/>
          <w:numId w:val="14"/>
        </w:numPr>
        <w:rPr>
          <w:rFonts w:ascii="Arial" w:cs="Arial" w:eastAsia="Arial" w:hAnsi="Arial"/>
          <w:sz w:val="18"/>
          <w:szCs w:val="18"/>
          <w:color w:val="auto"/>
        </w:rPr>
      </w:pPr>
      <w:r>
        <w:rPr>
          <w:rFonts w:ascii="Arial" w:cs="Arial" w:eastAsia="Arial" w:hAnsi="Arial"/>
          <w:sz w:val="18"/>
          <w:szCs w:val="18"/>
          <w:color w:val="auto"/>
        </w:rPr>
        <w:t>Because our IP solutions are components of end products, if semiconductor, system producers and/or end product producer companies in the automotive market, enterprise computing market, communications market, consumer electronics market, and industrial market do not incorporate our solutions into their end products or if the end products of our customers do not achieve market acceptance, we may not be able to generate adequate license sales and royalty income from our products.</w:t>
      </w:r>
    </w:p>
    <w:p>
      <w:pPr>
        <w:spacing w:after="0" w:line="122" w:lineRule="exact"/>
        <w:rPr>
          <w:rFonts w:ascii="Arial" w:cs="Arial" w:eastAsia="Arial" w:hAnsi="Arial"/>
          <w:sz w:val="18"/>
          <w:szCs w:val="18"/>
          <w:color w:val="auto"/>
        </w:rPr>
      </w:pPr>
    </w:p>
    <w:p>
      <w:pPr>
        <w:ind w:left="640" w:hanging="308"/>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depend on market acceptance of third-party semiconductor IP.</w:t>
      </w:r>
    </w:p>
    <w:p>
      <w:pPr>
        <w:spacing w:after="0" w:line="171" w:lineRule="exact"/>
        <w:rPr>
          <w:rFonts w:ascii="Arial" w:cs="Arial" w:eastAsia="Arial" w:hAnsi="Arial"/>
          <w:sz w:val="18"/>
          <w:szCs w:val="18"/>
          <w:color w:val="auto"/>
        </w:rPr>
      </w:pPr>
    </w:p>
    <w:p>
      <w:pPr>
        <w:ind w:left="660" w:hanging="328"/>
        <w:spacing w:after="0" w:line="287" w:lineRule="auto"/>
        <w:tabs>
          <w:tab w:leader="none" w:pos="647"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success of our business depends on sustaining or growing our licensing revenue, and the failure to achieve such revenue would lead to a material decline in our results of operations.</w:t>
      </w:r>
    </w:p>
    <w:p>
      <w:pPr>
        <w:spacing w:after="0" w:line="98" w:lineRule="exact"/>
        <w:rPr>
          <w:rFonts w:ascii="Arial" w:cs="Arial" w:eastAsia="Arial" w:hAnsi="Arial"/>
          <w:sz w:val="18"/>
          <w:szCs w:val="18"/>
          <w:color w:val="auto"/>
        </w:rPr>
      </w:pPr>
    </w:p>
    <w:p>
      <w:pPr>
        <w:ind w:left="660" w:hanging="328"/>
        <w:spacing w:after="0" w:line="287" w:lineRule="auto"/>
        <w:tabs>
          <w:tab w:leader="none" w:pos="647"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nature of the design win process requires us to incur significant expenses without any guarantee that research and development and sales efforts will generate revenue, which could adversely affect our financial results.</w:t>
      </w:r>
    </w:p>
    <w:p>
      <w:pPr>
        <w:spacing w:after="0" w:line="98" w:lineRule="exact"/>
        <w:rPr>
          <w:rFonts w:ascii="Arial" w:cs="Arial" w:eastAsia="Arial" w:hAnsi="Arial"/>
          <w:sz w:val="18"/>
          <w:szCs w:val="18"/>
          <w:color w:val="auto"/>
        </w:rPr>
      </w:pPr>
    </w:p>
    <w:p>
      <w:pPr>
        <w:jc w:val="both"/>
        <w:ind w:left="660" w:hanging="328"/>
        <w:spacing w:after="0" w:line="268" w:lineRule="auto"/>
        <w:tabs>
          <w:tab w:leader="none" w:pos="647" w:val="left"/>
        </w:tabs>
        <w:numPr>
          <w:ilvl w:val="0"/>
          <w:numId w:val="14"/>
        </w:numPr>
        <w:rPr>
          <w:rFonts w:ascii="Arial" w:cs="Arial" w:eastAsia="Arial" w:hAnsi="Arial"/>
          <w:sz w:val="18"/>
          <w:szCs w:val="18"/>
          <w:color w:val="auto"/>
        </w:rPr>
      </w:pPr>
      <w:r>
        <w:rPr>
          <w:rFonts w:ascii="Arial" w:cs="Arial" w:eastAsia="Arial" w:hAnsi="Arial"/>
          <w:sz w:val="18"/>
          <w:szCs w:val="18"/>
          <w:color w:val="auto"/>
        </w:rPr>
        <w:t>Even if we succeed in securing design wins for our IP interconnect and other solutions and our SoC Integration Automation software (SIA) solutions (formerly IP deployment solutions), we may not generate timely or sufficient margins or margins from those wins and our financial results could suffer.</w:t>
      </w:r>
    </w:p>
    <w:p>
      <w:pPr>
        <w:spacing w:after="0" w:line="116" w:lineRule="exact"/>
        <w:rPr>
          <w:rFonts w:ascii="Arial" w:cs="Arial" w:eastAsia="Arial" w:hAnsi="Arial"/>
          <w:sz w:val="18"/>
          <w:szCs w:val="18"/>
          <w:color w:val="auto"/>
        </w:rPr>
      </w:pPr>
    </w:p>
    <w:p>
      <w:pPr>
        <w:ind w:left="660" w:hanging="328"/>
        <w:spacing w:after="0" w:line="287" w:lineRule="auto"/>
        <w:tabs>
          <w:tab w:leader="none" w:pos="647"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continually pursue new IP interconnect, SoC integration automation, and other technology initiatives, and if we fail to successfully carry out these initiatives, our business could be harmed.</w:t>
      </w:r>
    </w:p>
    <w:p>
      <w:pPr>
        <w:spacing w:after="0" w:line="98" w:lineRule="exact"/>
        <w:rPr>
          <w:rFonts w:ascii="Arial" w:cs="Arial" w:eastAsia="Arial" w:hAnsi="Arial"/>
          <w:sz w:val="18"/>
          <w:szCs w:val="18"/>
          <w:color w:val="auto"/>
        </w:rPr>
      </w:pPr>
    </w:p>
    <w:p>
      <w:pPr>
        <w:ind w:left="660" w:hanging="328"/>
        <w:spacing w:after="0" w:line="287" w:lineRule="auto"/>
        <w:tabs>
          <w:tab w:leader="none" w:pos="647"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have to invest more resources in research and development than anticipated, which could increase our operating expenses and negatively affect our operating results.</w:t>
      </w:r>
    </w:p>
    <w:p>
      <w:pPr>
        <w:spacing w:after="0" w:line="98" w:lineRule="exact"/>
        <w:rPr>
          <w:rFonts w:ascii="Arial" w:cs="Arial" w:eastAsia="Arial" w:hAnsi="Arial"/>
          <w:sz w:val="18"/>
          <w:szCs w:val="18"/>
          <w:color w:val="auto"/>
        </w:rPr>
      </w:pPr>
    </w:p>
    <w:p>
      <w:pPr>
        <w:ind w:left="640" w:hanging="308"/>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Product errors or defects could expose us to liability and harm our reputation and we could lose market share.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5" w:name="page36"/>
    <w:bookmarkEnd w:id="35"/>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640" w:hanging="308"/>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we fail to offer high-quality support, our reputation could suffer.</w:t>
      </w:r>
    </w:p>
    <w:p>
      <w:pPr>
        <w:spacing w:after="0" w:line="171" w:lineRule="exact"/>
        <w:rPr>
          <w:rFonts w:ascii="Arial" w:cs="Arial" w:eastAsia="Arial" w:hAnsi="Arial"/>
          <w:sz w:val="18"/>
          <w:szCs w:val="18"/>
          <w:color w:val="auto"/>
        </w:rPr>
      </w:pPr>
    </w:p>
    <w:p>
      <w:pPr>
        <w:jc w:val="both"/>
        <w:ind w:left="660" w:hanging="328"/>
        <w:spacing w:after="0" w:line="268" w:lineRule="auto"/>
        <w:tabs>
          <w:tab w:leader="none" w:pos="661"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dependence on international customers and operations also subjects us to a range of other additional regulatory, operational, financial, and geopolitical risks and conflicts that could adversely affect our customers’ design schedules, which can adversely impact our financial results.</w:t>
      </w:r>
    </w:p>
    <w:p>
      <w:pPr>
        <w:spacing w:after="0" w:line="116" w:lineRule="exact"/>
        <w:rPr>
          <w:rFonts w:ascii="Arial" w:cs="Arial" w:eastAsia="Arial" w:hAnsi="Arial"/>
          <w:sz w:val="18"/>
          <w:szCs w:val="18"/>
          <w:color w:val="auto"/>
        </w:rPr>
      </w:pPr>
    </w:p>
    <w:p>
      <w:pPr>
        <w:ind w:left="660" w:hanging="328"/>
        <w:spacing w:after="0" w:line="287" w:lineRule="auto"/>
        <w:tabs>
          <w:tab w:leader="none" w:pos="647" w:val="left"/>
        </w:tabs>
        <w:numPr>
          <w:ilvl w:val="0"/>
          <w:numId w:val="15"/>
        </w:numPr>
        <w:rPr>
          <w:rFonts w:ascii="Arial" w:cs="Arial" w:eastAsia="Arial" w:hAnsi="Arial"/>
          <w:sz w:val="18"/>
          <w:szCs w:val="18"/>
          <w:b w:val="1"/>
          <w:bCs w:val="1"/>
          <w:i w:val="1"/>
          <w:iCs w:val="1"/>
          <w:color w:val="auto"/>
        </w:rPr>
      </w:pPr>
      <w:r>
        <w:rPr>
          <w:rFonts w:ascii="Arial" w:cs="Arial" w:eastAsia="Arial" w:hAnsi="Arial"/>
          <w:sz w:val="18"/>
          <w:szCs w:val="18"/>
          <w:color w:val="auto"/>
        </w:rPr>
        <w:t>If we are unable to protect our proprietary technology and inventions through patents and other intellectual property rights, our ability to compete successfully and our financial results could be adversely impacted.</w:t>
      </w:r>
    </w:p>
    <w:p>
      <w:pPr>
        <w:spacing w:after="0" w:line="98" w:lineRule="exact"/>
        <w:rPr>
          <w:rFonts w:ascii="Arial" w:cs="Arial" w:eastAsia="Arial" w:hAnsi="Arial"/>
          <w:sz w:val="18"/>
          <w:szCs w:val="18"/>
          <w:b w:val="1"/>
          <w:bCs w:val="1"/>
          <w:i w:val="1"/>
          <w:iCs w:val="1"/>
          <w:color w:val="auto"/>
        </w:rPr>
      </w:pPr>
    </w:p>
    <w:p>
      <w:pPr>
        <w:ind w:left="660" w:right="20" w:hanging="328"/>
        <w:spacing w:after="0" w:line="287" w:lineRule="auto"/>
        <w:tabs>
          <w:tab w:leader="none" w:pos="647" w:val="left"/>
        </w:tabs>
        <w:numPr>
          <w:ilvl w:val="0"/>
          <w:numId w:val="15"/>
        </w:numPr>
        <w:rPr>
          <w:rFonts w:ascii="Arial" w:cs="Arial" w:eastAsia="Arial" w:hAnsi="Arial"/>
          <w:sz w:val="18"/>
          <w:szCs w:val="18"/>
          <w:b w:val="1"/>
          <w:bCs w:val="1"/>
          <w:i w:val="1"/>
          <w:iCs w:val="1"/>
          <w:color w:val="auto"/>
        </w:rPr>
      </w:pPr>
      <w:r>
        <w:rPr>
          <w:rFonts w:ascii="Arial" w:cs="Arial" w:eastAsia="Arial" w:hAnsi="Arial"/>
          <w:sz w:val="18"/>
          <w:szCs w:val="18"/>
          <w:color w:val="auto"/>
        </w:rPr>
        <w:t>We are subject to government regulation, including import, export and economic sanctions laws and artificial intelligence regulations that may expose us to liability and increase our costs.</w:t>
      </w:r>
    </w:p>
    <w:p>
      <w:pPr>
        <w:spacing w:after="0" w:line="98" w:lineRule="exact"/>
        <w:rPr>
          <w:rFonts w:ascii="Arial" w:cs="Arial" w:eastAsia="Arial" w:hAnsi="Arial"/>
          <w:sz w:val="18"/>
          <w:szCs w:val="18"/>
          <w:b w:val="1"/>
          <w:bCs w:val="1"/>
          <w:i w:val="1"/>
          <w:iCs w:val="1"/>
          <w:color w:val="auto"/>
        </w:rPr>
      </w:pPr>
    </w:p>
    <w:p>
      <w:pPr>
        <w:ind w:left="640" w:hanging="308"/>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face risks associated with doing business in China.</w:t>
      </w:r>
    </w:p>
    <w:p>
      <w:pPr>
        <w:spacing w:after="0" w:line="171" w:lineRule="exact"/>
        <w:rPr>
          <w:rFonts w:ascii="Arial" w:cs="Arial" w:eastAsia="Arial" w:hAnsi="Arial"/>
          <w:sz w:val="18"/>
          <w:szCs w:val="18"/>
          <w:color w:val="auto"/>
        </w:rPr>
      </w:pPr>
    </w:p>
    <w:p>
      <w:pPr>
        <w:ind w:left="640" w:hanging="308"/>
        <w:spacing w:after="0"/>
        <w:tabs>
          <w:tab w:leader="none" w:pos="640" w:val="left"/>
        </w:tabs>
        <w:numPr>
          <w:ilvl w:val="0"/>
          <w:numId w:val="15"/>
        </w:numPr>
        <w:rPr>
          <w:rFonts w:ascii="Arial" w:cs="Arial" w:eastAsia="Arial" w:hAnsi="Arial"/>
          <w:sz w:val="18"/>
          <w:szCs w:val="18"/>
          <w:b w:val="1"/>
          <w:bCs w:val="1"/>
          <w:i w:val="1"/>
          <w:iCs w:val="1"/>
          <w:color w:val="auto"/>
        </w:rPr>
      </w:pPr>
      <w:r>
        <w:rPr>
          <w:rFonts w:ascii="Arial" w:cs="Arial" w:eastAsia="Arial" w:hAnsi="Arial"/>
          <w:sz w:val="18"/>
          <w:szCs w:val="18"/>
          <w:color w:val="auto"/>
        </w:rPr>
        <w:t>Litigation, including securities class action litigation, may impair our reputation and lead us to incur significant costs.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Business and Industry</w:t>
      </w:r>
    </w:p>
    <w:p>
      <w:pPr>
        <w:spacing w:after="0" w:line="169"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We face significant competition from larger companies and third-party providers that may deploy their resources so they can develop their IP solutions internally.</w:t>
      </w:r>
    </w:p>
    <w:p>
      <w:pPr>
        <w:spacing w:after="0" w:line="9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We are engaged in a competitive segment of the global semiconductor industry. Our competitive landscape is characterized by competition from companies that have greater resources than us. A variety of factors could adversely impact our ability to compete, including rapid technological change in product design and manufacturing, customers that make purchase decisions based on a mix of factors of varying importance and continuous declines in average selling prices (ASPs). We compete principally on the basis of technology, product quality and features, license, royalty and usage terms, post-contract customer support, interoperability among products, and price and payment terms.</w:t>
      </w:r>
    </w:p>
    <w:p>
      <w:pPr>
        <w:spacing w:after="0" w:line="141"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We operate in industries characterized by rapidly changing technologies as well as rapid innovation and technological obsolescence. The appearance of new competitors, including start-up enterprises, introduction of new products by our competitors or our failure to timely develop new or enhanced products or technologies in response to changing market demand, whether due to technological shifts or otherwise, could result in the loss of customers and decreased revenue and have an adverse effect on our business, financial condition, and results of operations.</w:t>
      </w:r>
    </w:p>
    <w:p>
      <w:pPr>
        <w:spacing w:after="0" w:line="125"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Often, we compete against larger companies that possess substantial financial, technical, research and development and engineering resources that can be deployed so they can develop their IP solutions internally. In addition, we compete against other third-party providers of IP integration solutions, such as Arm, Baya Systems, Cadence Design Systems, Defacto, Extoll, Openedges, SignatureIP, SkyeChip, and Truechip that similarly possess substantial financial, technical, research and development and engineering resources. In certain cases, competitive companies may be supported by local or international government funding and similar resources. Varying combinations of these resources provide advantages to these competitors that enable them to influence industry trends and the pace at which they adapt to these trends. A strong competitive response from one or more of our competitors to our marketplace efforts, or a shift in customer preferences to competitors’ products, could result in increased pressure to lower our prices more rapidly than anticipated, increased sales and marketing expense, and/or market share loss. The consolidation of our competitors or collaboration among our competitors to deliver more comprehensive offerings than they could individually, may also impact our ability to compete effectively. To the extent our revenue is negatively impacted by competitive pressures and reduced pricing, our business could be harmed.</w:t>
      </w:r>
    </w:p>
    <w:p>
      <w:pPr>
        <w:spacing w:after="0" w:line="132" w:lineRule="exact"/>
        <w:rPr>
          <w:sz w:val="20"/>
          <w:szCs w:val="20"/>
          <w:color w:val="auto"/>
        </w:rPr>
      </w:pPr>
    </w:p>
    <w:p>
      <w:pPr>
        <w:jc w:val="both"/>
        <w:spacing w:after="0" w:line="301" w:lineRule="auto"/>
        <w:rPr>
          <w:sz w:val="20"/>
          <w:szCs w:val="20"/>
          <w:color w:val="auto"/>
        </w:rPr>
      </w:pPr>
      <w:r>
        <w:rPr>
          <w:rFonts w:ascii="Arial" w:cs="Arial" w:eastAsia="Arial" w:hAnsi="Arial"/>
          <w:sz w:val="17"/>
          <w:szCs w:val="17"/>
          <w:color w:val="auto"/>
        </w:rPr>
        <w:t>Our ability to compete in our market is subject to a variety of factors, many of which are beyond our control. The occurrence of any of the below could adversely affect our ability to compete and harm our business:</w:t>
      </w:r>
    </w:p>
    <w:p>
      <w:pPr>
        <w:spacing w:after="0" w:line="90" w:lineRule="exact"/>
        <w:rPr>
          <w:sz w:val="20"/>
          <w:szCs w:val="20"/>
          <w:color w:val="auto"/>
        </w:rPr>
      </w:pPr>
    </w:p>
    <w:p>
      <w:pPr>
        <w:ind w:left="820" w:right="20" w:hanging="326"/>
        <w:spacing w:after="0" w:line="284" w:lineRule="auto"/>
        <w:tabs>
          <w:tab w:leader="none" w:pos="815" w:val="left"/>
        </w:tabs>
        <w:numPr>
          <w:ilvl w:val="0"/>
          <w:numId w:val="16"/>
        </w:numPr>
        <w:rPr>
          <w:rFonts w:ascii="Arial" w:cs="Arial" w:eastAsia="Arial" w:hAnsi="Arial"/>
          <w:sz w:val="17"/>
          <w:szCs w:val="17"/>
          <w:color w:val="auto"/>
        </w:rPr>
      </w:pPr>
      <w:r>
        <w:rPr>
          <w:rFonts w:ascii="Arial" w:cs="Arial" w:eastAsia="Arial" w:hAnsi="Arial"/>
          <w:sz w:val="17"/>
          <w:szCs w:val="17"/>
          <w:color w:val="auto"/>
        </w:rPr>
        <w:t>Our ability to anticipate and lead critical product development cycles and technological shifts as driven by our target markets, to innovate rapidly and efficiently and to improve our existing solutions.</w:t>
      </w:r>
    </w:p>
    <w:p>
      <w:pPr>
        <w:spacing w:after="0" w:line="104" w:lineRule="exact"/>
        <w:rPr>
          <w:rFonts w:ascii="Arial" w:cs="Arial" w:eastAsia="Arial" w:hAnsi="Arial"/>
          <w:sz w:val="17"/>
          <w:szCs w:val="17"/>
          <w:color w:val="auto"/>
        </w:rPr>
      </w:pPr>
    </w:p>
    <w:p>
      <w:pPr>
        <w:ind w:left="820" w:hanging="326"/>
        <w:spacing w:after="0" w:line="284" w:lineRule="auto"/>
        <w:tabs>
          <w:tab w:leader="none" w:pos="829" w:val="left"/>
        </w:tabs>
        <w:numPr>
          <w:ilvl w:val="0"/>
          <w:numId w:val="16"/>
        </w:numPr>
        <w:rPr>
          <w:rFonts w:ascii="Arial" w:cs="Arial" w:eastAsia="Arial" w:hAnsi="Arial"/>
          <w:sz w:val="17"/>
          <w:szCs w:val="17"/>
          <w:color w:val="auto"/>
        </w:rPr>
      </w:pPr>
      <w:r>
        <w:rPr>
          <w:rFonts w:ascii="Arial" w:cs="Arial" w:eastAsia="Arial" w:hAnsi="Arial"/>
          <w:sz w:val="17"/>
          <w:szCs w:val="17"/>
          <w:color w:val="auto"/>
        </w:rPr>
        <w:t>Whether any competitor substantially increases its engineering and marketing resources to compete with us in the semiconductor IP interconnect and SIA software technology arena.</w:t>
      </w:r>
    </w:p>
    <w:p>
      <w:pPr>
        <w:spacing w:after="0" w:line="104" w:lineRule="exact"/>
        <w:rPr>
          <w:rFonts w:ascii="Arial" w:cs="Arial" w:eastAsia="Arial" w:hAnsi="Arial"/>
          <w:sz w:val="17"/>
          <w:szCs w:val="17"/>
          <w:color w:val="auto"/>
        </w:rPr>
      </w:pPr>
    </w:p>
    <w:p>
      <w:pPr>
        <w:ind w:left="820" w:hanging="326"/>
        <w:spacing w:after="0" w:line="301" w:lineRule="auto"/>
        <w:tabs>
          <w:tab w:leader="none" w:pos="815" w:val="left"/>
        </w:tabs>
        <w:numPr>
          <w:ilvl w:val="0"/>
          <w:numId w:val="16"/>
        </w:numPr>
        <w:rPr>
          <w:rFonts w:ascii="Arial" w:cs="Arial" w:eastAsia="Arial" w:hAnsi="Arial"/>
          <w:sz w:val="17"/>
          <w:szCs w:val="17"/>
          <w:color w:val="auto"/>
        </w:rPr>
      </w:pPr>
      <w:r>
        <w:rPr>
          <w:rFonts w:ascii="Arial" w:cs="Arial" w:eastAsia="Arial" w:hAnsi="Arial"/>
          <w:sz w:val="17"/>
          <w:szCs w:val="17"/>
          <w:color w:val="auto"/>
        </w:rPr>
        <w:t>Whether a new entrant with substantially greater resources and/or supported by governmental resources decides to enter the markets in which we compete.</w:t>
      </w:r>
    </w:p>
    <w:p>
      <w:pPr>
        <w:spacing w:after="0" w:line="90" w:lineRule="exact"/>
        <w:rPr>
          <w:rFonts w:ascii="Arial" w:cs="Arial" w:eastAsia="Arial" w:hAnsi="Arial"/>
          <w:sz w:val="17"/>
          <w:szCs w:val="17"/>
          <w:color w:val="auto"/>
        </w:rPr>
      </w:pPr>
    </w:p>
    <w:p>
      <w:pPr>
        <w:ind w:left="820" w:hanging="326"/>
        <w:spacing w:after="0" w:line="284" w:lineRule="auto"/>
        <w:tabs>
          <w:tab w:leader="none" w:pos="815" w:val="left"/>
        </w:tabs>
        <w:numPr>
          <w:ilvl w:val="0"/>
          <w:numId w:val="16"/>
        </w:numPr>
        <w:rPr>
          <w:rFonts w:ascii="Arial" w:cs="Arial" w:eastAsia="Arial" w:hAnsi="Arial"/>
          <w:sz w:val="17"/>
          <w:szCs w:val="17"/>
          <w:color w:val="auto"/>
        </w:rPr>
      </w:pPr>
      <w:r>
        <w:rPr>
          <w:rFonts w:ascii="Arial" w:cs="Arial" w:eastAsia="Arial" w:hAnsi="Arial"/>
          <w:sz w:val="17"/>
          <w:szCs w:val="17"/>
          <w:color w:val="auto"/>
        </w:rPr>
        <w:t>Whether any existing or new competitor bundles its technologies into one package at a discounted price that would make it uneconomical for our customers to license our products separately.</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6" w:name="page37"/>
    <w:bookmarkEnd w:id="36"/>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820" w:hanging="326"/>
        <w:spacing w:after="0" w:line="284" w:lineRule="auto"/>
        <w:tabs>
          <w:tab w:leader="none" w:pos="815"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challenges of developing, or acquiring externally developed, technology solutions that are adequate and competitive in meeting the rapidly evolving requirements of next-generation design challenges.</w:t>
      </w:r>
    </w:p>
    <w:p>
      <w:pPr>
        <w:spacing w:after="0" w:line="104" w:lineRule="exact"/>
        <w:rPr>
          <w:rFonts w:ascii="Arial" w:cs="Arial" w:eastAsia="Arial" w:hAnsi="Arial"/>
          <w:sz w:val="17"/>
          <w:szCs w:val="17"/>
          <w:color w:val="auto"/>
        </w:rPr>
      </w:pPr>
    </w:p>
    <w:p>
      <w:pPr>
        <w:ind w:left="820" w:hanging="326"/>
        <w:spacing w:after="0"/>
        <w:tabs>
          <w:tab w:leader="none" w:pos="8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Our ability to compete on the basis of payment, pricing, features and/or terms.</w:t>
      </w:r>
    </w:p>
    <w:p>
      <w:pPr>
        <w:spacing w:after="0" w:line="182" w:lineRule="exact"/>
        <w:rPr>
          <w:rFonts w:ascii="Arial" w:cs="Arial" w:eastAsia="Arial" w:hAnsi="Arial"/>
          <w:sz w:val="17"/>
          <w:szCs w:val="17"/>
          <w:color w:val="auto"/>
        </w:rPr>
      </w:pPr>
    </w:p>
    <w:p>
      <w:pPr>
        <w:jc w:val="both"/>
        <w:ind w:left="820" w:hanging="326"/>
        <w:spacing w:after="0" w:line="266" w:lineRule="auto"/>
        <w:tabs>
          <w:tab w:leader="none" w:pos="815" w:val="left"/>
        </w:tabs>
        <w:numPr>
          <w:ilvl w:val="0"/>
          <w:numId w:val="17"/>
        </w:numPr>
        <w:rPr>
          <w:rFonts w:ascii="Arial" w:cs="Arial" w:eastAsia="Arial" w:hAnsi="Arial"/>
          <w:sz w:val="17"/>
          <w:szCs w:val="17"/>
          <w:color w:val="auto"/>
        </w:rPr>
      </w:pPr>
      <w:r>
        <w:rPr>
          <w:rFonts w:ascii="Arial" w:cs="Arial" w:eastAsia="Arial" w:hAnsi="Arial"/>
          <w:sz w:val="17"/>
          <w:szCs w:val="17"/>
          <w:color w:val="auto"/>
        </w:rPr>
        <w:t>Decisions by semiconductor companies, fabless chip design or system companies, device or other end product producers, and/or OEMs to develop IP development internally, rather than license IP from outside vendors due to budget constraints or excess engineering capacity.</w:t>
      </w:r>
    </w:p>
    <w:p>
      <w:pPr>
        <w:spacing w:after="0" w:line="119" w:lineRule="exact"/>
        <w:rPr>
          <w:rFonts w:ascii="Arial" w:cs="Arial" w:eastAsia="Arial" w:hAnsi="Arial"/>
          <w:sz w:val="17"/>
          <w:szCs w:val="17"/>
          <w:color w:val="auto"/>
        </w:rPr>
      </w:pPr>
    </w:p>
    <w:p>
      <w:pPr>
        <w:jc w:val="both"/>
        <w:ind w:left="820" w:hanging="326"/>
        <w:spacing w:after="0" w:line="274" w:lineRule="auto"/>
        <w:tabs>
          <w:tab w:leader="none" w:pos="815" w:val="left"/>
        </w:tabs>
        <w:numPr>
          <w:ilvl w:val="0"/>
          <w:numId w:val="17"/>
        </w:numPr>
        <w:rPr>
          <w:rFonts w:ascii="Arial" w:cs="Arial" w:eastAsia="Arial" w:hAnsi="Arial"/>
          <w:sz w:val="17"/>
          <w:szCs w:val="17"/>
          <w:color w:val="auto"/>
        </w:rPr>
      </w:pPr>
      <w:r>
        <w:rPr>
          <w:rFonts w:ascii="Arial" w:cs="Arial" w:eastAsia="Arial" w:hAnsi="Arial"/>
          <w:sz w:val="17"/>
          <w:szCs w:val="17"/>
          <w:color w:val="auto"/>
        </w:rPr>
        <w:t>Actions by regulators or governmental entities to impose license requirements, limit product availability, limit trade and exportability of our products, the features or contractual terms that either we or our customers can apply to product and service offerings, or to affect monetary policy.</w:t>
      </w:r>
    </w:p>
    <w:p>
      <w:pPr>
        <w:spacing w:after="0" w:line="113" w:lineRule="exact"/>
        <w:rPr>
          <w:rFonts w:ascii="Arial" w:cs="Arial" w:eastAsia="Arial" w:hAnsi="Arial"/>
          <w:sz w:val="17"/>
          <w:szCs w:val="17"/>
          <w:color w:val="auto"/>
        </w:rPr>
      </w:pPr>
    </w:p>
    <w:p>
      <w:pPr>
        <w:ind w:left="820" w:hanging="326"/>
        <w:spacing w:after="0"/>
        <w:tabs>
          <w:tab w:leader="none" w:pos="8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Actions by regulators or governmental entities to modify or augment tax treatment of our product and service offerings.</w:t>
      </w:r>
    </w:p>
    <w:p>
      <w:pPr>
        <w:spacing w:after="0" w:line="169" w:lineRule="exact"/>
        <w:rPr>
          <w:rFonts w:ascii="Arial" w:cs="Arial" w:eastAsia="Arial" w:hAnsi="Arial"/>
          <w:sz w:val="17"/>
          <w:szCs w:val="17"/>
          <w:color w:val="auto"/>
        </w:rPr>
      </w:pPr>
    </w:p>
    <w:p>
      <w:pPr>
        <w:ind w:left="820" w:hanging="326"/>
        <w:spacing w:after="0" w:line="284" w:lineRule="auto"/>
        <w:tabs>
          <w:tab w:leader="none" w:pos="829"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impact of global and regional inflation on ours and our customers’ profitability and expansion plans due to among other effects of inflation, increases in wages, availability of capital, salaries, operating expenses, and costs of insurance, benefits and medical coverage.</w:t>
      </w:r>
    </w:p>
    <w:p>
      <w:pPr>
        <w:spacing w:after="0" w:line="104" w:lineRule="exact"/>
        <w:rPr>
          <w:rFonts w:ascii="Arial" w:cs="Arial" w:eastAsia="Arial" w:hAnsi="Arial"/>
          <w:sz w:val="17"/>
          <w:szCs w:val="17"/>
          <w:color w:val="auto"/>
        </w:rPr>
      </w:pPr>
    </w:p>
    <w:p>
      <w:pPr>
        <w:jc w:val="both"/>
        <w:ind w:left="820" w:hanging="326"/>
        <w:spacing w:after="0" w:line="259" w:lineRule="auto"/>
        <w:tabs>
          <w:tab w:leader="none" w:pos="815"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potential effects of geopolitical conflicts, such as the military conflict between Russia and Ukraine and the conflict in Israel, including retaliatory, military and regulatory actions, or other actions that escalate tensions, including with respect to the conflict in Israel, actions involving Iran and other groups in the Middle East, on our customers’ engineering resources, design schedules, purchasing, development, sales and innovation responses and trends in response to such conflicts. Specifically, the conflict in Israel and Gaza has created an uncertain business and investment environment in the region. Many companies, particularly small to medium enterprises, are experiencing challenges raising money leading to cutbacks and project delays.</w:t>
      </w:r>
    </w:p>
    <w:p>
      <w:pPr>
        <w:spacing w:after="0" w:line="124" w:lineRule="exact"/>
        <w:rPr>
          <w:rFonts w:ascii="Arial" w:cs="Arial" w:eastAsia="Arial" w:hAnsi="Arial"/>
          <w:sz w:val="17"/>
          <w:szCs w:val="17"/>
          <w:color w:val="auto"/>
        </w:rPr>
      </w:pPr>
    </w:p>
    <w:p>
      <w:pPr>
        <w:ind w:left="820" w:hanging="326"/>
        <w:spacing w:after="0"/>
        <w:tabs>
          <w:tab w:leader="none" w:pos="8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Competition, embargoes, sanctions, boycotts and/or social unrest.</w:t>
      </w:r>
    </w:p>
    <w:p>
      <w:pPr>
        <w:spacing w:after="0" w:line="182" w:lineRule="exact"/>
        <w:rPr>
          <w:rFonts w:ascii="Arial" w:cs="Arial" w:eastAsia="Arial" w:hAnsi="Arial"/>
          <w:sz w:val="17"/>
          <w:szCs w:val="17"/>
          <w:color w:val="auto"/>
        </w:rPr>
      </w:pPr>
    </w:p>
    <w:p>
      <w:pPr>
        <w:ind w:left="820" w:hanging="326"/>
        <w:spacing w:after="0" w:line="284" w:lineRule="auto"/>
        <w:tabs>
          <w:tab w:leader="none" w:pos="829" w:val="left"/>
        </w:tabs>
        <w:numPr>
          <w:ilvl w:val="0"/>
          <w:numId w:val="17"/>
        </w:numPr>
        <w:rPr>
          <w:rFonts w:ascii="Arial" w:cs="Arial" w:eastAsia="Arial" w:hAnsi="Arial"/>
          <w:sz w:val="17"/>
          <w:szCs w:val="17"/>
          <w:color w:val="auto"/>
        </w:rPr>
      </w:pPr>
      <w:r>
        <w:rPr>
          <w:rFonts w:ascii="Arial" w:cs="Arial" w:eastAsia="Arial" w:hAnsi="Arial"/>
          <w:sz w:val="17"/>
          <w:szCs w:val="17"/>
          <w:color w:val="auto"/>
        </w:rPr>
        <w:t>Local or international economic headwind trends that may lead to recessions, economic slowdowns or sudden changes in economic needs of regions and consumers.</w:t>
      </w:r>
    </w:p>
    <w:p>
      <w:pPr>
        <w:spacing w:after="0" w:line="104" w:lineRule="exact"/>
        <w:rPr>
          <w:rFonts w:ascii="Arial" w:cs="Arial" w:eastAsia="Arial" w:hAnsi="Arial"/>
          <w:sz w:val="17"/>
          <w:szCs w:val="17"/>
          <w:color w:val="auto"/>
        </w:rPr>
      </w:pPr>
    </w:p>
    <w:p>
      <w:pPr>
        <w:ind w:left="820" w:right="20" w:hanging="326"/>
        <w:spacing w:after="0" w:line="284" w:lineRule="auto"/>
        <w:tabs>
          <w:tab w:leader="none" w:pos="829" w:val="left"/>
        </w:tabs>
        <w:numPr>
          <w:ilvl w:val="0"/>
          <w:numId w:val="17"/>
        </w:numPr>
        <w:rPr>
          <w:rFonts w:ascii="Arial" w:cs="Arial" w:eastAsia="Arial" w:hAnsi="Arial"/>
          <w:sz w:val="17"/>
          <w:szCs w:val="17"/>
          <w:color w:val="auto"/>
        </w:rPr>
      </w:pPr>
      <w:r>
        <w:rPr>
          <w:rFonts w:ascii="Arial" w:cs="Arial" w:eastAsia="Arial" w:hAnsi="Arial"/>
          <w:sz w:val="17"/>
          <w:szCs w:val="17"/>
          <w:color w:val="auto"/>
        </w:rPr>
        <w:t>Silicon chip supply chain and shipment volume restrictions on our customers and their end customers that will impact the amount of royalties payable to us.</w:t>
      </w:r>
    </w:p>
    <w:p>
      <w:pPr>
        <w:spacing w:after="0" w:line="104"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We may be unable to reduce the cost of our products sufficiently to compete effectively against our competitors. Our cost reduction efforts may not allow us to keep pace with competitive pricing pressures and/or other economic factors including inflation and customer and end market supply chain constraints which could adversely affect our gross margins and ability to meet customer demand. To the extent we are unable to reduce the prices of our products and remain competitive, our revenue will likely decline, resulting in further pressure on our gross margins, which could harm our business. Many other companies in the IP interconnect space have not been able to continue as a going concern due to intense competition and low margins. See “Business—Competition” in our Annual Report on Form 10-K for the year ended December 31, 2023, for additional information.</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a history of net losses, and we may not achieve or maintain profitability in the future.</w:t>
      </w:r>
    </w:p>
    <w:p>
      <w:pPr>
        <w:spacing w:after="0" w:line="183"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We have incurred net losses in certain periods historically. We incurred a net loss of $7.7 million and $8.2 million in the three months ended September 30, 2024 and 2023, respectively, and $25.4 million and $26.3 million in the nine months ended September 30, 2024 and 2023, respectively. As of September 30, 2024, we had an accumulated deficit of $128.7 million. We have spent significant funds on organizational and start-up activities, to recruit engineers and other employees and to support our research and development. The net losses we incur may fluctuate significantly from quarter to quarter and may increase as a result of geopolitical and market fluctuations, inflation, economic slowdown and/or recessionary pressures, COVID-19 or any future pandemic and other global economic factors.</w:t>
      </w:r>
    </w:p>
    <w:p>
      <w:pPr>
        <w:spacing w:after="0" w:line="125"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Our long-term success is dependent upon our ability to successfully market our interconnect IP and SIA solutions, develop new interconnect IP and SIA solutions, earn revenue, obtain additional capital when needed and, ultimately, to maintain profitable operations. We will need to generate significant additional revenue to achieve profitability. It is possible that we will not achieve profitability or that, even if we do achieve profitability, we may not maintain or increase profitability in the future. Our failure to achieve or maintain profitability could negatively impact the value of our common stock.</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7" w:name="page38"/>
    <w:bookmarkEnd w:id="37"/>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i w:val="1"/>
          <w:iCs w:val="1"/>
          <w:color w:val="auto"/>
        </w:rPr>
        <w:t>Because our IP solutions are components of end products, if semiconductor, system producers and/or end product producer companies in the automotive market, enterprise computing market, communications market, consumer electronics market, and industrial market do not incorporate our solutions into their end products or if the end products of our customers do not achieve market acceptance, we may not be able to generate adequate license sales and royalty income from our products.</w:t>
      </w:r>
    </w:p>
    <w:p>
      <w:pPr>
        <w:spacing w:after="0" w:line="106"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Our IP solutions include technology that manages on-chip communications in SoC semiconductor devices. We do not license our IP solutions and deployment tools directly to end-users; we license our technology primarily to companies in the automotive market, enterprise computing market, communications market, consumer electronics market, and industrial market who then incorporate our technology into the products they sell. As a result, we rely on our customers to incorporate our technology into their end products at the design stage. Once a company incorporates a competitor’s technology or develops the technology internally and incorporates it into its end product, it becomes significantly more difficult for us to sell our technology to that company because changing suppliers involves significant cost, time, effort and risk for the company. As a result, we may not achieve targeted customer acceptance despite incurring significant expenditures to develop new technology.</w:t>
      </w:r>
    </w:p>
    <w:p>
      <w:pPr>
        <w:spacing w:after="0" w:line="12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Moreover, even after customers agree to incorporate our technology into their end products, the design cycle is long and may be delayed due to factors beyond our control, which may result in our customers’ product not reaching the market until long after our initial design win, which we define as winning the competitive bid selection process. From initial product design-in to volume production, many factors could impact the timing and/or amount of sales actually realized from the design-in. These factors include, but are not limited to, changes in the competitive position of our customers’ product, our customers’ financial stability, and our customers’ ability to ship products under our customers’ original schedule. Moreover, several external factors affect our customers’ ability and willingness to start their own new product designs and to manufacture and ship their products, including target product market conditions, our customers’ financial stability, our customers’ competitive positioning and external economic conditions (such as, but not, limited to inflation, recessions, customer and end market supply chain constraints, geopolitical conflict, sanctions, and competition) that may prolong the customers’ decision-making process and design cycle.</w:t>
      </w:r>
    </w:p>
    <w:p>
      <w:pPr>
        <w:spacing w:after="0" w:line="12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Further, we do not control the business practices of our customers and we do not influence the degree to which they promote, market or set their product pricing. We therefore cannot assure you that our customers will devote satisfactory efforts to promote their end products, which incorporate our IP technology and deployment solutions.</w:t>
      </w:r>
    </w:p>
    <w:p>
      <w:pPr>
        <w:spacing w:after="0" w:line="120" w:lineRule="exact"/>
        <w:rPr>
          <w:sz w:val="20"/>
          <w:szCs w:val="20"/>
          <w:color w:val="auto"/>
        </w:rPr>
      </w:pPr>
    </w:p>
    <w:p>
      <w:pPr>
        <w:jc w:val="both"/>
        <w:ind w:right="20"/>
        <w:spacing w:after="0" w:line="313" w:lineRule="auto"/>
        <w:rPr>
          <w:sz w:val="20"/>
          <w:szCs w:val="20"/>
          <w:color w:val="auto"/>
        </w:rPr>
      </w:pPr>
      <w:r>
        <w:rPr>
          <w:rFonts w:ascii="Arial" w:cs="Arial" w:eastAsia="Arial" w:hAnsi="Arial"/>
          <w:sz w:val="17"/>
          <w:szCs w:val="17"/>
          <w:b w:val="1"/>
          <w:bCs w:val="1"/>
          <w:i w:val="1"/>
          <w:iCs w:val="1"/>
          <w:color w:val="auto"/>
        </w:rPr>
        <w:t>We depend on growth and economic stability in the end markets that use our products. Any slowdown in the growth and economic stability of these end markets could harm our business.</w:t>
      </w:r>
    </w:p>
    <w:p>
      <w:pPr>
        <w:spacing w:after="0" w:line="7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Our continued success will depend in large part on general economic growth and stability, and growth and stability within our target markets in the automotive market, enterprise computing market, communications market, consumer electronics market, and industrial market. Factors affecting these markets could seriously harm our customers and/or end customers and, as a result, harm us, examples of which include:</w:t>
      </w:r>
    </w:p>
    <w:p>
      <w:pPr>
        <w:spacing w:after="0" w:line="120" w:lineRule="exact"/>
        <w:rPr>
          <w:sz w:val="20"/>
          <w:szCs w:val="20"/>
          <w:color w:val="auto"/>
        </w:rPr>
      </w:pPr>
    </w:p>
    <w:p>
      <w:pPr>
        <w:ind w:left="820" w:hanging="326"/>
        <w:spacing w:after="0"/>
        <w:tabs>
          <w:tab w:leader="none" w:pos="8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Reduced sales of our customers’ and/or end customers’ products.</w:t>
      </w:r>
    </w:p>
    <w:p>
      <w:pPr>
        <w:spacing w:after="0" w:line="169" w:lineRule="exact"/>
        <w:rPr>
          <w:rFonts w:ascii="Arial" w:cs="Arial" w:eastAsia="Arial" w:hAnsi="Arial"/>
          <w:sz w:val="17"/>
          <w:szCs w:val="17"/>
          <w:color w:val="auto"/>
        </w:rPr>
      </w:pPr>
    </w:p>
    <w:p>
      <w:pPr>
        <w:jc w:val="both"/>
        <w:ind w:left="820" w:right="20" w:hanging="326"/>
        <w:spacing w:after="0" w:line="274" w:lineRule="auto"/>
        <w:tabs>
          <w:tab w:leader="none" w:pos="829"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effects of catastrophic and other disruptive events at our customers’ and/or end customers’ offices or facilities including, but not limited to, natural disasters, telecommunications failures, cyber-attacks, terrorist attacks, regional conflicts, pandemics, epidemics or other outbreaks of infectious disease, including the COVID-19 pandemic, breaches of security or loss of critical data.</w:t>
      </w:r>
    </w:p>
    <w:p>
      <w:pPr>
        <w:spacing w:after="0" w:line="113" w:lineRule="exact"/>
        <w:rPr>
          <w:rFonts w:ascii="Arial" w:cs="Arial" w:eastAsia="Arial" w:hAnsi="Arial"/>
          <w:sz w:val="17"/>
          <w:szCs w:val="17"/>
          <w:color w:val="auto"/>
        </w:rPr>
      </w:pPr>
    </w:p>
    <w:p>
      <w:pPr>
        <w:ind w:left="820" w:hanging="326"/>
        <w:spacing w:after="0" w:line="284" w:lineRule="auto"/>
        <w:tabs>
          <w:tab w:leader="none" w:pos="829" w:val="left"/>
        </w:tabs>
        <w:numPr>
          <w:ilvl w:val="0"/>
          <w:numId w:val="18"/>
        </w:numPr>
        <w:rPr>
          <w:rFonts w:ascii="Arial" w:cs="Arial" w:eastAsia="Arial" w:hAnsi="Arial"/>
          <w:sz w:val="17"/>
          <w:szCs w:val="17"/>
          <w:color w:val="auto"/>
        </w:rPr>
      </w:pPr>
      <w:r>
        <w:rPr>
          <w:rFonts w:ascii="Arial" w:cs="Arial" w:eastAsia="Arial" w:hAnsi="Arial"/>
          <w:sz w:val="17"/>
          <w:szCs w:val="17"/>
          <w:color w:val="auto"/>
        </w:rPr>
        <w:t>Increased costs associated with potential disruptions to our customers’ and/or end markets’ supply chain and other manufacturing and production operations.</w:t>
      </w:r>
    </w:p>
    <w:p>
      <w:pPr>
        <w:spacing w:after="0" w:line="104" w:lineRule="exact"/>
        <w:rPr>
          <w:rFonts w:ascii="Arial" w:cs="Arial" w:eastAsia="Arial" w:hAnsi="Arial"/>
          <w:sz w:val="17"/>
          <w:szCs w:val="17"/>
          <w:color w:val="auto"/>
        </w:rPr>
      </w:pPr>
    </w:p>
    <w:p>
      <w:pPr>
        <w:ind w:left="820" w:hanging="326"/>
        <w:spacing w:after="0"/>
        <w:tabs>
          <w:tab w:leader="none" w:pos="8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deterioration of our customers’ and/or end customers’ financial condition.</w:t>
      </w:r>
    </w:p>
    <w:p>
      <w:pPr>
        <w:spacing w:after="0" w:line="182" w:lineRule="exact"/>
        <w:rPr>
          <w:rFonts w:ascii="Arial" w:cs="Arial" w:eastAsia="Arial" w:hAnsi="Arial"/>
          <w:sz w:val="17"/>
          <w:szCs w:val="17"/>
          <w:color w:val="auto"/>
        </w:rPr>
      </w:pPr>
    </w:p>
    <w:p>
      <w:pPr>
        <w:ind w:left="820" w:hanging="326"/>
        <w:spacing w:after="0"/>
        <w:tabs>
          <w:tab w:leader="none" w:pos="8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Delays and project cancellations as a result of design flaws in the products developed by our customers and/or end customers.</w:t>
      </w:r>
    </w:p>
    <w:p>
      <w:pPr>
        <w:spacing w:after="0" w:line="169" w:lineRule="exact"/>
        <w:rPr>
          <w:rFonts w:ascii="Arial" w:cs="Arial" w:eastAsia="Arial" w:hAnsi="Arial"/>
          <w:sz w:val="17"/>
          <w:szCs w:val="17"/>
          <w:color w:val="auto"/>
        </w:rPr>
      </w:pPr>
    </w:p>
    <w:p>
      <w:pPr>
        <w:ind w:left="820" w:hanging="326"/>
        <w:spacing w:after="0" w:line="284" w:lineRule="auto"/>
        <w:tabs>
          <w:tab w:leader="none" w:pos="815"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inability of our customers and/or end customers to expand or dedicate the resources necessary to promote and commercialize their products.</w:t>
      </w:r>
    </w:p>
    <w:p>
      <w:pPr>
        <w:spacing w:after="0" w:line="104" w:lineRule="exact"/>
        <w:rPr>
          <w:rFonts w:ascii="Arial" w:cs="Arial" w:eastAsia="Arial" w:hAnsi="Arial"/>
          <w:sz w:val="17"/>
          <w:szCs w:val="17"/>
          <w:color w:val="auto"/>
        </w:rPr>
      </w:pPr>
    </w:p>
    <w:p>
      <w:pPr>
        <w:ind w:left="820" w:hanging="326"/>
        <w:spacing w:after="0" w:line="284" w:lineRule="auto"/>
        <w:tabs>
          <w:tab w:leader="none" w:pos="829"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inability of our customers and/or end customers to adapt to changing technological demands resulting in their products becoming obsolete.</w:t>
      </w:r>
    </w:p>
    <w:p>
      <w:pPr>
        <w:spacing w:after="0" w:line="117" w:lineRule="exact"/>
        <w:rPr>
          <w:rFonts w:ascii="Arial" w:cs="Arial" w:eastAsia="Arial" w:hAnsi="Arial"/>
          <w:sz w:val="17"/>
          <w:szCs w:val="17"/>
          <w:color w:val="auto"/>
        </w:rPr>
      </w:pPr>
    </w:p>
    <w:p>
      <w:pPr>
        <w:ind w:left="820" w:hanging="326"/>
        <w:spacing w:after="0"/>
        <w:tabs>
          <w:tab w:leader="none" w:pos="8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failure of our customers’ and/or end customers’ products to achieve market success and gain broad market acceptance.</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8" w:name="page39"/>
    <w:bookmarkEnd w:id="38"/>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820" w:hanging="326"/>
        <w:spacing w:after="0"/>
        <w:tabs>
          <w:tab w:leader="none" w:pos="8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Disruption and uncertainty caused by new developments in export and related regulations.</w:t>
      </w:r>
    </w:p>
    <w:p>
      <w:pPr>
        <w:spacing w:after="0" w:line="169" w:lineRule="exact"/>
        <w:rPr>
          <w:rFonts w:ascii="Arial" w:cs="Arial" w:eastAsia="Arial" w:hAnsi="Arial"/>
          <w:sz w:val="17"/>
          <w:szCs w:val="17"/>
          <w:color w:val="auto"/>
        </w:rPr>
      </w:pPr>
    </w:p>
    <w:p>
      <w:pPr>
        <w:ind w:left="820" w:hanging="326"/>
        <w:spacing w:after="0" w:line="284" w:lineRule="auto"/>
        <w:tabs>
          <w:tab w:leader="none" w:pos="842" w:val="left"/>
        </w:tabs>
        <w:numPr>
          <w:ilvl w:val="0"/>
          <w:numId w:val="19"/>
        </w:numPr>
        <w:rPr>
          <w:rFonts w:ascii="Arial" w:cs="Arial" w:eastAsia="Arial" w:hAnsi="Arial"/>
          <w:sz w:val="17"/>
          <w:szCs w:val="17"/>
          <w:color w:val="auto"/>
        </w:rPr>
      </w:pPr>
      <w:r>
        <w:rPr>
          <w:rFonts w:ascii="Arial" w:cs="Arial" w:eastAsia="Arial" w:hAnsi="Arial"/>
          <w:sz w:val="17"/>
          <w:szCs w:val="17"/>
          <w:color w:val="auto"/>
        </w:rPr>
        <w:t>Regional and global effect of inflation or other adverse economic conditions, such as rising interest rates, recessions or economic slowdowns, resulting in delays or cancellations of new product design starts.</w:t>
      </w:r>
    </w:p>
    <w:p>
      <w:pPr>
        <w:spacing w:after="0" w:line="117" w:lineRule="exact"/>
        <w:rPr>
          <w:rFonts w:ascii="Arial" w:cs="Arial" w:eastAsia="Arial" w:hAnsi="Arial"/>
          <w:sz w:val="17"/>
          <w:szCs w:val="17"/>
          <w:color w:val="auto"/>
        </w:rPr>
      </w:pPr>
    </w:p>
    <w:p>
      <w:pPr>
        <w:jc w:val="both"/>
        <w:ind w:left="820" w:hanging="326"/>
        <w:spacing w:after="0" w:line="260" w:lineRule="auto"/>
        <w:tabs>
          <w:tab w:leader="none" w:pos="829" w:val="left"/>
        </w:tabs>
        <w:numPr>
          <w:ilvl w:val="0"/>
          <w:numId w:val="19"/>
        </w:numPr>
        <w:rPr>
          <w:rFonts w:ascii="Arial" w:cs="Arial" w:eastAsia="Arial" w:hAnsi="Arial"/>
          <w:sz w:val="17"/>
          <w:szCs w:val="17"/>
          <w:color w:val="auto"/>
        </w:rPr>
      </w:pPr>
      <w:r>
        <w:rPr>
          <w:rFonts w:ascii="Arial" w:cs="Arial" w:eastAsia="Arial" w:hAnsi="Arial"/>
          <w:sz w:val="17"/>
          <w:szCs w:val="17"/>
          <w:color w:val="auto"/>
        </w:rPr>
        <w:t>Uncertainties around economic policies as well as regulatory regimes and enforcement actions, especially during election cycles, can affect investment decisions and market performance. For example, the outcome of elections, including the 2024 U.S. elections may affect the manner in which the final regulations implementing the Executive Order 14105 (the Final Rule) issued by the U.S. Department of Treasury on October 28, 2024, is interpreted and enforced by the U.S. government.</w:t>
      </w:r>
    </w:p>
    <w:p>
      <w:pPr>
        <w:spacing w:after="0" w:line="124" w:lineRule="exact"/>
        <w:rPr>
          <w:rFonts w:ascii="Arial" w:cs="Arial" w:eastAsia="Arial" w:hAnsi="Arial"/>
          <w:sz w:val="17"/>
          <w:szCs w:val="17"/>
          <w:color w:val="auto"/>
        </w:rPr>
      </w:pPr>
    </w:p>
    <w:p>
      <w:pPr>
        <w:ind w:left="820" w:hanging="326"/>
        <w:spacing w:after="0"/>
        <w:tabs>
          <w:tab w:leader="none" w:pos="8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Adverse impact of multiple interest rate increases implemented and forecasted by the U.S. Federal Reserve.</w:t>
      </w:r>
    </w:p>
    <w:p>
      <w:pPr>
        <w:spacing w:after="0" w:line="183"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Any slowdown in the growth of these end markets, or the emergence of economic instability in these end markets, could harm our business. For example, a significant element of our growth strategy depends on the increasing adoption of vehicles with more sophisticated automated driving, which will likely require more complex SoCs. If anticipated demand in the end market for these vehicles does not materialize, whether due to consumer demand not materializing, regulatory interventions delaying the deployment of automated driving, or the emergence of economic instability in end markets arising from factors such as inflationary trends, deteriorating purchasing power, trade or supply chain disruptions and regional and/or worldwide chip shortages or excess supply, demand fluctuations, unemployment spikes, labor shortages or end market reactions to regional or global geopolitical uncertainties or conflicts, or other factors beyond our control, it would adversely affect demand for our products from customers and royalty revenue and impact our ability to execute our growth strategy.</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depend on market acceptance of third-party semiconductor IP.</w:t>
      </w:r>
    </w:p>
    <w:p>
      <w:pPr>
        <w:spacing w:after="0" w:line="169"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semiconductor IP industry is a relatively small and emerging industry. Our future growth will depend on the level of market acceptance of our third-party licensable IP model, the variety of IP offerings available on the market and the shift in customer preference away from in-house development of semiconductor IP technologies and SIA. Furthermore, the third-party licensable IP model is highly dependent on the market adoption of new services and products, including in the automotive market, enterprise computing market, communications market, consumer electronics market, and industrial market. Such market adoption is important because the increased cost associated with ownership and maintenance of the more complex architectures in SoCs needed for the advanced services and products and time to market pressures on our customers may motivate companies to license third-party IP rather than design them in-house.</w:t>
      </w:r>
    </w:p>
    <w:p>
      <w:pPr>
        <w:spacing w:after="0" w:line="14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trends that would enable our growth are largely beyond our control. Semiconductor customers also may choose to adopt a multi -chip, off-the-shelf chip solution versus licensing or using highly-integrated chipsets that embed our technologies or use our deployment software. If these market shifts do not materialize or third-party semiconductor IP does not achieve market acceptance, our business could be harmed.</w:t>
      </w:r>
    </w:p>
    <w:p>
      <w:pPr>
        <w:spacing w:after="0" w:line="120"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The success of our business depends on sustaining or growing our licensing revenue, and the failure to achieve such revenue would lead to a material decline in our results of operations.</w:t>
      </w:r>
    </w:p>
    <w:p>
      <w:pPr>
        <w:spacing w:after="0" w:line="85"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Our revenue consists largely of technology license fees and other fees and royalties paid for access to our patented technologies, existing technology and other development and support services we provide to our customers. Our ability to secure and renew the licenses from which our revenue is derived depends on our customers adopting our technology and using it in the products they sell. Once secured, royalty revenue may be negatively affected by factors within and outside our control, including reductions in our customers’ sales prices, sales volumes, our failure to timely complete engineering deliverables and the customers’ negotiated contract terms.</w:t>
      </w:r>
    </w:p>
    <w:p>
      <w:pPr>
        <w:spacing w:after="0" w:line="125"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In addition, our customer acquisition cycle for new licenses and license renewals for existing licensees can be lengthy, typically between two to nine months, and can also be costly and unpredictable. Given the length of the sales cycle, we may incur costs in any particular financial period before any associated revenue stream begins, if at all. We cannot provide any assurance that we will be successful in signing new license agreements or renewing existing license agreements on equal or favorable terms or at all. If we do not achieve our revenue goals, our results of operations could decline.</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39" w:name="page40"/>
    <w:bookmarkEnd w:id="39"/>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The nature of the design win process requires us to incur significant expenses without any guarantee that research and development and sales efforts will generate revenue, which could adversely affect our financial results.</w:t>
      </w:r>
    </w:p>
    <w:p>
      <w:pPr>
        <w:spacing w:after="0" w:line="85"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We focus on winning competitive bid selection processes, called “design wins,” to incorporate our IP interconnect and other solutions in our customers’ products. These lengthy technical and commercial selection processes may require us to incur significant expenditures and dedicate valued engineering resources to the development or enhancement of our IP interconnect and other solutions without any assurance that our bids will be selected as the design wins. If we incur such expenditures and fail to be selected in the bid selection process, our operating and financial results may be adversely affected. Further, because of the significant costs associated with qualifying new suppliers, customers are likely to use the same or an enhanced version of semiconductor IP from existing suppliers across a number of similar and successor products for a lengthy period of time. As a result, if we fail to secure an initial design win for any of IP interconnect and other solutions to any particular customer, we may lose the opportunity to make future sales of those solutions to that customer for a significant period of time, or at all, and we may experience an associated decline in revenue relating to those products. Because we expect the ASPs of our products may decline over time, we consider design wins to be critical to our future success and anticipate that for our newer products, we are and will remain highly dependent on revenue from newer design wins. Failure to achieve initial design wins may also weaken our position in future competitive selection processes because we may not be perceived as an industry leader.</w:t>
      </w:r>
    </w:p>
    <w:p>
      <w:pPr>
        <w:spacing w:after="0" w:line="150"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Further, a significant portion of our revenue in any period may depend on a single product design win with a large customer. As a result, the loss of any key design win or any significant delay in the ramp of volume production of the customer’s products into which our product is designed could harm our business. We may not be able to maintain sales to our key customers or continue to secure key design wins for a variety of reasons, and our customers can stop incorporating our products into their product offerings with limited notice to us and suffer little or no penalty.</w:t>
      </w:r>
    </w:p>
    <w:p>
      <w:pPr>
        <w:spacing w:after="0" w:line="125" w:lineRule="exact"/>
        <w:rPr>
          <w:sz w:val="20"/>
          <w:szCs w:val="20"/>
          <w:color w:val="auto"/>
        </w:rPr>
      </w:pPr>
    </w:p>
    <w:p>
      <w:pPr>
        <w:jc w:val="both"/>
        <w:ind w:right="20"/>
        <w:spacing w:after="0" w:line="301" w:lineRule="auto"/>
        <w:rPr>
          <w:sz w:val="20"/>
          <w:szCs w:val="20"/>
          <w:color w:val="auto"/>
        </w:rPr>
      </w:pPr>
      <w:r>
        <w:rPr>
          <w:rFonts w:ascii="Arial" w:cs="Arial" w:eastAsia="Arial" w:hAnsi="Arial"/>
          <w:sz w:val="17"/>
          <w:szCs w:val="17"/>
          <w:color w:val="auto"/>
        </w:rPr>
        <w:t>The loss of a key customer or design win, a reduction in sales to any key customer, a significant delay or negative development in our customers’ product development plans, or our inability to attract new significant customers or secure new key design wins could harm our business.</w:t>
      </w:r>
    </w:p>
    <w:p>
      <w:pPr>
        <w:spacing w:after="0" w:line="90"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Even if we succeed in securing design wins for our IP interconnect and other solutions and our SIA solutions, we may not generate timely or sufficient margins or margins from those wins and our financial results could suffer.</w:t>
      </w:r>
    </w:p>
    <w:p>
      <w:pPr>
        <w:spacing w:after="0" w:line="85"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After incurring significant design and development expenditures and dedicating engineering resources to achieve a single initial design win for an IP interconnect or other solution, a substantial period of time generally elapses before we generate meaningful revenue from royalties relating to such solution, if at all. The reasons for this delay include, among other things, the following:</w:t>
      </w:r>
    </w:p>
    <w:p>
      <w:pPr>
        <w:spacing w:after="0" w:line="114" w:lineRule="exact"/>
        <w:rPr>
          <w:sz w:val="20"/>
          <w:szCs w:val="20"/>
          <w:color w:val="auto"/>
        </w:rPr>
      </w:pPr>
    </w:p>
    <w:p>
      <w:pPr>
        <w:ind w:left="820" w:hanging="326"/>
        <w:spacing w:after="0"/>
        <w:tabs>
          <w:tab w:leader="none" w:pos="8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Changing customer requirements, resulting in an extended development cycle for the product.</w:t>
      </w:r>
    </w:p>
    <w:p>
      <w:pPr>
        <w:spacing w:after="0" w:line="169" w:lineRule="exact"/>
        <w:rPr>
          <w:rFonts w:ascii="Arial" w:cs="Arial" w:eastAsia="Arial" w:hAnsi="Arial"/>
          <w:sz w:val="17"/>
          <w:szCs w:val="17"/>
          <w:color w:val="auto"/>
        </w:rPr>
      </w:pPr>
    </w:p>
    <w:p>
      <w:pPr>
        <w:ind w:left="820" w:hanging="326"/>
        <w:spacing w:after="0"/>
        <w:tabs>
          <w:tab w:leader="none" w:pos="8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Delay in the ramp-up of volume production of the customer’s products into which our solutions are designed.</w:t>
      </w:r>
    </w:p>
    <w:p>
      <w:pPr>
        <w:spacing w:after="0" w:line="169" w:lineRule="exact"/>
        <w:rPr>
          <w:rFonts w:ascii="Arial" w:cs="Arial" w:eastAsia="Arial" w:hAnsi="Arial"/>
          <w:sz w:val="17"/>
          <w:szCs w:val="17"/>
          <w:color w:val="auto"/>
        </w:rPr>
      </w:pPr>
    </w:p>
    <w:p>
      <w:pPr>
        <w:ind w:left="820" w:hanging="326"/>
        <w:spacing w:after="0"/>
        <w:tabs>
          <w:tab w:leader="none" w:pos="8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Delay or cancellation of the customer’s product development plans.</w:t>
      </w:r>
    </w:p>
    <w:p>
      <w:pPr>
        <w:spacing w:after="0" w:line="169" w:lineRule="exact"/>
        <w:rPr>
          <w:rFonts w:ascii="Arial" w:cs="Arial" w:eastAsia="Arial" w:hAnsi="Arial"/>
          <w:sz w:val="17"/>
          <w:szCs w:val="17"/>
          <w:color w:val="auto"/>
        </w:rPr>
      </w:pPr>
    </w:p>
    <w:p>
      <w:pPr>
        <w:ind w:left="820" w:hanging="326"/>
        <w:spacing w:after="0"/>
        <w:tabs>
          <w:tab w:leader="none" w:pos="8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Market or competitive pressures to reduce the selling price of the customer’s end-product.</w:t>
      </w:r>
    </w:p>
    <w:p>
      <w:pPr>
        <w:spacing w:after="0" w:line="169" w:lineRule="exact"/>
        <w:rPr>
          <w:rFonts w:ascii="Arial" w:cs="Arial" w:eastAsia="Arial" w:hAnsi="Arial"/>
          <w:sz w:val="17"/>
          <w:szCs w:val="17"/>
          <w:color w:val="auto"/>
        </w:rPr>
      </w:pPr>
    </w:p>
    <w:p>
      <w:pPr>
        <w:ind w:left="820" w:hanging="326"/>
        <w:spacing w:after="0" w:line="301" w:lineRule="auto"/>
        <w:tabs>
          <w:tab w:leader="none" w:pos="815"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discovery of design flaws, defects, errors or bugs in the products, whether or not those defects, errors or bugs are related to our IP interconnect and other solutions that delay the customer from finishing the product in which our IP solution is incorporated.</w:t>
      </w:r>
    </w:p>
    <w:p>
      <w:pPr>
        <w:spacing w:after="0" w:line="90" w:lineRule="exact"/>
        <w:rPr>
          <w:rFonts w:ascii="Arial" w:cs="Arial" w:eastAsia="Arial" w:hAnsi="Arial"/>
          <w:sz w:val="17"/>
          <w:szCs w:val="17"/>
          <w:color w:val="auto"/>
        </w:rPr>
      </w:pPr>
    </w:p>
    <w:p>
      <w:pPr>
        <w:ind w:left="820" w:hanging="326"/>
        <w:spacing w:after="0"/>
        <w:tabs>
          <w:tab w:leader="none" w:pos="8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Lower than expected acceptance of the customers’ end-products.</w:t>
      </w:r>
    </w:p>
    <w:p>
      <w:pPr>
        <w:spacing w:after="0" w:line="16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Moreover, as noted above, even if a customer selects our IP interconnect and other solutions, we cannot guarantee that this will result in any royalty or future licensing revenue, as the customer may ultimately change or cancel its product plans, or the customer’s efforts to market and sell its product may not be successful.</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40" w:name="page41"/>
    <w:bookmarkEnd w:id="40"/>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We continually pursue new IP interconnect, SoC integration automation, and other technology initiatives, and if we fail to successfully carry out these initiatives, our business could be harmed.</w:t>
      </w:r>
    </w:p>
    <w:p>
      <w:pPr>
        <w:spacing w:after="0" w:line="85"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As part of the evolution of our business, we have made substantial investments to develop IP interconnect, SoC integration automation solutions, other technology initiatives, and enhancements to existing technologies we license through our acquisitions and research and development efforts. Continuing to meet the requirements of smaller die size, lower power consumption, a higher frequency of operation and management of critical net latency in a timely and cost-effective manner for chips used in the automotive market, enterprise computing market, communications market, consumer electronics market, and industrial market have resulted in increased SoC design complexity for chips used in these markets. If we are unable to meet these demands for increased SoC design complexity, if we are unable to anticipate technological changes in our industry by introducing new or enhanced IP interconnect and other solutions and/or SIA solutions in a timely and cost-effective manner, or if we fail to introduce new technologies that meet market demand, we may lose our competitive position, our products may become obsolete, and our business could be harmed.</w:t>
      </w:r>
    </w:p>
    <w:p>
      <w:pPr>
        <w:spacing w:after="0" w:line="128"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Moreover, new technologies and products may not be profitable, and even if they are profitable, operating margins for new products and businesses may not be as high as the margins we have experienced historically or originally anticipated.</w:t>
      </w:r>
    </w:p>
    <w:p>
      <w:pPr>
        <w:spacing w:after="0" w:line="104"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Additionally, from time to time, we invest in expansion into adjacent markets, including the acquisition of Magillem and Semifore, and our growth into the IP interconnect and SIA solutions market. Although we believe these solutions are complementary to our IP interconnect solutions, we have a more limited operating history in offering software that, among other things, manages register configurations of IP blocks, assembles multiple IP blocks into SoC platforms and links design parameters and metadata to documentation, and our ongoing efforts in this area may not be successful. Our success in these product areas depend on a variety of factors, including the following:</w:t>
      </w:r>
    </w:p>
    <w:p>
      <w:pPr>
        <w:spacing w:after="0" w:line="125" w:lineRule="exact"/>
        <w:rPr>
          <w:sz w:val="20"/>
          <w:szCs w:val="20"/>
          <w:color w:val="auto"/>
        </w:rPr>
      </w:pPr>
    </w:p>
    <w:p>
      <w:pPr>
        <w:ind w:left="820" w:hanging="326"/>
        <w:spacing w:after="0"/>
        <w:tabs>
          <w:tab w:leader="none" w:pos="8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ability to continue to attract new customers in industries in which we have less experience.</w:t>
      </w:r>
    </w:p>
    <w:p>
      <w:pPr>
        <w:spacing w:after="0" w:line="182" w:lineRule="exact"/>
        <w:rPr>
          <w:rFonts w:ascii="Arial" w:cs="Arial" w:eastAsia="Arial" w:hAnsi="Arial"/>
          <w:sz w:val="17"/>
          <w:szCs w:val="17"/>
          <w:color w:val="auto"/>
        </w:rPr>
      </w:pPr>
    </w:p>
    <w:p>
      <w:pPr>
        <w:ind w:left="820" w:hanging="326"/>
        <w:spacing w:after="0"/>
        <w:tabs>
          <w:tab w:leader="none" w:pos="8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successful development of sales and marketing strategies that meet customer requirements.</w:t>
      </w:r>
    </w:p>
    <w:p>
      <w:pPr>
        <w:spacing w:after="0" w:line="169" w:lineRule="exact"/>
        <w:rPr>
          <w:rFonts w:ascii="Arial" w:cs="Arial" w:eastAsia="Arial" w:hAnsi="Arial"/>
          <w:sz w:val="17"/>
          <w:szCs w:val="17"/>
          <w:color w:val="auto"/>
        </w:rPr>
      </w:pPr>
    </w:p>
    <w:p>
      <w:pPr>
        <w:ind w:left="820" w:hanging="326"/>
        <w:spacing w:after="0"/>
        <w:tabs>
          <w:tab w:leader="none" w:pos="8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ability to accurately predict, prepare for, and promptly respond to technological developments in existing and new fields.</w:t>
      </w:r>
    </w:p>
    <w:p>
      <w:pPr>
        <w:spacing w:after="0" w:line="169" w:lineRule="exact"/>
        <w:rPr>
          <w:rFonts w:ascii="Arial" w:cs="Arial" w:eastAsia="Arial" w:hAnsi="Arial"/>
          <w:sz w:val="17"/>
          <w:szCs w:val="17"/>
          <w:color w:val="auto"/>
        </w:rPr>
      </w:pPr>
    </w:p>
    <w:p>
      <w:pPr>
        <w:jc w:val="both"/>
        <w:ind w:left="820" w:hanging="326"/>
        <w:spacing w:after="0" w:line="266" w:lineRule="auto"/>
        <w:tabs>
          <w:tab w:leader="none" w:pos="815"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ability to compete with new and existing competitors, many of which may have more financial resources, industry experience, brand recognition, relevant intellectual property rights, and/or more established customer relationships than we currently do, and they could include free and open-source solutions that provide similar SIA solutions.</w:t>
      </w:r>
    </w:p>
    <w:p>
      <w:pPr>
        <w:spacing w:after="0" w:line="133" w:lineRule="exact"/>
        <w:rPr>
          <w:rFonts w:ascii="Arial" w:cs="Arial" w:eastAsia="Arial" w:hAnsi="Arial"/>
          <w:sz w:val="17"/>
          <w:szCs w:val="17"/>
          <w:color w:val="auto"/>
        </w:rPr>
      </w:pPr>
    </w:p>
    <w:p>
      <w:pPr>
        <w:ind w:left="820" w:hanging="326"/>
        <w:spacing w:after="0"/>
        <w:tabs>
          <w:tab w:leader="none" w:pos="8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ability to continually balance our investment in adjacent markets with investment in our existing products and services.</w:t>
      </w:r>
    </w:p>
    <w:p>
      <w:pPr>
        <w:spacing w:after="0" w:line="169" w:lineRule="exact"/>
        <w:rPr>
          <w:rFonts w:ascii="Arial" w:cs="Arial" w:eastAsia="Arial" w:hAnsi="Arial"/>
          <w:sz w:val="17"/>
          <w:szCs w:val="17"/>
          <w:color w:val="auto"/>
        </w:rPr>
      </w:pPr>
    </w:p>
    <w:p>
      <w:pPr>
        <w:ind w:left="820" w:hanging="326"/>
        <w:spacing w:after="0"/>
        <w:tabs>
          <w:tab w:leader="none" w:pos="8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ability to attract and retain employees with expertise in new or emerging fields affecting our business.</w:t>
      </w:r>
    </w:p>
    <w:p>
      <w:pPr>
        <w:spacing w:after="0" w:line="16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Difficulties in any of our new product development efforts or our efforts to enter adjacent markets, including delays or disruptions due to factors outside of our control such as any adverse impact resulting from changing macroeconomic and geopolitical environments, market and inflationary pressures, export and trade controls, and COVID-19 or other pandemics, could harm our business.</w:t>
      </w:r>
    </w:p>
    <w:p>
      <w:pPr>
        <w:spacing w:after="0" w:line="120"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A fundamental shift in technologies, the regulatory climate or demand patterns and preferences in our existing product markets or the product markets of our customers or end-users could make our current products obsolete, prevent or delay the introduction of new products or enhancements to our existing products or render our products irrelevant to our customers’ needs. If our new product development efforts fail to align with the needs of our customers, including due to circumstances outside of our control like a fundamental shift in the product markets of our customers and end users or regulatory changes, our business could be harmed.</w:t>
      </w:r>
    </w:p>
    <w:p>
      <w:pPr>
        <w:spacing w:after="0" w:line="125"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Further, we design our IP interconnect solutions to function optimally with various industry-standard core IP transaction protocols including AMBA, ACE, CHI and AXI. Should developers limit access to their IP protocol information or cease cooperation with us for any reason, our ability to support certain processors and IP protocols would be delayed, which could harm our business.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41" w:name="page42"/>
    <w:bookmarkEnd w:id="41"/>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We may have to invest more resources in research and development than anticipated, which could increase our operating expenses and negatively affect our operating results.</w:t>
      </w:r>
    </w:p>
    <w:p>
      <w:pPr>
        <w:spacing w:after="0" w:line="85"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We currently devote substantial resources to the research and development of new and enhanced interconnect IP and SIA solutions. However, we may be required to devote more resources than anticipated to address design requirements for specific target markets, new competitors, technological advances in the semiconductor industry or by competitors, our acquisitions, our entry into new markets, or other competitive factors. If we are required to invest significantly greater resources than anticipated without a corresponding increase in revenue, our operating results could decline. Additionally, our periodic research and development expenses may be independent of our level of revenue, which could negatively impact our financial results. We expect these expenses to be significant and increase in the foreseeable future as our technology development efforts continue, and there can be no guarantee that our research and development investments will result in products that create additional revenue.</w:t>
      </w:r>
    </w:p>
    <w:p>
      <w:pPr>
        <w:spacing w:after="0" w:line="124" w:lineRule="exact"/>
        <w:rPr>
          <w:sz w:val="20"/>
          <w:szCs w:val="20"/>
          <w:color w:val="auto"/>
        </w:rPr>
      </w:pPr>
    </w:p>
    <w:p>
      <w:pPr>
        <w:jc w:val="both"/>
        <w:ind w:right="20"/>
        <w:spacing w:after="0" w:line="284" w:lineRule="auto"/>
        <w:rPr>
          <w:sz w:val="20"/>
          <w:szCs w:val="20"/>
          <w:color w:val="auto"/>
        </w:rPr>
      </w:pPr>
      <w:r>
        <w:rPr>
          <w:rFonts w:ascii="Arial" w:cs="Arial" w:eastAsia="Arial" w:hAnsi="Arial"/>
          <w:sz w:val="17"/>
          <w:szCs w:val="17"/>
          <w:color w:val="auto"/>
        </w:rPr>
        <w:t>We may also decide to increase our research and development investment to seize customer or market opportunities, which could negatively impact our financial results.</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color w:val="auto"/>
        </w:rPr>
        <w:t>We expect that we will continue to experience hiring challenges, including for engineering resources.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Product errors or defects could expose us to liability and harm our reputation and we could lose market share.</w:t>
      </w:r>
    </w:p>
    <w:p>
      <w:pPr>
        <w:spacing w:after="0" w:line="169"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Software products frequently contain errors or defects, especially when first introduced, when new versions are released, or when integrated with technologies developed by acquired companies. Product errors, including those resulting from third-party suppliers, could negatively affect the performance or interoperability of our IP interconnect and SIA solutions, could delay the development or release of new solutions or new versions and could adversely affect market acceptance or perception of our technology. In addition, any allegations of manufacturability issues resulting from use of our IP interconnect and other solutions or semiconductor design efficiency issues resulting from our SIA solutions could, even if untrue, adversely affect our reputation and our customers’ willingness to license our technology. Any such errors or delays in releasing new products or new versions of products or allegations of unsatisfactory performance could cause us to lose customers, increase our service costs, subject us to liability for damages and divert our resources from other tasks, any one of which could harm our business and operating results.</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fail to offer high-quality support, our reputation could suffer.</w:t>
      </w:r>
    </w:p>
    <w:p>
      <w:pPr>
        <w:spacing w:after="0" w:line="169"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Interconnect IP and SIA technology is complex, and our customer support is critical for the successful deployment of our IP in our customers’ designs, and we maintain a team of corporate and field application engineers in our global support organization. High-quality support is important for customer retention, and the importance of our support function will increase as we expand our business and pursue new customers. If we do not help our customers quickly resolve issues and provide effective ongoing support, our ability to maintain and expand our offerings to existing and new customers could suffer, and our reputation with existing or potential customers could suffer.</w:t>
      </w:r>
    </w:p>
    <w:p>
      <w:pPr>
        <w:spacing w:after="0" w:line="125"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Our dependence on international customers and operations also subjects us to a range of other additional regulatory, operational, financial, and political risks that could adversely affect our financial results.</w:t>
      </w:r>
    </w:p>
    <w:p>
      <w:pPr>
        <w:spacing w:after="0" w:line="85"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We derived 65.4% of our revenue for 2023, from sales to customers outside of the United States. In particular, we derived 31.1% of our revenue in 2023 from customers located in China. For the nine months ended September 30, 2024, 63.4% of our revenue was derived from sales to customers outside of the United States and 30.0% of our revenue was derived from customers located in China. We expect our revenue from China to decrease due to the applicable U.S. government trade restrictions. As a result, the economic, political, legal and social conditions in China could harm our business. In addition, we have offices globally with our sales and research and development being conducted in offices located in the San Francisco Bay Area, Texas, France, China, South Korea, and Japan. Moreover, conducting business outside the United States subjects us to a number of additional risks and challenges, including:</w:t>
      </w:r>
    </w:p>
    <w:p>
      <w:pPr>
        <w:spacing w:after="0" w:line="124" w:lineRule="exact"/>
        <w:rPr>
          <w:sz w:val="20"/>
          <w:szCs w:val="20"/>
          <w:color w:val="auto"/>
        </w:rPr>
      </w:pPr>
    </w:p>
    <w:p>
      <w:pPr>
        <w:ind w:left="820" w:hanging="326"/>
        <w:spacing w:after="0"/>
        <w:tabs>
          <w:tab w:leader="none" w:pos="8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Changes in a specific country’s or region’s political, regulatory or economic conditions.</w:t>
      </w:r>
    </w:p>
    <w:p>
      <w:pPr>
        <w:spacing w:after="0" w:line="169" w:lineRule="exact"/>
        <w:rPr>
          <w:rFonts w:ascii="Arial" w:cs="Arial" w:eastAsia="Arial" w:hAnsi="Arial"/>
          <w:sz w:val="17"/>
          <w:szCs w:val="17"/>
          <w:color w:val="auto"/>
        </w:rPr>
      </w:pPr>
    </w:p>
    <w:p>
      <w:pPr>
        <w:ind w:left="820" w:hanging="326"/>
        <w:spacing w:after="0" w:line="284" w:lineRule="auto"/>
        <w:tabs>
          <w:tab w:leader="none" w:pos="815" w:val="left"/>
        </w:tabs>
        <w:numPr>
          <w:ilvl w:val="0"/>
          <w:numId w:val="22"/>
        </w:numPr>
        <w:rPr>
          <w:rFonts w:ascii="Arial" w:cs="Arial" w:eastAsia="Arial" w:hAnsi="Arial"/>
          <w:sz w:val="17"/>
          <w:szCs w:val="17"/>
          <w:color w:val="auto"/>
        </w:rPr>
      </w:pPr>
      <w:r>
        <w:rPr>
          <w:rFonts w:ascii="Arial" w:cs="Arial" w:eastAsia="Arial" w:hAnsi="Arial"/>
          <w:sz w:val="17"/>
          <w:szCs w:val="17"/>
          <w:color w:val="auto"/>
        </w:rPr>
        <w:t>Imposition of significant new export control regulations targeting the Chinese semiconductor industry and technical support of the Chinese semiconductor industry, tariffs and other barriers, restrictions and regional stability measures, including as between U.S.-China.</w:t>
      </w:r>
    </w:p>
    <w:p>
      <w:pPr>
        <w:spacing w:after="0" w:line="104" w:lineRule="exact"/>
        <w:rPr>
          <w:rFonts w:ascii="Arial" w:cs="Arial" w:eastAsia="Arial" w:hAnsi="Arial"/>
          <w:sz w:val="17"/>
          <w:szCs w:val="17"/>
          <w:color w:val="auto"/>
        </w:rPr>
      </w:pPr>
    </w:p>
    <w:p>
      <w:pPr>
        <w:jc w:val="both"/>
        <w:ind w:left="820" w:hanging="326"/>
        <w:spacing w:after="0" w:line="274" w:lineRule="auto"/>
        <w:tabs>
          <w:tab w:leader="none" w:pos="829" w:val="left"/>
        </w:tabs>
        <w:numPr>
          <w:ilvl w:val="0"/>
          <w:numId w:val="22"/>
        </w:numPr>
        <w:rPr>
          <w:rFonts w:ascii="Arial" w:cs="Arial" w:eastAsia="Arial" w:hAnsi="Arial"/>
          <w:sz w:val="17"/>
          <w:szCs w:val="17"/>
          <w:color w:val="auto"/>
        </w:rPr>
      </w:pPr>
      <w:r>
        <w:rPr>
          <w:rFonts w:ascii="Arial" w:cs="Arial" w:eastAsia="Arial" w:hAnsi="Arial"/>
          <w:sz w:val="17"/>
          <w:szCs w:val="17"/>
          <w:color w:val="auto"/>
        </w:rPr>
        <w:t>A pandemic, epidemic or other outbreak of an infectious disease, including the COVID-19 pandemic and future pandemics, which may cause us or our distributors, vendors and/or customers to temporarily suspend our or their respective operations in the affected city or country or completely.</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42" w:name="page43"/>
    <w:bookmarkEnd w:id="42"/>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both"/>
        <w:ind w:left="820" w:hanging="326"/>
        <w:spacing w:after="0" w:line="266" w:lineRule="auto"/>
        <w:tabs>
          <w:tab w:leader="none" w:pos="829" w:val="left"/>
        </w:tabs>
        <w:numPr>
          <w:ilvl w:val="0"/>
          <w:numId w:val="23"/>
        </w:numPr>
        <w:rPr>
          <w:rFonts w:ascii="Arial" w:cs="Arial" w:eastAsia="Arial" w:hAnsi="Arial"/>
          <w:sz w:val="17"/>
          <w:szCs w:val="17"/>
          <w:color w:val="auto"/>
        </w:rPr>
      </w:pPr>
      <w:r>
        <w:rPr>
          <w:rFonts w:ascii="Arial" w:cs="Arial" w:eastAsia="Arial" w:hAnsi="Arial"/>
          <w:sz w:val="17"/>
          <w:szCs w:val="17"/>
          <w:color w:val="auto"/>
        </w:rPr>
        <w:t>Compliance with a wide variety of domestic and foreign laws and regulations (including those of municipalities or provinces where we have operations) and unexpected changes in those laws, export and trade controls, and regulatory requirements, including uncertainties regarding taxes, social insurance contributions and other payroll taxes and fees to governmental entities, tariffs, quotas, export controls, export licenses and other trade barriers.</w:t>
      </w:r>
    </w:p>
    <w:p>
      <w:pPr>
        <w:spacing w:after="0" w:line="118" w:lineRule="exact"/>
        <w:rPr>
          <w:rFonts w:ascii="Arial" w:cs="Arial" w:eastAsia="Arial" w:hAnsi="Arial"/>
          <w:sz w:val="17"/>
          <w:szCs w:val="17"/>
          <w:color w:val="auto"/>
        </w:rPr>
      </w:pPr>
    </w:p>
    <w:p>
      <w:pPr>
        <w:ind w:left="820" w:right="20" w:hanging="326"/>
        <w:spacing w:after="0" w:line="284" w:lineRule="auto"/>
        <w:tabs>
          <w:tab w:leader="none" w:pos="829" w:val="left"/>
        </w:tabs>
        <w:numPr>
          <w:ilvl w:val="0"/>
          <w:numId w:val="23"/>
        </w:numPr>
        <w:rPr>
          <w:rFonts w:ascii="Arial" w:cs="Arial" w:eastAsia="Arial" w:hAnsi="Arial"/>
          <w:sz w:val="17"/>
          <w:szCs w:val="17"/>
          <w:color w:val="auto"/>
        </w:rPr>
      </w:pPr>
      <w:r>
        <w:rPr>
          <w:rFonts w:ascii="Arial" w:cs="Arial" w:eastAsia="Arial" w:hAnsi="Arial"/>
          <w:sz w:val="17"/>
          <w:szCs w:val="17"/>
          <w:color w:val="auto"/>
        </w:rPr>
        <w:t>Unanticipated restrictions on our ability to sell to foreign customers where sales of products and the provision of services may require export licenses or are prohibited by government action, unfavorable foreign exchange controls and currency exchange rates.</w:t>
      </w:r>
    </w:p>
    <w:p>
      <w:pPr>
        <w:spacing w:after="0" w:line="104" w:lineRule="exact"/>
        <w:rPr>
          <w:rFonts w:ascii="Arial" w:cs="Arial" w:eastAsia="Arial" w:hAnsi="Arial"/>
          <w:sz w:val="17"/>
          <w:szCs w:val="17"/>
          <w:color w:val="auto"/>
        </w:rPr>
      </w:pPr>
    </w:p>
    <w:p>
      <w:pPr>
        <w:ind w:left="820" w:hanging="326"/>
        <w:spacing w:after="0" w:line="284" w:lineRule="auto"/>
        <w:tabs>
          <w:tab w:leader="none" w:pos="829" w:val="left"/>
        </w:tabs>
        <w:numPr>
          <w:ilvl w:val="0"/>
          <w:numId w:val="23"/>
        </w:numPr>
        <w:rPr>
          <w:rFonts w:ascii="Arial" w:cs="Arial" w:eastAsia="Arial" w:hAnsi="Arial"/>
          <w:sz w:val="17"/>
          <w:szCs w:val="17"/>
          <w:color w:val="auto"/>
        </w:rPr>
      </w:pPr>
      <w:r>
        <w:rPr>
          <w:rFonts w:ascii="Arial" w:cs="Arial" w:eastAsia="Arial" w:hAnsi="Arial"/>
          <w:sz w:val="17"/>
          <w:szCs w:val="17"/>
          <w:color w:val="auto"/>
        </w:rPr>
        <w:t>Potential for substantial penalties and litigation related to violations of a wide variety of laws, treaties and regulations, including labor regulations, export control and anti-corruption regulations (including the U.S. Foreign Corrupt Practices Act and the U.K. Bribery Act).</w:t>
      </w:r>
    </w:p>
    <w:p>
      <w:pPr>
        <w:spacing w:after="0" w:line="117" w:lineRule="exact"/>
        <w:rPr>
          <w:rFonts w:ascii="Arial" w:cs="Arial" w:eastAsia="Arial" w:hAnsi="Arial"/>
          <w:sz w:val="17"/>
          <w:szCs w:val="17"/>
          <w:color w:val="auto"/>
        </w:rPr>
      </w:pPr>
    </w:p>
    <w:p>
      <w:pPr>
        <w:ind w:left="820" w:hanging="326"/>
        <w:spacing w:after="0"/>
        <w:tabs>
          <w:tab w:leader="none" w:pos="8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Difficulties and costs of staffing and managing international operations across different geographic areas, time zones and cultures.</w:t>
      </w:r>
    </w:p>
    <w:p>
      <w:pPr>
        <w:spacing w:after="0" w:line="169" w:lineRule="exact"/>
        <w:rPr>
          <w:rFonts w:ascii="Arial" w:cs="Arial" w:eastAsia="Arial" w:hAnsi="Arial"/>
          <w:sz w:val="17"/>
          <w:szCs w:val="17"/>
          <w:color w:val="auto"/>
        </w:rPr>
      </w:pPr>
    </w:p>
    <w:p>
      <w:pPr>
        <w:ind w:left="820" w:hanging="326"/>
        <w:spacing w:after="0"/>
        <w:tabs>
          <w:tab w:leader="none" w:pos="8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Changes in diplomatic and trade relationships and uncertainties around political elections create an unpredictable business environment.</w:t>
      </w:r>
    </w:p>
    <w:p>
      <w:pPr>
        <w:spacing w:after="0" w:line="169" w:lineRule="exact"/>
        <w:rPr>
          <w:rFonts w:ascii="Arial" w:cs="Arial" w:eastAsia="Arial" w:hAnsi="Arial"/>
          <w:sz w:val="17"/>
          <w:szCs w:val="17"/>
          <w:color w:val="auto"/>
        </w:rPr>
      </w:pPr>
    </w:p>
    <w:p>
      <w:pPr>
        <w:ind w:left="820" w:right="20" w:hanging="326"/>
        <w:spacing w:after="0" w:line="284" w:lineRule="auto"/>
        <w:tabs>
          <w:tab w:leader="none" w:pos="829" w:val="left"/>
        </w:tabs>
        <w:numPr>
          <w:ilvl w:val="0"/>
          <w:numId w:val="23"/>
        </w:numPr>
        <w:rPr>
          <w:rFonts w:ascii="Arial" w:cs="Arial" w:eastAsia="Arial" w:hAnsi="Arial"/>
          <w:sz w:val="17"/>
          <w:szCs w:val="17"/>
          <w:color w:val="auto"/>
        </w:rPr>
      </w:pPr>
      <w:r>
        <w:rPr>
          <w:rFonts w:ascii="Arial" w:cs="Arial" w:eastAsia="Arial" w:hAnsi="Arial"/>
          <w:sz w:val="17"/>
          <w:szCs w:val="17"/>
          <w:color w:val="auto"/>
        </w:rPr>
        <w:t>Potential political, legal and economic instability, armed conflict, and civil unrest in the countries in which we and our customers are located.</w:t>
      </w:r>
    </w:p>
    <w:p>
      <w:pPr>
        <w:spacing w:after="0" w:line="104" w:lineRule="exact"/>
        <w:rPr>
          <w:rFonts w:ascii="Arial" w:cs="Arial" w:eastAsia="Arial" w:hAnsi="Arial"/>
          <w:sz w:val="17"/>
          <w:szCs w:val="17"/>
          <w:color w:val="auto"/>
        </w:rPr>
      </w:pPr>
    </w:p>
    <w:p>
      <w:pPr>
        <w:ind w:left="820" w:hanging="326"/>
        <w:spacing w:after="0"/>
        <w:tabs>
          <w:tab w:leader="none" w:pos="8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Difficulty and costs of maintaining effective data security.</w:t>
      </w:r>
    </w:p>
    <w:p>
      <w:pPr>
        <w:spacing w:after="0" w:line="169" w:lineRule="exact"/>
        <w:rPr>
          <w:rFonts w:ascii="Arial" w:cs="Arial" w:eastAsia="Arial" w:hAnsi="Arial"/>
          <w:sz w:val="17"/>
          <w:szCs w:val="17"/>
          <w:color w:val="auto"/>
        </w:rPr>
      </w:pPr>
    </w:p>
    <w:p>
      <w:pPr>
        <w:ind w:left="820" w:hanging="326"/>
        <w:spacing w:after="0"/>
        <w:tabs>
          <w:tab w:leader="none" w:pos="8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Inadequate protection of our intellectual property.</w:t>
      </w:r>
    </w:p>
    <w:p>
      <w:pPr>
        <w:spacing w:after="0" w:line="182" w:lineRule="exact"/>
        <w:rPr>
          <w:rFonts w:ascii="Arial" w:cs="Arial" w:eastAsia="Arial" w:hAnsi="Arial"/>
          <w:sz w:val="17"/>
          <w:szCs w:val="17"/>
          <w:color w:val="auto"/>
        </w:rPr>
      </w:pPr>
    </w:p>
    <w:p>
      <w:pPr>
        <w:ind w:left="820" w:hanging="326"/>
        <w:spacing w:after="0"/>
        <w:tabs>
          <w:tab w:leader="none" w:pos="8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Nationalization and expropriation.</w:t>
      </w:r>
    </w:p>
    <w:p>
      <w:pPr>
        <w:spacing w:after="0" w:line="169" w:lineRule="exact"/>
        <w:rPr>
          <w:rFonts w:ascii="Arial" w:cs="Arial" w:eastAsia="Arial" w:hAnsi="Arial"/>
          <w:sz w:val="17"/>
          <w:szCs w:val="17"/>
          <w:color w:val="auto"/>
        </w:rPr>
      </w:pPr>
    </w:p>
    <w:p>
      <w:pPr>
        <w:ind w:left="820" w:hanging="326"/>
        <w:spacing w:after="0" w:line="284" w:lineRule="auto"/>
        <w:tabs>
          <w:tab w:leader="none" w:pos="856" w:val="left"/>
        </w:tabs>
        <w:numPr>
          <w:ilvl w:val="0"/>
          <w:numId w:val="23"/>
        </w:numPr>
        <w:rPr>
          <w:rFonts w:ascii="Arial" w:cs="Arial" w:eastAsia="Arial" w:hAnsi="Arial"/>
          <w:sz w:val="17"/>
          <w:szCs w:val="17"/>
          <w:color w:val="auto"/>
        </w:rPr>
      </w:pPr>
      <w:r>
        <w:rPr>
          <w:rFonts w:ascii="Arial" w:cs="Arial" w:eastAsia="Arial" w:hAnsi="Arial"/>
          <w:sz w:val="17"/>
          <w:szCs w:val="17"/>
          <w:color w:val="auto"/>
        </w:rPr>
        <w:t>Restrictions on the transfer of funds to and from foreign countries, including withholding taxes and other potentially negative tax consequences.</w:t>
      </w:r>
    </w:p>
    <w:p>
      <w:pPr>
        <w:spacing w:after="0" w:line="104" w:lineRule="exact"/>
        <w:rPr>
          <w:rFonts w:ascii="Arial" w:cs="Arial" w:eastAsia="Arial" w:hAnsi="Arial"/>
          <w:sz w:val="17"/>
          <w:szCs w:val="17"/>
          <w:color w:val="auto"/>
        </w:rPr>
      </w:pPr>
    </w:p>
    <w:p>
      <w:pPr>
        <w:ind w:left="820" w:hanging="326"/>
        <w:spacing w:after="0"/>
        <w:tabs>
          <w:tab w:leader="none" w:pos="8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Unfavorable and/or changing foreign tax treaties and policies.</w:t>
      </w:r>
    </w:p>
    <w:p>
      <w:pPr>
        <w:spacing w:after="0" w:line="169" w:lineRule="exact"/>
        <w:rPr>
          <w:rFonts w:ascii="Arial" w:cs="Arial" w:eastAsia="Arial" w:hAnsi="Arial"/>
          <w:sz w:val="17"/>
          <w:szCs w:val="17"/>
          <w:color w:val="auto"/>
        </w:rPr>
      </w:pPr>
    </w:p>
    <w:p>
      <w:pPr>
        <w:ind w:left="820" w:hanging="326"/>
        <w:spacing w:after="0"/>
        <w:tabs>
          <w:tab w:leader="none" w:pos="8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Increased exposure to general market and economic conditions inside and outside of the United States.</w:t>
      </w:r>
    </w:p>
    <w:p>
      <w:pPr>
        <w:spacing w:after="0" w:line="182" w:lineRule="exact"/>
        <w:rPr>
          <w:rFonts w:ascii="Arial" w:cs="Arial" w:eastAsia="Arial" w:hAnsi="Arial"/>
          <w:sz w:val="17"/>
          <w:szCs w:val="17"/>
          <w:color w:val="auto"/>
        </w:rPr>
      </w:pPr>
    </w:p>
    <w:p>
      <w:pPr>
        <w:ind w:left="820" w:right="20" w:hanging="326"/>
        <w:spacing w:after="0" w:line="284" w:lineRule="auto"/>
        <w:tabs>
          <w:tab w:leader="none" w:pos="815" w:val="left"/>
        </w:tabs>
        <w:numPr>
          <w:ilvl w:val="0"/>
          <w:numId w:val="23"/>
        </w:numPr>
        <w:rPr>
          <w:rFonts w:ascii="Arial" w:cs="Arial" w:eastAsia="Arial" w:hAnsi="Arial"/>
          <w:sz w:val="17"/>
          <w:szCs w:val="17"/>
          <w:color w:val="auto"/>
        </w:rPr>
      </w:pPr>
      <w:r>
        <w:rPr>
          <w:rFonts w:ascii="Arial" w:cs="Arial" w:eastAsia="Arial" w:hAnsi="Arial"/>
          <w:sz w:val="17"/>
          <w:szCs w:val="17"/>
          <w:color w:val="auto"/>
        </w:rPr>
        <w:t>Currency exchange rate fluctuations and the resulting effect on our revenue and expenses, and the cost and risk of entering into hedging transactions if we chose to do so in the future.</w:t>
      </w:r>
    </w:p>
    <w:p>
      <w:pPr>
        <w:spacing w:after="0" w:line="104" w:lineRule="exact"/>
        <w:rPr>
          <w:rFonts w:ascii="Arial" w:cs="Arial" w:eastAsia="Arial" w:hAnsi="Arial"/>
          <w:sz w:val="17"/>
          <w:szCs w:val="17"/>
          <w:color w:val="auto"/>
        </w:rPr>
      </w:pPr>
    </w:p>
    <w:p>
      <w:pPr>
        <w:ind w:left="820" w:right="20" w:hanging="326"/>
        <w:spacing w:after="0" w:line="284" w:lineRule="auto"/>
        <w:tabs>
          <w:tab w:leader="none" w:pos="815" w:val="left"/>
        </w:tabs>
        <w:numPr>
          <w:ilvl w:val="0"/>
          <w:numId w:val="23"/>
        </w:numPr>
        <w:rPr>
          <w:rFonts w:ascii="Arial" w:cs="Arial" w:eastAsia="Arial" w:hAnsi="Arial"/>
          <w:sz w:val="17"/>
          <w:szCs w:val="17"/>
          <w:color w:val="auto"/>
        </w:rPr>
      </w:pPr>
      <w:r>
        <w:rPr>
          <w:rFonts w:ascii="Arial" w:cs="Arial" w:eastAsia="Arial" w:hAnsi="Arial"/>
          <w:sz w:val="17"/>
          <w:szCs w:val="17"/>
          <w:color w:val="auto"/>
        </w:rPr>
        <w:t>Increased regulatory uncertainties with respect to our wholly foreign-owned enterprise operating in China and any joint ventures we may form or contribute IP or other resources to in the future.</w:t>
      </w:r>
    </w:p>
    <w:p>
      <w:pPr>
        <w:spacing w:after="0" w:line="104" w:lineRule="exact"/>
        <w:rPr>
          <w:rFonts w:ascii="Arial" w:cs="Arial" w:eastAsia="Arial" w:hAnsi="Arial"/>
          <w:sz w:val="17"/>
          <w:szCs w:val="17"/>
          <w:color w:val="auto"/>
        </w:rPr>
      </w:pPr>
    </w:p>
    <w:p>
      <w:pPr>
        <w:jc w:val="both"/>
        <w:ind w:left="820" w:hanging="326"/>
        <w:spacing w:after="0" w:line="266" w:lineRule="auto"/>
        <w:tabs>
          <w:tab w:leader="none" w:pos="815" w:val="left"/>
        </w:tabs>
        <w:numPr>
          <w:ilvl w:val="0"/>
          <w:numId w:val="23"/>
        </w:numPr>
        <w:rPr>
          <w:rFonts w:ascii="Arial" w:cs="Arial" w:eastAsia="Arial" w:hAnsi="Arial"/>
          <w:sz w:val="17"/>
          <w:szCs w:val="17"/>
          <w:color w:val="auto"/>
        </w:rPr>
      </w:pPr>
      <w:r>
        <w:rPr>
          <w:rFonts w:ascii="Arial" w:cs="Arial" w:eastAsia="Arial" w:hAnsi="Arial"/>
          <w:sz w:val="17"/>
          <w:szCs w:val="17"/>
          <w:color w:val="auto"/>
        </w:rPr>
        <w:t>Trends such as global and regional inflation, supply shortages and supply chain disruptions, geopolitical conflicts and retaliatory actions and regulations affecting or relating to regions such as but not limited to Ukraine, Russia, Eastern Europe, Israel and the Middle East, or in the Greater China region, may lead to the deterioration of our immediate customers’ and/or end market customers’ ability and/or willingness to purchase, use, develop, market or sell products or solutions that incorporate or are made while using our products.</w:t>
      </w:r>
    </w:p>
    <w:p>
      <w:pPr>
        <w:spacing w:after="0" w:line="11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These factors, individually or in combination, could impair our ability to effectively operate one or more of our foreign facilities or deliver our semiconductor IP or SIA solutions, result in unexpected and material expenses, or cause an unexpected decline in the demand for our products in certain countries or regions. Our failure to manage the risks and challenges associated with our international business and operations could harm our business.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43" w:name="page44"/>
    <w:bookmarkEnd w:id="43"/>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i w:val="1"/>
          <w:iCs w:val="1"/>
          <w:color w:val="auto"/>
        </w:rPr>
        <w:t>Downturns or volatility in general economic conditions, including as a result of geopolitical and macroeconomic conditions in the countries in which we conduct business, the COVID-19 pandemic or any other outbreaks of an infectious disease, could harm our business.</w:t>
      </w:r>
    </w:p>
    <w:p>
      <w:pPr>
        <w:spacing w:after="0" w:line="118"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Our revenue, gross margin, and ability to achieve and maintain profitability depend significantly on general economic conditions and the demand for products in the markets in which our customers compete. Weaknesses in the global economy and financial markets, including the current weaknesses resulting from the COVID-19 pandemic or other future pandemic, and any adverse changes in general domestic and global economic conditions that may occur in the future, including any recession, economic slowdown or disruption of credit markets, may lead to, lower demand for products that incorporate our solutions, including in the automotive market, enterprise computing market, communications market, consumer electronics market, and industrial market. A decline in end-user demand can affect our customers’ demand for our products, the ability of our customers to obtain credit and otherwise meet their payment obligations and the likelihood of customers canceling or deferring existing orders. Our business could be harmed by such actions.</w:t>
      </w:r>
    </w:p>
    <w:p>
      <w:pPr>
        <w:spacing w:after="0" w:line="127"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Because we conduct business, have offices in and derive revenue from customers in China, our business performance may be affected by increased political tensions and changes in China’s political, social and economic environment. For example, political instability resulting from changes in the relationship between the United States and China could negatively impact our business. Any significant armed conflict related to this matter is expected to materially and adversely damage our business. Moreover, the role of the Chinese government in the Chinese economy is significant. Chinese policies toward economic liberalization, and laws and policies affecting technology companies, foreign investment, currency exchange rates, taxes and other matters could change, resulting in greater restrictions on our ability and our suppliers’ ability to do business and operate facilities in China. If any of these changes were to occur, our business could be harmed and our stock price could decline.</w:t>
      </w:r>
    </w:p>
    <w:p>
      <w:pPr>
        <w:spacing w:after="0" w:line="128"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Any disruption in the credit markets, including as a result of the COVID-19 pandemic or other future pandemics, could also impede our access to capital. If we have limited access to additional financing sources, we may be required to defer capital expenditures or seek other sources of liquidity, which may not be available to us on acceptable terms or at all. All of these factors related to global economic conditions, which are beyond our control, could harm our business. For a more detailed discussion of the COVID-19 pandemic and its recent and potential impact on our business, see “—Our business has been, and may continue to be, adversely affected by health epidemics, pandemics and other outbreaks of infectious disease, including the COVID-19 pandemic.”</w:t>
      </w:r>
    </w:p>
    <w:p>
      <w:pPr>
        <w:spacing w:after="0" w:line="138"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We maintain the majority of our cash and cash equivalents in accounts with major U.S. and multi-national financial institutions, and our deposits at certain of these institutions exceed insured limits. Market conditions can impact the viability of these institutions. In the event of failure of any of the financial institutions where we maintain our cash and cash equivalents, there can be no assurance that we would be able to access uninsured funds in a timely manner or at all. Any inability to access or delay in accessing these funds could adversely affect our business and financial position.</w:t>
      </w:r>
    </w:p>
    <w:p>
      <w:pPr>
        <w:spacing w:after="0" w:line="134"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The cyclical nature of the semiconductor industry, including significant supply chain disruption, may limit our ability to maintain or improve our revenue.</w:t>
      </w:r>
    </w:p>
    <w:p>
      <w:pPr>
        <w:spacing w:after="0" w:line="85"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semiconductor industry is highly cyclical and is prone to significant downturns from time to time. Cyclical downturns can result from a variety of market forces including constant and rapid technological change, rapid product obsolescence, price erosion, evolving standards, short product life cycles and wide fluctuations in product supply and demand, all of which can result in significant declines in semiconductor demand. We have experienced downturns in the past and may experience such downturns in the future. For example, the industry experienced a significant downturn in connection with the most recent global recession in 2008, and further experienced downturns in 2020 and 2022, which may be prolonged as a result of the economic impact of the COVID-19 pandemic. These downturns have been characterized by diminished product demand, production overcapacity, high inventory levels and accelerated erosion of average selling prices. Recently, downturns in the semiconductor industry have been attributed to a variety of factors, including the COVID-19 pandemic, ongoing trade disputes among the United States and China, weakness in demand and pricing for semiconductors across applications and excess inventory.</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44" w:name="page45"/>
    <w:bookmarkEnd w:id="44"/>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Economic downturns have directly impacted our business, as has been the case with many other companies, suppliers, distributors and customers in the semiconductor industry and other industries around the world, and any prolonged or significant future downturns in the semiconductor industry could harm our business. Conversely, significant upturns may suppress customer shipments of royalty-bearing products incorporating our IP solutions due to our customers having limited access to third-party foundry and assembly capacity. In the event of such an upturn, we may not be able to expand our workforce and operations in a sufficiently timely manner, procure adequate resources, or locate suitable third-party suppliers or other third-party subcontractors to respond effectively to changes in demand for our existing products or to the demand for new products requested by our customers, and our business could be harmed.</w:t>
      </w:r>
    </w:p>
    <w:p>
      <w:pPr>
        <w:spacing w:after="0" w:line="128"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The semiconductor industry has also faced significant global supply chain issues as a result of the impact both on demand for devices to enable wireless connectivity and remote environments and on supply from the related imposition of government restrictions on staffing and facility operations due to the COVID-19 pandemic as well as other trends such as the increasing demand for semiconductors in automobiles and artificial intelligence, which together have resulted in the inability of fabrication plants to produce sufficient quantities of chips to meet demand, supply chain shortages and other disruptions. Numerous factors, including any further trade tensions between the U.S. and China, such as the revisions to the U.S. regulations governing the export of certain semiconductor related hardware and software to China announced by the U.S. Department of Commerce’s Bureau of Industry and Security on October 7, 2022, and or any military conflict between China and Taiwan may prolong or deepen these challenges faced by the industry.</w:t>
      </w:r>
    </w:p>
    <w:p>
      <w:pPr>
        <w:spacing w:after="0" w:line="128"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Our revenue has been concentrated among a small number of licensees and customers, and if we lose any of these customers and fail to replace them, our revenue may decrease substantially.</w:t>
      </w:r>
    </w:p>
    <w:p>
      <w:pPr>
        <w:spacing w:after="0" w:line="85"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A significant amount of our revenue is derived from a limited number of customers. We expect that a relatively small number of customers will continue to account for a substantial portion of our revenue for the foreseeable future.</w:t>
      </w:r>
    </w:p>
    <w:p>
      <w:pPr>
        <w:spacing w:after="0" w:line="118"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As a result of this revenue concentration, our results of operations could be adversely affected by the decision of a single key licensee or customer to cease using our technology or products or by a decline in the number of products that incorporate our technology that are sold by a single licensee or customer or by a small group of licensees or customers. We must continue to obtain new significant licensees and to increase our revenue and grow our business.</w:t>
      </w:r>
    </w:p>
    <w:p>
      <w:pPr>
        <w:spacing w:after="0" w:line="125"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i w:val="1"/>
          <w:iCs w:val="1"/>
          <w:color w:val="auto"/>
        </w:rPr>
        <w:t>Failure to effectively expand our sales and marketing capabilities could harm our ability to increase our customer base and achieve broader market acceptance of our products.</w:t>
      </w:r>
    </w:p>
    <w:p>
      <w:pPr>
        <w:spacing w:after="0" w:line="71"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Our ability to increase our customer base and achieve broader market acceptance of our products and platform capabilities will depend to a significant extent on our ability to expand our global sales and application engineering organization. We plan to continue expanding our sales force, both domestically and internationally. We also plan to dedicate significant resources to sales and marketing programs. All of these efforts will require us to invest significant financial and other resources. Our business will be harmed if our sales and marketing efforts do not generate significant increases in revenue or increases in revenue are smaller than anticipated. We may not achieve anticipated revenue growth from expanding our sales force if we are unable to hire, develop, integrate and retain talented and effective sales personnel, if our new and existing sales personnel, on the whole, are unable to achieve desired productivity levels in a reasonable period of time, or if our sales and marketing programs are not effective.</w:t>
      </w:r>
    </w:p>
    <w:p>
      <w:pPr>
        <w:spacing w:after="0" w:line="128"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We typically experience a strong seasonality in sales in the fourth calendar quarter of the year. As a result, our results of operations are subject to substantial quarterly fluctuations, which may seriously harm our business.</w:t>
      </w:r>
    </w:p>
    <w:p>
      <w:pPr>
        <w:spacing w:after="0" w:line="8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have experienced, and expect to continue to experience, seasonal fluctuations in sales due to the spending patterns of semiconductor customers who license our products. Typically, the number of total new license agreements we enter into have generally been lowest in the first and second calendar quarters. We expect these seasonality trends to continue. As a result, revenue recognized from our total new license agreements are subject to seasonal fluctuations, which may seriously harm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45" w:name="page46"/>
    <w:bookmarkEnd w:id="45"/>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Substantial portions of our sales are made, and we anticipate will be made, to automotive, enterprise computing, communications, consumer electronics, and industrial suppliers. Any downturn in any of these markets could significantly harm our business.</w:t>
      </w:r>
    </w:p>
    <w:p>
      <w:pPr>
        <w:spacing w:after="0" w:line="85" w:lineRule="exact"/>
        <w:rPr>
          <w:sz w:val="20"/>
          <w:szCs w:val="20"/>
          <w:color w:val="auto"/>
        </w:rPr>
      </w:pPr>
    </w:p>
    <w:p>
      <w:pPr>
        <w:jc w:val="both"/>
        <w:ind w:right="20"/>
        <w:spacing w:after="0" w:line="301" w:lineRule="auto"/>
        <w:rPr>
          <w:sz w:val="20"/>
          <w:szCs w:val="20"/>
          <w:color w:val="auto"/>
        </w:rPr>
      </w:pPr>
      <w:r>
        <w:rPr>
          <w:rFonts w:ascii="Arial" w:cs="Arial" w:eastAsia="Arial" w:hAnsi="Arial"/>
          <w:sz w:val="17"/>
          <w:szCs w:val="17"/>
          <w:color w:val="auto"/>
        </w:rPr>
        <w:t>Each of these sectors is subject to specific market risks. The consumer sector, for example, is subject to changes in end consumer spending patterns, technology developments and general economic conditions.</w:t>
      </w:r>
    </w:p>
    <w:p>
      <w:pPr>
        <w:spacing w:after="0" w:line="90"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We are also exposed to the risks associated with the automotive market. For example, our anticipated future growth is highly dependent on the adoption of autonomous driving technologies, which are expected to have increased sensor and power product content. The reported downturn in the automotive market could delay automakers’ plans to introduce new vehicles with these features, which would negatively impact the demand for our products and our ability to grow our business.</w:t>
      </w:r>
    </w:p>
    <w:p>
      <w:pPr>
        <w:spacing w:after="0" w:line="13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Several industries in which companies incorporate our technology, including the automotive industry and others, may undergo consolidation and reorganization and, in some cases, their suppliers may or have entered bankruptcy. Although we have not experienced any lost business or material bad debt write-offs as a result of such consolidation, such trends could harm our business.</w:t>
      </w:r>
    </w:p>
    <w:p>
      <w:pPr>
        <w:spacing w:after="0" w:line="120"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Moreover, the automotive industry is affected by general economic, trade and geopolitical conditions and associated responses by governments of various countries, the automotive industry, including manufacturers, dealers, distributors, and third-party suppliers may be adversely impacted. For example, during the COVID-19 pandemic, many automotive manufacturers were forced to suspend manufacturing operations and may be required to do so again. In addition, government-imposed restrictions on businesses, operations and travel and the related economic uncertainty have impacted demand in many global markets. While demand in the automotive industry is dependent on a number of factors any adverse effects on the automotive industry could harm our business, as well as our ability to execute our growth strategy.</w:t>
      </w:r>
    </w:p>
    <w:p>
      <w:pPr>
        <w:spacing w:after="0" w:line="125"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Our business has been, and may continue to be, adversely affected by health epidemics, pandemics and other outbreaks of infectious disease, including the COVID-19 or any similar pandemic.</w:t>
      </w:r>
    </w:p>
    <w:p>
      <w:pPr>
        <w:spacing w:after="0" w:line="98"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Public health threats, such as COVID-19, influenza and other highly communicable diseases or viruses, outbreaks of which have from time to time occurred in various parts of the world in which we operate could adversely impact our operations, as well as the operations of our customers, end users of our products, and our and their respective vendors, suppliers and other business partners. Any of these public health threats and related consequences could adversely affect our financial results and could reduce our ability to access capital.</w:t>
      </w:r>
    </w:p>
    <w:p>
      <w:pPr>
        <w:spacing w:after="0" w:line="125"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ultimate extent of the impact of any epidemic, pandemic, or other health crisis on our business will depend on multiple factors that are highly uncertain and cannot be predicted, including its severity, location and duration, and actions taken to contain or prevent further its spread. Additionally, such crises could increase the magnitude of many of the other risks described in our Annual Report on Form 10-K for the year ended December 31, 2023, and may have other material adverse effects on our operations that we are not currently able to predict. If our business and the markets in which we operate experience a prolonged occurrence of adverse public health conditions, it could materially adversely affect our business, financial condition, and results of operations.</w:t>
      </w:r>
    </w:p>
    <w:p>
      <w:pPr>
        <w:spacing w:after="0" w:line="125"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i w:val="1"/>
          <w:iCs w:val="1"/>
          <w:color w:val="auto"/>
        </w:rPr>
        <w:t>We received a Paycheck Protection Program loan, and our application for the PPP Loan could in the future be determined to have been impermissible or could result in damage to our reputation.</w:t>
      </w:r>
    </w:p>
    <w:p>
      <w:pPr>
        <w:spacing w:after="0" w:line="71"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In April 2020, we applied for and received an unsecured $1.6 million loan under the Paycheck Protection Program (the PPP Loan). In December 2020, the PPP Loan was forgiven in full. The Paycheck Protection Program was established under the Coronavirus Aid, Relief, and Economic Security Act (the CARES Act), and is administered by the U.S. Small Business Administration (the SBA). In addition, in May 2020, Semifore, Inc., a company that we recently acquired, was a recipient of $0.1 million of proceeds from a note payable issued under the Paycheck Protection Program (PPP) under section 7(a)(36) of the Small Business Act. The note was repaid in full in December 2020.</w:t>
      </w:r>
    </w:p>
    <w:p>
      <w:pPr>
        <w:spacing w:after="0" w:line="125"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Our receipt of the PPP Loan or the forgiveness of the PPP Loan could result in adverse publicity. In addition, if we are later determined to have been ineligible to receive the PPP Loan or loan forgiveness, we may be subject to significant penalties, including significant civil, criminal and administrative penalties, we could be required to repay the PPP Loan in its entirety, and our reputation could suffer. A review or audit by the SBA or other government entity or claims under the U.S. False Claims Act could consume significant financial and management resources.</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46" w:name="page47"/>
    <w:bookmarkEnd w:id="46"/>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 significant portion of our revenue comes from licensing fees, which may vary period to period.</w:t>
      </w:r>
    </w:p>
    <w:p>
      <w:pPr>
        <w:spacing w:after="0" w:line="169"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License agreements for our interconnect IP are generally treated as ratable revenue, with revenue being recognized evenly over the license term. In recent periods we have made and will continue to make certain changes to SIA agreements that result in ratable recognition of the related license revenue over the contract term. Still, significant portions of our anticipated future revenue depend upon our success in attracting new customers, or continuing or expanding our relationships with existing customers, and revenue recognized from licensing arrangements varies from period to period, depending on the number and size of deals closed during a quarter, and is difficult to predict. In addition, as we expand our business into new markets, our licensing deals may be smaller in volume but greater in value in volume, which may further fluctuate our licensing revenue quarter to quarter. Our ability to succeed in our licensing efforts will depend on a variety of factors, including the market positioning, performance, delivery, quality, breadth and depth of our current and future IP interconnect and other solutions as well as our sales and marketing skills. Our failure to obtain future licensing customers would impede our future revenue growth and could materially harm our business.</w:t>
      </w:r>
    </w:p>
    <w:p>
      <w:pPr>
        <w:spacing w:after="0" w:line="12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As a result of these and other factors, you should not rely on the results of any prior quarterly or annual periods, or any historical trends reflected in such results, as indications of our future revenue or operating performance. Fluctuations in our revenue and operating results could cause our stock price to decline and, as a result, you may lose some or all of your investment.</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Royalty rates could decrease for existing and future license agreements, which could materially adversely affect our operating results.</w:t>
      </w:r>
    </w:p>
    <w:p>
      <w:pPr>
        <w:spacing w:after="0" w:line="183"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Royalty payments to us under existing and future license agreements could be lower than currently anticipated for a variety of reasons. Average selling prices for semiconductor products generally decrease over time during the lifespan of a product. Our gross margins and financial results will suffer if we are unable to offset reductions in our average selling prices by reducing our costs, developing new or enhanced products or solutions on a timely basis with higher selling prices or gross margins, or increasing our sales volumes. In addition, there is significant pressure to maintain low royalty rates in certain markets where the end product may have a low average sales price, such as many consumer electronics products. In addition, there is increasing downward pricing pressures in the semiconductor industry on end products incorporating our technology, especially end products for consumer electronics markets. As a result, notwithstanding the existence of a license agreement, our customers may demand that royalty rates for our products on future or renewal agreements be lower than our historic royalty rates. Furthermore, our competitors may lower the royalty rates for their comparable products to win market share which may force us to lower our royalty rates on future or renewal agreements as well. As a consequence of the above referenced factors, as well as unforeseen factors in the future, the royalty rates we receive for use of our technology could decrease with new or renewed customers, thereby decreasing future anticipated revenue and cash flow. Variable royalty revenue was 7.0% of our revenue for the nine months ended September 30, 2024. Therefore, a significant decrease in our royalty revenue could materially adversely affect our operating results.</w:t>
      </w:r>
    </w:p>
    <w:p>
      <w:pPr>
        <w:spacing w:after="0" w:line="132"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Moreover, royalty rates may be negatively affected by macroeconomic and geopolitical trends, including from global semiconductor supply chain issues (including from shortages in the availability of the supply of chips in several semiconductor sectors and applications), the COVID-19 or any future pandemic and its world effects and changes in products mix. Furthermore, consolidation among our customers may increase the leverage of our existing customers to extract concessions from us in royalty rates.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47" w:name="page48"/>
    <w:bookmarkEnd w:id="47"/>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Changing currency exchange rates could harm our business.</w:t>
      </w:r>
    </w:p>
    <w:p>
      <w:pPr>
        <w:spacing w:after="0" w:line="169"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We have operations and assets in the U.S. as well as foreign jurisdictions, and we prepare our consolidated financial statements in U.S. dollars, but a portion of our earnings and expenditures are denominated in other currencies. We therefore must translate our foreign assets, liabilities, revenue and expenses into U.S. dollars at applicable exchange rates. Consequently, fluctuations in the value of foreign currencies relative to the U.S. dollar may negatively affect the value of these items in our financial statements. In addition, since many of our sales in foreign jurisdictions are denominated in U.S. dollars, fluctuations in the value of foreign currencies relative to the U.S. dollar may effectively increase the price of our products in the currency of the jurisdiction in which the sale took place and may result in our products becoming too expensive for non-U.S. customers who do not conduct their business in U.S. dollars. Furthermore, currency exchange rates have been especially volatile in the recent past, and these currency fluctuations may make it difficult for us to predict our results of operations. If the volume of our international operations increases and foreign currency exchange rates change, the impact to our consolidated statements of operations could be significant and may affect the comparability of operating results. The impact from foreign currency exchange for the nine months ended September 30, 2024 was immaterial. We do not believe a 10% increase or decrease in foreign exchange rates would have resulted in a material impact to our operating results. To the extent we fail to manage our foreign currency exposure adequately, we may suffer losses in the value of our net foreign currency investment, and our business may be harmed.</w:t>
      </w:r>
    </w:p>
    <w:p>
      <w:pPr>
        <w:spacing w:after="0" w:line="352"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In particular, in light of the military conflict between Russia and Ukraine, the conflict in Israel, and the tensions between the European Union, other European countries, as well as the United States, with Russia, any resulting material change to the valuation of the Euro or other currency relative to the U.S. dollar could adversely impact our operating results.</w:t>
      </w:r>
    </w:p>
    <w:p>
      <w:pPr>
        <w:spacing w:after="0" w:line="120"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We have made acquisitions and, in the future expect to pursue acquisitions of and investments in new businesses, products or technologies, joint ventures and other strategic transactions that involve numerous risks and could disrupt and harm our business.</w:t>
      </w:r>
    </w:p>
    <w:p>
      <w:pPr>
        <w:spacing w:after="0" w:line="98"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As part of our business strategy, we make acquisitions of and investments in new businesses, such as our acquisitions of Magillem and Semifore, Inc., products and technologies and enter into joint ventures and other strategic relationships in the ordinary course. Our ability to grow our revenue, earnings and cash flow at or above our historic rates depends in part upon our ability to identify and successfully acquire and integrate businesses at acceptable prices, realize anticipated synergies and make appropriate investments that support our long-term strategy. We may not be able to consummate acquisitions at rates similar to the past, which could adversely impact our growth rate and the trading price of our common stock. Promising acquisitions and investments are difficult to identify and complete for a number of reasons, including high valuations, competition among prospective buyers, the availability of affordable funding in the capital markets and the need to satisfy applicable closing conditions and obtain applicable antitrust and other regulatory approvals on a timely basis and on acceptable terms. In addition, competition for acquisitions and investment may result in higher purchase prices. Changes in accounting or regulatory requirements or instability in the credit markets could also adversely impact our ability to consummate acquisitions and investments on acceptable terms or at all.</w:t>
      </w:r>
    </w:p>
    <w:p>
      <w:pPr>
        <w:spacing w:after="0" w:line="132"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In addition, even if we are able to consummate acquisitions and enter into joint ventures and other strategic relationships, these transactions and relationships present a number of potential risks and challenges that could, if not met, disrupt our business operations, increase our operating costs, negatively affect our growth rate and the trading price of our common stock, and may harm our business. In addition, our Magillem and Semifore, Inc. acquisitions along with our Transchip investment as well as any acquisition, investment, joint venture or other strategic transaction that we may enter into in the future, involve a number of additional financial, accounting, managerial, operational, legal, regulatory and other risks, which may include, among others:</w:t>
      </w:r>
    </w:p>
    <w:p>
      <w:pPr>
        <w:spacing w:after="0" w:line="138" w:lineRule="exact"/>
        <w:rPr>
          <w:sz w:val="20"/>
          <w:szCs w:val="20"/>
          <w:color w:val="auto"/>
        </w:rPr>
      </w:pPr>
    </w:p>
    <w:p>
      <w:pPr>
        <w:ind w:left="820" w:hanging="326"/>
        <w:spacing w:after="0" w:line="284" w:lineRule="auto"/>
        <w:tabs>
          <w:tab w:leader="none" w:pos="815" w:val="left"/>
        </w:tabs>
        <w:numPr>
          <w:ilvl w:val="0"/>
          <w:numId w:val="24"/>
        </w:numPr>
        <w:rPr>
          <w:rFonts w:ascii="Arial" w:cs="Arial" w:eastAsia="Arial" w:hAnsi="Arial"/>
          <w:sz w:val="17"/>
          <w:szCs w:val="17"/>
          <w:color w:val="auto"/>
        </w:rPr>
      </w:pPr>
      <w:r>
        <w:rPr>
          <w:rFonts w:ascii="Arial" w:cs="Arial" w:eastAsia="Arial" w:hAnsi="Arial"/>
          <w:sz w:val="17"/>
          <w:szCs w:val="17"/>
          <w:color w:val="auto"/>
        </w:rPr>
        <w:t>Any business, technology, service or product that we acquire or invest in could under-perform relative to our expectations and the price that we paid or not perform in accordance with our anticipated timetable, or we could fail to operate any such business profitably.</w:t>
      </w:r>
    </w:p>
    <w:p>
      <w:pPr>
        <w:spacing w:after="0" w:line="104" w:lineRule="exact"/>
        <w:rPr>
          <w:rFonts w:ascii="Arial" w:cs="Arial" w:eastAsia="Arial" w:hAnsi="Arial"/>
          <w:sz w:val="17"/>
          <w:szCs w:val="17"/>
          <w:color w:val="auto"/>
        </w:rPr>
      </w:pPr>
    </w:p>
    <w:p>
      <w:pPr>
        <w:jc w:val="both"/>
        <w:ind w:left="820" w:hanging="326"/>
        <w:spacing w:after="0" w:line="266" w:lineRule="auto"/>
        <w:tabs>
          <w:tab w:leader="none" w:pos="815" w:val="left"/>
        </w:tabs>
        <w:numPr>
          <w:ilvl w:val="0"/>
          <w:numId w:val="24"/>
        </w:numPr>
        <w:rPr>
          <w:rFonts w:ascii="Arial" w:cs="Arial" w:eastAsia="Arial" w:hAnsi="Arial"/>
          <w:sz w:val="17"/>
          <w:szCs w:val="17"/>
          <w:color w:val="auto"/>
        </w:rPr>
      </w:pPr>
      <w:r>
        <w:rPr>
          <w:rFonts w:ascii="Arial" w:cs="Arial" w:eastAsia="Arial" w:hAnsi="Arial"/>
          <w:sz w:val="17"/>
          <w:szCs w:val="17"/>
          <w:color w:val="auto"/>
        </w:rPr>
        <w:t>We may incur or assume significant debt in connection with our acquisitions, joint ventures and other strategic relationships, which could also cause a deterioration of our credit ratings, result in increased borrowing costs and interest expense and diminish our future access to the capital markets. Alternatively, we may issue additional equity securities, which could dilute your ownership and voting power.</w:t>
      </w:r>
    </w:p>
    <w:p>
      <w:pPr>
        <w:spacing w:after="0" w:line="133" w:lineRule="exact"/>
        <w:rPr>
          <w:rFonts w:ascii="Arial" w:cs="Arial" w:eastAsia="Arial" w:hAnsi="Arial"/>
          <w:sz w:val="17"/>
          <w:szCs w:val="17"/>
          <w:color w:val="auto"/>
        </w:rPr>
      </w:pPr>
    </w:p>
    <w:p>
      <w:pPr>
        <w:jc w:val="both"/>
        <w:ind w:left="820" w:hanging="326"/>
        <w:spacing w:after="0" w:line="266" w:lineRule="auto"/>
        <w:tabs>
          <w:tab w:leader="none" w:pos="829" w:val="left"/>
        </w:tabs>
        <w:numPr>
          <w:ilvl w:val="0"/>
          <w:numId w:val="24"/>
        </w:numPr>
        <w:rPr>
          <w:rFonts w:ascii="Arial" w:cs="Arial" w:eastAsia="Arial" w:hAnsi="Arial"/>
          <w:sz w:val="17"/>
          <w:szCs w:val="17"/>
          <w:color w:val="auto"/>
        </w:rPr>
      </w:pPr>
      <w:r>
        <w:rPr>
          <w:rFonts w:ascii="Arial" w:cs="Arial" w:eastAsia="Arial" w:hAnsi="Arial"/>
          <w:sz w:val="17"/>
          <w:szCs w:val="17"/>
          <w:color w:val="auto"/>
        </w:rPr>
        <w:t>Acquisitions, joint ventures and other strategic relationships could cause our financial results to differ from our own or the investment community’s expectations in any given period, or over the long-term challenges associated with integrating employees from the acquired company into our organization.</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48" w:name="page49"/>
    <w:bookmarkEnd w:id="48"/>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820" w:hanging="326"/>
        <w:spacing w:after="0" w:line="284" w:lineRule="auto"/>
        <w:tabs>
          <w:tab w:leader="none" w:pos="842" w:val="left"/>
        </w:tabs>
        <w:numPr>
          <w:ilvl w:val="0"/>
          <w:numId w:val="25"/>
        </w:numPr>
        <w:rPr>
          <w:rFonts w:ascii="Arial" w:cs="Arial" w:eastAsia="Arial" w:hAnsi="Arial"/>
          <w:sz w:val="17"/>
          <w:szCs w:val="17"/>
          <w:color w:val="auto"/>
        </w:rPr>
      </w:pPr>
      <w:r>
        <w:rPr>
          <w:rFonts w:ascii="Arial" w:cs="Arial" w:eastAsia="Arial" w:hAnsi="Arial"/>
          <w:sz w:val="17"/>
          <w:szCs w:val="17"/>
          <w:color w:val="auto"/>
        </w:rPr>
        <w:t>Pre-closing and post-closing earnings charges could adversely impact operating results in any given period, and the impact may be substantially different from period to period.</w:t>
      </w:r>
    </w:p>
    <w:p>
      <w:pPr>
        <w:spacing w:after="0" w:line="104" w:lineRule="exact"/>
        <w:rPr>
          <w:rFonts w:ascii="Arial" w:cs="Arial" w:eastAsia="Arial" w:hAnsi="Arial"/>
          <w:sz w:val="17"/>
          <w:szCs w:val="17"/>
          <w:color w:val="auto"/>
        </w:rPr>
      </w:pPr>
    </w:p>
    <w:p>
      <w:pPr>
        <w:ind w:left="820" w:hanging="326"/>
        <w:spacing w:after="0" w:line="301" w:lineRule="auto"/>
        <w:tabs>
          <w:tab w:leader="none" w:pos="842" w:val="left"/>
        </w:tabs>
        <w:numPr>
          <w:ilvl w:val="0"/>
          <w:numId w:val="25"/>
        </w:numPr>
        <w:rPr>
          <w:rFonts w:ascii="Arial" w:cs="Arial" w:eastAsia="Arial" w:hAnsi="Arial"/>
          <w:sz w:val="17"/>
          <w:szCs w:val="17"/>
          <w:color w:val="auto"/>
        </w:rPr>
      </w:pPr>
      <w:r>
        <w:rPr>
          <w:rFonts w:ascii="Arial" w:cs="Arial" w:eastAsia="Arial" w:hAnsi="Arial"/>
          <w:sz w:val="17"/>
          <w:szCs w:val="17"/>
          <w:color w:val="auto"/>
        </w:rPr>
        <w:t>Acquisitions, joint ventures and other strategic relationships could create demands on our management, operational resources and financial and internal control systems that we are unable to effectively address.</w:t>
      </w:r>
    </w:p>
    <w:p>
      <w:pPr>
        <w:spacing w:after="0" w:line="90" w:lineRule="exact"/>
        <w:rPr>
          <w:rFonts w:ascii="Arial" w:cs="Arial" w:eastAsia="Arial" w:hAnsi="Arial"/>
          <w:sz w:val="17"/>
          <w:szCs w:val="17"/>
          <w:color w:val="auto"/>
        </w:rPr>
      </w:pPr>
    </w:p>
    <w:p>
      <w:pPr>
        <w:ind w:left="820" w:hanging="326"/>
        <w:spacing w:after="0" w:line="284" w:lineRule="auto"/>
        <w:tabs>
          <w:tab w:leader="none" w:pos="842" w:val="left"/>
        </w:tabs>
        <w:numPr>
          <w:ilvl w:val="0"/>
          <w:numId w:val="25"/>
        </w:numPr>
        <w:rPr>
          <w:rFonts w:ascii="Arial" w:cs="Arial" w:eastAsia="Arial" w:hAnsi="Arial"/>
          <w:sz w:val="17"/>
          <w:szCs w:val="17"/>
          <w:color w:val="auto"/>
        </w:rPr>
      </w:pPr>
      <w:r>
        <w:rPr>
          <w:rFonts w:ascii="Arial" w:cs="Arial" w:eastAsia="Arial" w:hAnsi="Arial"/>
          <w:sz w:val="17"/>
          <w:szCs w:val="17"/>
          <w:color w:val="auto"/>
        </w:rPr>
        <w:t>We could experience difficulty in integrating personnel, operations and financial and other controls and systems and retaining key employees and customers.</w:t>
      </w:r>
    </w:p>
    <w:p>
      <w:pPr>
        <w:spacing w:after="0" w:line="104" w:lineRule="exact"/>
        <w:rPr>
          <w:rFonts w:ascii="Arial" w:cs="Arial" w:eastAsia="Arial" w:hAnsi="Arial"/>
          <w:sz w:val="17"/>
          <w:szCs w:val="17"/>
          <w:color w:val="auto"/>
        </w:rPr>
      </w:pPr>
    </w:p>
    <w:p>
      <w:pPr>
        <w:ind w:left="820" w:hanging="326"/>
        <w:spacing w:after="0" w:line="284" w:lineRule="auto"/>
        <w:tabs>
          <w:tab w:leader="none" w:pos="815" w:val="left"/>
        </w:tabs>
        <w:numPr>
          <w:ilvl w:val="0"/>
          <w:numId w:val="25"/>
        </w:numPr>
        <w:rPr>
          <w:rFonts w:ascii="Arial" w:cs="Arial" w:eastAsia="Arial" w:hAnsi="Arial"/>
          <w:sz w:val="17"/>
          <w:szCs w:val="17"/>
          <w:color w:val="auto"/>
        </w:rPr>
      </w:pPr>
      <w:r>
        <w:rPr>
          <w:rFonts w:ascii="Arial" w:cs="Arial" w:eastAsia="Arial" w:hAnsi="Arial"/>
          <w:sz w:val="17"/>
          <w:szCs w:val="17"/>
          <w:color w:val="auto"/>
        </w:rPr>
        <w:t>We may be unable to achieve cost savings or other synergies anticipated in connection with an acquisition, joint venture or other strategic relationship.</w:t>
      </w:r>
    </w:p>
    <w:p>
      <w:pPr>
        <w:spacing w:after="0" w:line="117" w:lineRule="exact"/>
        <w:rPr>
          <w:rFonts w:ascii="Arial" w:cs="Arial" w:eastAsia="Arial" w:hAnsi="Arial"/>
          <w:sz w:val="17"/>
          <w:szCs w:val="17"/>
          <w:color w:val="auto"/>
        </w:rPr>
      </w:pPr>
    </w:p>
    <w:p>
      <w:pPr>
        <w:jc w:val="both"/>
        <w:ind w:left="820" w:hanging="326"/>
        <w:spacing w:after="0" w:line="260" w:lineRule="auto"/>
        <w:tabs>
          <w:tab w:leader="none" w:pos="869" w:val="left"/>
        </w:tabs>
        <w:numPr>
          <w:ilvl w:val="0"/>
          <w:numId w:val="25"/>
        </w:numPr>
        <w:rPr>
          <w:rFonts w:ascii="Arial" w:cs="Arial" w:eastAsia="Arial" w:hAnsi="Arial"/>
          <w:sz w:val="17"/>
          <w:szCs w:val="17"/>
          <w:color w:val="auto"/>
        </w:rPr>
      </w:pPr>
      <w:r>
        <w:rPr>
          <w:rFonts w:ascii="Arial" w:cs="Arial" w:eastAsia="Arial" w:hAnsi="Arial"/>
          <w:sz w:val="17"/>
          <w:szCs w:val="17"/>
          <w:color w:val="auto"/>
        </w:rPr>
        <w:t>We may assume unknown liabilities, known contingent liabilities that become realized, known liabilities that prove greater than anticipated, internal control deficiencies or exposure to regulatory sanctions resulting from the acquired company’s or investee’s activities and the realization of any of these liabilities or deficiencies may increase our expenses, adversely affect our financial position and/or cause us to fail to meet our public financial reporting obligations.</w:t>
      </w:r>
    </w:p>
    <w:p>
      <w:pPr>
        <w:spacing w:after="0" w:line="124" w:lineRule="exact"/>
        <w:rPr>
          <w:rFonts w:ascii="Arial" w:cs="Arial" w:eastAsia="Arial" w:hAnsi="Arial"/>
          <w:sz w:val="17"/>
          <w:szCs w:val="17"/>
          <w:color w:val="auto"/>
        </w:rPr>
      </w:pPr>
    </w:p>
    <w:p>
      <w:pPr>
        <w:ind w:left="820" w:hanging="326"/>
        <w:spacing w:after="0" w:line="284" w:lineRule="auto"/>
        <w:tabs>
          <w:tab w:leader="none" w:pos="842" w:val="left"/>
        </w:tabs>
        <w:numPr>
          <w:ilvl w:val="0"/>
          <w:numId w:val="25"/>
        </w:numPr>
        <w:rPr>
          <w:rFonts w:ascii="Arial" w:cs="Arial" w:eastAsia="Arial" w:hAnsi="Arial"/>
          <w:sz w:val="17"/>
          <w:szCs w:val="17"/>
          <w:color w:val="auto"/>
        </w:rPr>
      </w:pPr>
      <w:r>
        <w:rPr>
          <w:rFonts w:ascii="Arial" w:cs="Arial" w:eastAsia="Arial" w:hAnsi="Arial"/>
          <w:sz w:val="17"/>
          <w:szCs w:val="17"/>
          <w:color w:val="auto"/>
        </w:rPr>
        <w:t>In connection with acquisitions and joint ventures, we often enter into post-closing financial arrangements such as purchase price adjustments, earn-out obligations and indemnification obligations, which may have unpredictable financial results.</w:t>
      </w:r>
    </w:p>
    <w:p>
      <w:pPr>
        <w:spacing w:after="0" w:line="117" w:lineRule="exact"/>
        <w:rPr>
          <w:rFonts w:ascii="Arial" w:cs="Arial" w:eastAsia="Arial" w:hAnsi="Arial"/>
          <w:sz w:val="17"/>
          <w:szCs w:val="17"/>
          <w:color w:val="auto"/>
        </w:rPr>
      </w:pPr>
    </w:p>
    <w:p>
      <w:pPr>
        <w:jc w:val="both"/>
        <w:ind w:left="820" w:hanging="326"/>
        <w:spacing w:after="0" w:line="275" w:lineRule="auto"/>
        <w:tabs>
          <w:tab w:leader="none" w:pos="815" w:val="left"/>
        </w:tabs>
        <w:numPr>
          <w:ilvl w:val="0"/>
          <w:numId w:val="25"/>
        </w:numPr>
        <w:rPr>
          <w:rFonts w:ascii="Arial" w:cs="Arial" w:eastAsia="Arial" w:hAnsi="Arial"/>
          <w:sz w:val="17"/>
          <w:szCs w:val="17"/>
          <w:color w:val="auto"/>
        </w:rPr>
      </w:pPr>
      <w:r>
        <w:rPr>
          <w:rFonts w:ascii="Arial" w:cs="Arial" w:eastAsia="Arial" w:hAnsi="Arial"/>
          <w:sz w:val="17"/>
          <w:szCs w:val="17"/>
          <w:color w:val="auto"/>
        </w:rPr>
        <w:t>As a result of our acquisitions, we have recorded significant goodwill and other assets on our consolidated balance sheet and if we are not able to realize the value of these assets, or if the fair value of our investments declines, we may be required to incur impairment charges.</w:t>
      </w:r>
    </w:p>
    <w:p>
      <w:pPr>
        <w:spacing w:after="0" w:line="321" w:lineRule="exact"/>
        <w:rPr>
          <w:rFonts w:ascii="Arial" w:cs="Arial" w:eastAsia="Arial" w:hAnsi="Arial"/>
          <w:sz w:val="17"/>
          <w:szCs w:val="17"/>
          <w:color w:val="auto"/>
        </w:rPr>
      </w:pPr>
    </w:p>
    <w:p>
      <w:pPr>
        <w:jc w:val="both"/>
        <w:ind w:left="820" w:hanging="326"/>
        <w:spacing w:after="0" w:line="266" w:lineRule="auto"/>
        <w:tabs>
          <w:tab w:leader="none" w:pos="815" w:val="left"/>
        </w:tabs>
        <w:numPr>
          <w:ilvl w:val="0"/>
          <w:numId w:val="25"/>
        </w:numPr>
        <w:rPr>
          <w:rFonts w:ascii="Arial" w:cs="Arial" w:eastAsia="Arial" w:hAnsi="Arial"/>
          <w:sz w:val="17"/>
          <w:szCs w:val="17"/>
          <w:color w:val="auto"/>
        </w:rPr>
      </w:pPr>
      <w:r>
        <w:rPr>
          <w:rFonts w:ascii="Arial" w:cs="Arial" w:eastAsia="Arial" w:hAnsi="Arial"/>
          <w:sz w:val="17"/>
          <w:szCs w:val="17"/>
          <w:color w:val="auto"/>
        </w:rPr>
        <w:t>We may have interests that diverge from or are adverse to those of our joint venture partners or other strategic partners, expose our IP and intellectual property rights to misappropriation or other licensing risks, and we may not be able to direct the management and operations of the joint venture or other strategic relationship in the manner we believe is most appropriate, exposing us to additional legal, financial, or technical risk.</w:t>
      </w:r>
    </w:p>
    <w:p>
      <w:pPr>
        <w:spacing w:after="0" w:line="118" w:lineRule="exact"/>
        <w:rPr>
          <w:rFonts w:ascii="Arial" w:cs="Arial" w:eastAsia="Arial" w:hAnsi="Arial"/>
          <w:sz w:val="17"/>
          <w:szCs w:val="17"/>
          <w:color w:val="auto"/>
        </w:rPr>
      </w:pPr>
    </w:p>
    <w:p>
      <w:pPr>
        <w:jc w:val="both"/>
        <w:ind w:left="820" w:hanging="326"/>
        <w:spacing w:after="0" w:line="266" w:lineRule="auto"/>
        <w:tabs>
          <w:tab w:leader="none" w:pos="842" w:val="left"/>
        </w:tabs>
        <w:numPr>
          <w:ilvl w:val="0"/>
          <w:numId w:val="25"/>
        </w:numPr>
        <w:rPr>
          <w:rFonts w:ascii="Arial" w:cs="Arial" w:eastAsia="Arial" w:hAnsi="Arial"/>
          <w:sz w:val="17"/>
          <w:szCs w:val="17"/>
          <w:color w:val="auto"/>
        </w:rPr>
      </w:pPr>
      <w:r>
        <w:rPr>
          <w:rFonts w:ascii="Arial" w:cs="Arial" w:eastAsia="Arial" w:hAnsi="Arial"/>
          <w:sz w:val="17"/>
          <w:szCs w:val="17"/>
          <w:color w:val="auto"/>
        </w:rPr>
        <w:t>Investing in or making loans to early-stage companies often entails a high degree of risk, and we may not achieve the strategic, technological, financial or commercial benefits we anticipate; we may lose our investment, or fail to recoup our loan; or our investment may be illiquid for a greater-than-expected period of time.</w:t>
      </w:r>
    </w:p>
    <w:p>
      <w:pPr>
        <w:spacing w:after="0" w:line="13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Furthermore, potential acquisitions, investments, divestitures, joint ventures, expansions or divestitures, and other strategic transactions, whether or not consummated, may divert our management’s attention and require considerable cash outlays at the expense of our existing operations. This, and any of the risks set forth above, could harm our business.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ability to raise capital in the future may be limited and could prevent us from executing our growth strategy.</w:t>
      </w:r>
    </w:p>
    <w:p>
      <w:pPr>
        <w:spacing w:after="0" w:line="169"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Our ability to operate and expand our business depends on the availability of adequate capital, which in turn depends on cash flow generated by our business and equity or other applicable financing arrangements. We believe that our existing cash and cash equivalents, short-term investments and cash provided by sales of our products will satisfy our anticipated cash requirements for at least the next 12 months. However, we have based this estimate on our current operating plans and expectations, which are subject to change, and cannot assure you that that our existing resources will be sufficient to meet our future liquidity needs. We may require additional capital to respond to business opportunities, challenges, acquisitions or other strategic transactions and/or unforeseen circumstances. The timing and amount of our working capital and capital expenditure requirements may vary significantly depending on numerous factors, including:</w:t>
      </w:r>
    </w:p>
    <w:p>
      <w:pPr>
        <w:spacing w:after="0" w:line="141" w:lineRule="exact"/>
        <w:rPr>
          <w:sz w:val="20"/>
          <w:szCs w:val="20"/>
          <w:color w:val="auto"/>
        </w:rPr>
      </w:pPr>
    </w:p>
    <w:p>
      <w:pPr>
        <w:ind w:left="820" w:hanging="326"/>
        <w:spacing w:after="0"/>
        <w:tabs>
          <w:tab w:leader="none" w:pos="8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market acceptance of our semiconductor IP and other solutions, and our SIA solutions;</w:t>
      </w:r>
    </w:p>
    <w:p>
      <w:pPr>
        <w:spacing w:after="0" w:line="169" w:lineRule="exact"/>
        <w:rPr>
          <w:rFonts w:ascii="Arial" w:cs="Arial" w:eastAsia="Arial" w:hAnsi="Arial"/>
          <w:sz w:val="17"/>
          <w:szCs w:val="17"/>
          <w:color w:val="auto"/>
        </w:rPr>
      </w:pPr>
    </w:p>
    <w:p>
      <w:pPr>
        <w:ind w:left="820" w:hanging="326"/>
        <w:spacing w:after="0"/>
        <w:tabs>
          <w:tab w:leader="none" w:pos="8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need to adapt to changing technologies and technical requirements;</w:t>
      </w:r>
    </w:p>
    <w:p>
      <w:pPr>
        <w:spacing w:after="0" w:line="169" w:lineRule="exact"/>
        <w:rPr>
          <w:rFonts w:ascii="Arial" w:cs="Arial" w:eastAsia="Arial" w:hAnsi="Arial"/>
          <w:sz w:val="17"/>
          <w:szCs w:val="17"/>
          <w:color w:val="auto"/>
        </w:rPr>
      </w:pPr>
    </w:p>
    <w:p>
      <w:pPr>
        <w:ind w:left="820" w:hanging="326"/>
        <w:spacing w:after="0"/>
        <w:tabs>
          <w:tab w:leader="none" w:pos="8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existence of opportunities for expansion; and</w:t>
      </w:r>
    </w:p>
    <w:p>
      <w:pPr>
        <w:spacing w:after="0" w:line="169" w:lineRule="exact"/>
        <w:rPr>
          <w:rFonts w:ascii="Arial" w:cs="Arial" w:eastAsia="Arial" w:hAnsi="Arial"/>
          <w:sz w:val="17"/>
          <w:szCs w:val="17"/>
          <w:color w:val="auto"/>
        </w:rPr>
      </w:pPr>
    </w:p>
    <w:p>
      <w:pPr>
        <w:ind w:left="820" w:hanging="326"/>
        <w:spacing w:after="0"/>
        <w:tabs>
          <w:tab w:leader="none" w:pos="8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access to and availability of sufficient management, technical, marketing and financial personnel.</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49" w:name="page50"/>
    <w:bookmarkEnd w:id="49"/>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If our capital resources are insufficient to satisfy our liquidity requirements, we may seek to sell additional equity securities or debt securities or obtain additional debt financing. The sale of additional equity securities or convertible debt securities would result in additional dilution to our stockholders. Additional debt would result in increased expenses and could result in covenants that would restrict our operations and our ability to incur additional debt or engage in other capital-raising activities. We have not made arrangements to obtain additional financing and there is no assurance that financing, if required, will be available in amounts or on terms acceptable to us, if at all. If we are unable to obtain adequate financing or financing on terms satisfactory to us, when we require it, our ability to continue to grow and support our business and respond to business opportunities and challenges could be significantly limited.</w:t>
      </w:r>
    </w:p>
    <w:p>
      <w:pPr>
        <w:spacing w:after="0" w:line="128"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i w:val="1"/>
          <w:iCs w:val="1"/>
          <w:color w:val="auto"/>
        </w:rPr>
        <w:t>We may not be able to effectively manage our growth, and we may need to incur significant expenditures to address the additional operational and control requirements of our growth, either of which could harm our business and operating results.</w:t>
      </w:r>
    </w:p>
    <w:p>
      <w:pPr>
        <w:spacing w:after="0" w:line="71"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In order to succeed in executing our business plan, we will need to manage our growth effectively as we make significant investments in research and development and sales and marketing and expand our operations and infrastructure both domestically and internationally. In addition, in connection with operating as a public company, we will incur additional significant legal, accounting and other expenses that we did not incur as a private company. If our revenue does not increase to offset these increases in our expenses, we may not achieve or maintain profitability in future periods.</w:t>
      </w:r>
    </w:p>
    <w:p>
      <w:pPr>
        <w:spacing w:after="0" w:line="141"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To continue to grow and to meet our ongoing obligations as a public company, we must continue to expand our operational, engineering, accounting and financial systems, procedures, controls and other internal management systems. This may require substantial managerial and financial resources, and our efforts in this regard may not be successful. Our current systems, procedures and controls may not be adequate to support our future operations and we may be unable to meet reporting obligation deadlines under the Exchange Act. Unless our growth results in an increase in our revenue that is proportionate to the increase in our costs associated with this growth, our operating margins will be adversely affected. If we fail to adequately manage our growth, improve our operational, financial and management information systems, or effectively motivate and manage our new and future employees, it could harm our business.</w:t>
      </w:r>
    </w:p>
    <w:p>
      <w:pPr>
        <w:spacing w:after="0" w:line="12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i w:val="1"/>
          <w:iCs w:val="1"/>
          <w:color w:val="auto"/>
        </w:rPr>
        <w:t>We depend on key and highly skilled personnel to operate our business, and if we are unable to retain our current personnel and hire additional personnel, our ability to develop and market our products could be harmed, which in turn could adversely affect our financial results.</w:t>
      </w:r>
    </w:p>
    <w:p>
      <w:pPr>
        <w:spacing w:after="0" w:line="11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Our success depends to a large extent upon the continued services of our executive officers, managers and skilled personnel, including our development engineers. In particular, we are highly dependent on the services of K. Charles Janac, our President, Chief Executive Officer and Chairman, who has been critical in the development and growth of our business and strategic direction, and we do not have key person insurance. From time to time, there may be changes in our executive management team or other key personnel, which could disrupt our business. Generally, our employees are not bound by obligations that require them to continue to work for us for any specified period and, therefore, they could terminate their employment with us at any time. Moreover, our employees are generally not subject to non-competition agreements. Given these limitations, we may not be able to continue to attract, retain and motivate qualified personnel necessary for our business.</w:t>
      </w:r>
    </w:p>
    <w:p>
      <w:pPr>
        <w:spacing w:after="0" w:line="128"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In addition, we recruit from a limited pool of engineers with expertise in SoC design and the competition for such personnel can be intense. The loss of one or more of our executive officers or other key personnel, the loss of access to certain jurisdictions in the event of geopolitical conflict or changes in regulatory frameworks, or our inability to locate suitable or qualified replacements could be significantly detrimental to our product development efforts and could harm our business. We may experience disruptions in our research and development efforts resulting from the inability to hire qualified engineers globally including from the Middle East due to the Israel conflict and escalating conflicts and tensions with Iran. In addition, we must attract and retain highly qualified personnel, including certain foreign nationals who are not U.S. citizens or permanent residents, many of whom are highly skilled and constitute an important part of our U.S. workforce, particularly in the areas of engineering and product development. Our ability to hire and retain these employees and their ability to remain and work in the U.S. are impacted by laws and regulations, as well as by procedures and enforcement practices of various government agencies. Changes in immigration laws, regulations or procedures may adversely affect our ability to hire or retain such workers, increase our operating expenses and negatively impact our ability to deliver our products and services, any of which would harm our business.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50" w:name="page51"/>
    <w:bookmarkEnd w:id="50"/>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Volatility in, or lack of performance of, our stock price may also affect our ability to attract and retain key personnel. Employees may be more likely to terminate their employment with us if the shares they own or the shares underlying their vested options or restricted stock units have significantly depreciated or otherwise expressed volatility in value relative to the original purchase prices of the shares or the exercise prices of the options, or, conversely, if the exercise prices of the options that they hold are significantly above the trading price of our common stock. If we are unable to retain our employees, our business could be harmed.</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management team has limited experience managing a public company.</w:t>
      </w:r>
    </w:p>
    <w:p>
      <w:pPr>
        <w:spacing w:after="0" w:line="169"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Many members of our management team have limited experience managing a publicly-traded company, interacting with public company investors and complying with the increasingly complex laws pertaining to public companies. Our management team may not successfully or efficiently manage us as a public company subject to significant regulatory oversight and reporting obligations under the federal securities laws and the continuous scrutiny of securities analysts and investors. These new obligations and constituents require significant attention from our senior management and could divert their attention away from the day-to-day management of our business, which could harm our business.</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Catastrophic events may disrupt our business.</w:t>
      </w:r>
    </w:p>
    <w:p>
      <w:pPr>
        <w:spacing w:after="0" w:line="16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Our corporate headquarters are located in an area that is an active earthquake zone. In the event of a major earthquake, hurricane or other forms of catastrophic event such as fire, power loss, telecommunications failure, cyber-attack, war, terrorist attack or disease outbreak, we may be unable to continue our operations and may endure system interruptions, reputational harm, delays in our product development, breaches of data security, or loss of critical data, any of which could have an adverse effect on our future results of operations.</w:t>
      </w:r>
    </w:p>
    <w:p>
      <w:pPr>
        <w:spacing w:after="0" w:line="119"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If our counterparties are unable to fulfill their financial and other obligations to us, our business and results of operations may be affected adversely.</w:t>
      </w:r>
    </w:p>
    <w:p>
      <w:pPr>
        <w:spacing w:after="0" w:line="85"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Any downturn in economic conditions, geopolitical events or other business factors could threaten the financial health of our counterparties, including companies with which we have entered into licensing agreements, and their ability to fulfill their financial and other obligations to us. Such financial pressures on our counterparties may eventually lead to bankruptcy proceedings or other attempts to avoid financial obligations that are due to us. Because bankruptcy courts have the power to modify or cancel contracts of the petitioner which remain subject to future performance and alter or discharge payment obligations related to pre-petition debts, we may receive less than all of the payments that we would otherwise be entitled to receive from any such counterparty as a result of bankruptcy proceedings.</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Intellectual Property, Information Technology and Data Security and Privacy</w:t>
      </w:r>
    </w:p>
    <w:p>
      <w:pPr>
        <w:spacing w:after="0" w:line="169" w:lineRule="exact"/>
        <w:rPr>
          <w:sz w:val="20"/>
          <w:szCs w:val="20"/>
          <w:color w:val="auto"/>
        </w:rPr>
      </w:pPr>
    </w:p>
    <w:p>
      <w:pPr>
        <w:jc w:val="both"/>
        <w:ind w:right="20"/>
        <w:spacing w:after="0" w:line="296" w:lineRule="auto"/>
        <w:rPr>
          <w:sz w:val="20"/>
          <w:szCs w:val="20"/>
          <w:color w:val="auto"/>
        </w:rPr>
      </w:pPr>
      <w:r>
        <w:rPr>
          <w:rFonts w:ascii="Arial" w:cs="Arial" w:eastAsia="Arial" w:hAnsi="Arial"/>
          <w:sz w:val="17"/>
          <w:szCs w:val="17"/>
          <w:b w:val="1"/>
          <w:bCs w:val="1"/>
          <w:i w:val="1"/>
          <w:iCs w:val="1"/>
          <w:color w:val="auto"/>
        </w:rPr>
        <w:t>If we are unable to protect our proprietary technology and inventions through patents and other intellectual property rights, our ability to compete successfully and our financial results could be adversely impacted.</w:t>
      </w:r>
    </w:p>
    <w:p>
      <w:pPr>
        <w:spacing w:after="0" w:line="85"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We seek to protect our proprietary technology and innovations, particularly those relating to the design of our products, through patents, trade secrets and other intellectual property rights. As of September 30, 2024, we had 190 total allowed or issued patents, pending patent applications and non-expired provisional patent applications worldwide. Of these, we had 90 allowed or issued patents, 77 are U.S. allowed or issued patents, nine are allowed or issued China patents, two are South Korea issued patents, one is a U.K. issued patent, and one is a Japan issued patent. The 90 allowed or issued patents generally expire between July 2035 and March 2042. As of September 30, 2024, we had 100 pending non-provisional and provisional patent application filings, including 31 in the United States, 27 in Europe, 21 in China, 12 in South Korea and nine in Japan. Maintenance of patent portfolios, particularly outside of the United States, is expensive, and the process of seeking patent protection is lengthy and costly. While we intend to maintain our current portfolio of patents and to continue to prosecute our currently pending patent applications and file future patent applications when appropriate, the value of these actions may not exceed their expense. Existing patents and those that may be issued from any pending or future applications may be subject to challenges, invalidation or circumvention, and the rights granted under our patents may not provide us with meaningful protection or any commercial advantage. In addition, the protection afforded under the patent laws of one country may not be the same as that in other countries. This means, for example, that our right to exclusively commercialize a product in those countries where we have patent rights for that product can vary on a country-by-country basis. We also may not have the same scope of patent protection in every country where we do business.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51" w:name="page52"/>
    <w:bookmarkEnd w:id="51"/>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Additionally, it is difficult to predict the impact of generative artificial intelligence (AI) on our intellectual property rights risk portfolio and costly to monitor the use of our intellectual property. It may be the case that our intellectual property is already being infringed and infringement may occur in the future without our knowledge. Litigation may be necessary to enforce our intellectual property rights. While it is our policy to protect and defend our rights to our IP, we cannot predict whether steps taken by us to enforce and protect our intellectual property rights will be adequate to prevent infringement, misappropriation, or other violations of our intellectual property rights. Any inability to meaningfully enforce our intellectual property rights could harm our ability to compete. Moreover, in any lawsuit we bring to enforce our intellectual property rights, a court may refuse to stop the other party from using the technology at issue on grounds that our intellectual property rights do not cover the technology in question. Further, in such proceedings, the defendant could counterclaim that our intellectual property is invalid or unenforceable and the court may agree, in which case we could lose valuable intellectual property rights. Any litigation of this nature, regardless of outcome or merit, could materially harm our business and hurt our competitive advantage.</w:t>
      </w:r>
    </w:p>
    <w:p>
      <w:pPr>
        <w:spacing w:after="0" w:line="129"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If we are unable to protect our proprietary technology and inventions through trade secrets, our competitive position and financial results could be adversely affected.</w:t>
      </w:r>
    </w:p>
    <w:p>
      <w:pPr>
        <w:spacing w:after="0" w:line="85"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As noted above, we seek to protect our proprietary technology and innovations, particularly those relating to our products, as patents, trade secrets and other forms of intellectual property. Additionally, while software and other forms of our proprietary works may be protected under copyright law, in some cases we have chosen not to register any copyrights in these works, and instead, primarily rely on protecting our software as a trade secret. In the United States, trade secrets are protected under the federal Economic Espionage Act of 1996 and the Defend Trade Secrets Act of 2016 (the Defend Trade Secrets Act), and under state law, with many states having adopted the Uniform Trade Secrets Act (the UTSA) and several of which that have not. In addition to these federal and state laws inside the United States, under the World Trade Organization’s Trade Related-Aspects of IP Rights Agreement (the TRIPS Agreement), trade secrets are to be protected by World Trade Organization member states as “confidential information.” Under the UTSA and other trade secret laws, protection of our proprietary information as trade secrets requires us to take steps to prevent unauthorized disclosure to third parties or misappropriation by third parties. In addition, the full benefit of the remedies available under the Defend Trade Secrets Act requires specific language and notice requirements present in the relevant agreements, which may not be present in all of our agreements. While we require our officers, employees, consultants, distributors, and existing and prospective customers and collaborators to sign confidentiality agreements and take various security measures to protect unauthorized disclosure and misappropriation of our trade secrets, we cannot assure or predict that these measures will be sufficient. The semiconductor industry is generally subject to high turnover of employees, so the risk of trade secret misappropriation may be amplified. If any of our trade secrets are subject to unauthorized disclosure or are otherwise misappropriated by third parties, our competitive position may be materially and adversely affected.</w:t>
      </w:r>
    </w:p>
    <w:p>
      <w:pPr>
        <w:spacing w:after="0" w:line="137"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Our ability to compete successfully depends in part on our ability to commercialize our IP solutions without infringing the patent, trade secret or other intellectual property rights of others.</w:t>
      </w:r>
    </w:p>
    <w:p>
      <w:pPr>
        <w:spacing w:after="0" w:line="8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To the same extent that we seek to protect our technology and inventions with patents, trade secrets and other intellectual property rights, our competitors and other third parties do the same for their technology and inventions. We have no means of knowing the content of patent applications filed by third parties until they are published. It is also difficult and costly to continuously monitor the intellectual property portfolios of our competitors to ensure our technologies do not violate the intellectual property rights of any third parties.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52" w:name="page53"/>
    <w:bookmarkEnd w:id="52"/>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both"/>
        <w:ind w:right="20"/>
        <w:spacing w:after="0" w:line="296" w:lineRule="auto"/>
        <w:rPr>
          <w:sz w:val="20"/>
          <w:szCs w:val="20"/>
          <w:color w:val="auto"/>
        </w:rPr>
      </w:pPr>
      <w:r>
        <w:rPr>
          <w:rFonts w:ascii="Arial" w:cs="Arial" w:eastAsia="Arial" w:hAnsi="Arial"/>
          <w:sz w:val="17"/>
          <w:szCs w:val="17"/>
          <w:b w:val="1"/>
          <w:bCs w:val="1"/>
          <w:i w:val="1"/>
          <w:iCs w:val="1"/>
          <w:color w:val="auto"/>
        </w:rPr>
        <w:t>Claims by other companies that we infringe their intellectual property rights or that patents on which we rely are invalid could adversely affect our business.</w:t>
      </w:r>
    </w:p>
    <w:p>
      <w:pPr>
        <w:spacing w:after="0" w:line="85"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The semiconductor industry is rife with patent assertion entities and is characterized by frequent litigation regarding patent and other intellectual property rights. From time to time, we receive communications from or are sued by third parties that allege that our products or technologies infringe their patent or other intellectual property rights. As a public company with an increased profile and visibility, we may receive similar communications in the future. Lawsuits or other proceedings resulting from allegations of infringement could subject us to significant liability for damages, invalidate our proprietary rights and harm our business. We may not prevail in lawsuits alleging patent infringement given the complex technical issues and inherent uncertainties in intellectual property litigation. If any of our products, technologies or services from which we derive or expect to derive a substantial portion of our revenues, were found to infringe on another company’s intellectual property rights, we could be subject to damages, an injunction and/or other equitable relief that would force the removal of such product from the market or we could be required to redesign such product, or take a license to the third-party technology, which could be costly. We could also be ordered to pay damages or other compensation, including punitive damages and attorneys’ fees to such other company. A negative outcome in any such litigation could also severely disrupt the sales of our marketed products to our customers or their customers, which in turn could harm our relationships with our customers, our market share and our product revenues. Even if we are ultimately successful in defending any intellectual property litigation, such litigation is expensive and time consuming, will divert our management’s attention from our business and may harm our reputation.</w:t>
      </w:r>
    </w:p>
    <w:p>
      <w:pPr>
        <w:spacing w:after="0" w:line="135" w:lineRule="exact"/>
        <w:rPr>
          <w:sz w:val="20"/>
          <w:szCs w:val="20"/>
          <w:color w:val="auto"/>
        </w:rPr>
      </w:pPr>
    </w:p>
    <w:p>
      <w:pPr>
        <w:jc w:val="both"/>
        <w:ind w:right="20"/>
        <w:spacing w:after="0" w:line="284" w:lineRule="auto"/>
        <w:rPr>
          <w:sz w:val="20"/>
          <w:szCs w:val="20"/>
          <w:color w:val="auto"/>
        </w:rPr>
      </w:pPr>
      <w:r>
        <w:rPr>
          <w:rFonts w:ascii="Arial" w:cs="Arial" w:eastAsia="Arial" w:hAnsi="Arial"/>
          <w:sz w:val="17"/>
          <w:szCs w:val="17"/>
          <w:color w:val="auto"/>
        </w:rPr>
        <w:t>In the event that any third-party succeeds in asserting a valid claim against us or any of our customers, we could be forced to do one or more of the following:</w:t>
      </w:r>
    </w:p>
    <w:p>
      <w:pPr>
        <w:spacing w:after="0" w:line="104" w:lineRule="exact"/>
        <w:rPr>
          <w:sz w:val="20"/>
          <w:szCs w:val="20"/>
          <w:color w:val="auto"/>
        </w:rPr>
      </w:pPr>
    </w:p>
    <w:p>
      <w:pPr>
        <w:ind w:left="820" w:hanging="326"/>
        <w:spacing w:after="0" w:line="284" w:lineRule="auto"/>
        <w:tabs>
          <w:tab w:leader="none" w:pos="815" w:val="left"/>
        </w:tabs>
        <w:numPr>
          <w:ilvl w:val="0"/>
          <w:numId w:val="27"/>
        </w:numPr>
        <w:rPr>
          <w:rFonts w:ascii="Arial" w:cs="Arial" w:eastAsia="Arial" w:hAnsi="Arial"/>
          <w:sz w:val="17"/>
          <w:szCs w:val="17"/>
          <w:i w:val="1"/>
          <w:iCs w:val="1"/>
          <w:color w:val="auto"/>
        </w:rPr>
      </w:pPr>
      <w:r>
        <w:rPr>
          <w:rFonts w:ascii="Arial" w:cs="Arial" w:eastAsia="Arial" w:hAnsi="Arial"/>
          <w:sz w:val="17"/>
          <w:szCs w:val="17"/>
          <w:color w:val="auto"/>
        </w:rPr>
        <w:t>discontinue selling access to certain technologies that contain the allegedly infringing intellectual property which would result in a decline in our revenue and could result in breach of contract claim by our affected customers and damage to our reputation;</w:t>
      </w:r>
    </w:p>
    <w:p>
      <w:pPr>
        <w:spacing w:after="0" w:line="117" w:lineRule="exact"/>
        <w:rPr>
          <w:rFonts w:ascii="Arial" w:cs="Arial" w:eastAsia="Arial" w:hAnsi="Arial"/>
          <w:sz w:val="17"/>
          <w:szCs w:val="17"/>
          <w:i w:val="1"/>
          <w:iCs w:val="1"/>
          <w:color w:val="auto"/>
        </w:rPr>
      </w:pPr>
    </w:p>
    <w:p>
      <w:pPr>
        <w:ind w:left="820" w:hanging="326"/>
        <w:spacing w:after="0"/>
        <w:tabs>
          <w:tab w:leader="none" w:pos="820" w:val="left"/>
        </w:tabs>
        <w:numPr>
          <w:ilvl w:val="0"/>
          <w:numId w:val="27"/>
        </w:numPr>
        <w:rPr>
          <w:rFonts w:ascii="Arial" w:cs="Arial" w:eastAsia="Arial" w:hAnsi="Arial"/>
          <w:sz w:val="17"/>
          <w:szCs w:val="17"/>
          <w:i w:val="1"/>
          <w:iCs w:val="1"/>
          <w:color w:val="auto"/>
        </w:rPr>
      </w:pPr>
      <w:r>
        <w:rPr>
          <w:rFonts w:ascii="Arial" w:cs="Arial" w:eastAsia="Arial" w:hAnsi="Arial"/>
          <w:sz w:val="17"/>
          <w:szCs w:val="17"/>
          <w:color w:val="auto"/>
        </w:rPr>
        <w:t>stop receiving payment from a customer that can no longer sell the end-product if it contains allegedly infringing intellectual property;</w:t>
      </w:r>
    </w:p>
    <w:p>
      <w:pPr>
        <w:spacing w:after="0" w:line="169" w:lineRule="exact"/>
        <w:rPr>
          <w:rFonts w:ascii="Arial" w:cs="Arial" w:eastAsia="Arial" w:hAnsi="Arial"/>
          <w:sz w:val="17"/>
          <w:szCs w:val="17"/>
          <w:i w:val="1"/>
          <w:iCs w:val="1"/>
          <w:color w:val="auto"/>
        </w:rPr>
      </w:pPr>
    </w:p>
    <w:p>
      <w:pPr>
        <w:ind w:left="820" w:hanging="326"/>
        <w:spacing w:after="0"/>
        <w:tabs>
          <w:tab w:leader="none" w:pos="8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seek to develop non-infringing technologies, which may not be feasible;</w:t>
      </w:r>
    </w:p>
    <w:p>
      <w:pPr>
        <w:spacing w:after="0" w:line="169" w:lineRule="exact"/>
        <w:rPr>
          <w:rFonts w:ascii="Arial" w:cs="Arial" w:eastAsia="Arial" w:hAnsi="Arial"/>
          <w:sz w:val="17"/>
          <w:szCs w:val="17"/>
          <w:color w:val="auto"/>
        </w:rPr>
      </w:pPr>
    </w:p>
    <w:p>
      <w:pPr>
        <w:ind w:left="820" w:hanging="326"/>
        <w:spacing w:after="0"/>
        <w:tabs>
          <w:tab w:leader="none" w:pos="8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incur significant legal expenses;</w:t>
      </w:r>
    </w:p>
    <w:p>
      <w:pPr>
        <w:spacing w:after="0" w:line="169" w:lineRule="exact"/>
        <w:rPr>
          <w:rFonts w:ascii="Arial" w:cs="Arial" w:eastAsia="Arial" w:hAnsi="Arial"/>
          <w:sz w:val="17"/>
          <w:szCs w:val="17"/>
          <w:color w:val="auto"/>
        </w:rPr>
      </w:pPr>
    </w:p>
    <w:p>
      <w:pPr>
        <w:ind w:left="820" w:hanging="326"/>
        <w:spacing w:after="0"/>
        <w:tabs>
          <w:tab w:leader="none" w:pos="820" w:val="left"/>
        </w:tabs>
        <w:numPr>
          <w:ilvl w:val="0"/>
          <w:numId w:val="27"/>
        </w:numPr>
        <w:rPr>
          <w:rFonts w:ascii="Arial" w:cs="Arial" w:eastAsia="Arial" w:hAnsi="Arial"/>
          <w:sz w:val="17"/>
          <w:szCs w:val="17"/>
          <w:i w:val="1"/>
          <w:iCs w:val="1"/>
          <w:color w:val="auto"/>
        </w:rPr>
      </w:pPr>
      <w:r>
        <w:rPr>
          <w:rFonts w:ascii="Arial" w:cs="Arial" w:eastAsia="Arial" w:hAnsi="Arial"/>
          <w:sz w:val="17"/>
          <w:szCs w:val="17"/>
          <w:color w:val="auto"/>
        </w:rPr>
        <w:t>pay substantial monetary damages to the party whose intellectual property rights we may be found to be infringing; and/or</w:t>
      </w:r>
    </w:p>
    <w:p>
      <w:pPr>
        <w:spacing w:after="0" w:line="169" w:lineRule="exact"/>
        <w:rPr>
          <w:rFonts w:ascii="Arial" w:cs="Arial" w:eastAsia="Arial" w:hAnsi="Arial"/>
          <w:sz w:val="17"/>
          <w:szCs w:val="17"/>
          <w:i w:val="1"/>
          <w:iCs w:val="1"/>
          <w:color w:val="auto"/>
        </w:rPr>
      </w:pPr>
    </w:p>
    <w:p>
      <w:pPr>
        <w:ind w:left="820" w:hanging="326"/>
        <w:spacing w:after="0" w:line="301" w:lineRule="auto"/>
        <w:tabs>
          <w:tab w:leader="none" w:pos="815" w:val="left"/>
        </w:tabs>
        <w:numPr>
          <w:ilvl w:val="0"/>
          <w:numId w:val="27"/>
        </w:numPr>
        <w:rPr>
          <w:rFonts w:ascii="Arial" w:cs="Arial" w:eastAsia="Arial" w:hAnsi="Arial"/>
          <w:sz w:val="17"/>
          <w:szCs w:val="17"/>
          <w:color w:val="auto"/>
        </w:rPr>
      </w:pPr>
      <w:r>
        <w:rPr>
          <w:rFonts w:ascii="Arial" w:cs="Arial" w:eastAsia="Arial" w:hAnsi="Arial"/>
          <w:sz w:val="17"/>
          <w:szCs w:val="17"/>
          <w:color w:val="auto"/>
        </w:rPr>
        <w:t>we or our customers could be required to seek licenses to the infringed technology that may not be available on commercially reasonable terms, if at all.</w:t>
      </w:r>
    </w:p>
    <w:p>
      <w:pPr>
        <w:spacing w:after="0" w:line="9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If a third-party causes us to discontinue the use of any of our technologies, we could be required to design around those technologies. This could be costly and time consuming and could have an adverse impact on our financial results. Any significant impairments of our intellectual property rights from any litigation we face could harm our business and our ability to compete in our industry.</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53" w:name="page54"/>
    <w:bookmarkEnd w:id="53"/>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both"/>
        <w:ind w:right="20"/>
        <w:spacing w:after="0" w:line="296" w:lineRule="auto"/>
        <w:rPr>
          <w:sz w:val="20"/>
          <w:szCs w:val="20"/>
          <w:color w:val="auto"/>
        </w:rPr>
      </w:pPr>
      <w:r>
        <w:rPr>
          <w:rFonts w:ascii="Arial" w:cs="Arial" w:eastAsia="Arial" w:hAnsi="Arial"/>
          <w:sz w:val="17"/>
          <w:szCs w:val="17"/>
          <w:b w:val="1"/>
          <w:bCs w:val="1"/>
          <w:i w:val="1"/>
          <w:iCs w:val="1"/>
          <w:color w:val="auto"/>
        </w:rPr>
        <w:t>We may not be able to continue to obtain licenses to third-party software and intellectual property on reasonable terms or at all, which may disrupt our business and harm our financial results.</w:t>
      </w:r>
    </w:p>
    <w:p>
      <w:pPr>
        <w:spacing w:after="0" w:line="85"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We license third-party software and other intellectual property for use in product research and development and, in several instances, for inclusion in our products such as our license with Qualcomm for FlexNoC. We also license third-party software, including the software of our competitors, to test the interoperability of our products with other industry products and in connection with our professional services. Our third-party licenses typically limit our use of IP to specific uses and for specific time periods, and include other contractual obligations with which we must comply. Moreover, certain intellectual property rights may be licensed to us on a non-exclusive basis, and accordingly, the owners of such intellectual property rights are free to license such rights to third parties, including our competitors, on terms that may be superior to those offered to us, which could place us at a competitive disadvantage. These licenses may need to be renegotiated or renewed from time to time, or we may need to obtain new licenses in the future. For example, we may be required to renegotiate or seek a waiver to or consent under our license with Qualcomm with respect to our FlexNoC product in the event of certain changes of control (as defined in our agreements with Qualcomm) and there can be no guarantee we would be successful in such endeavor. Such provision could prevent us from pursuing a robust sales process in the event of a sale of the company if Qualcomm refuses to provide consent or waive such change in control provision. In such an event, a change in control could cause us to lose our license with Qualcomm and our valuation could be adversely affected. See “Business—Material Agreement—Qualcomm Agreements” in our Annual Report on Form 10-K for the year ended December 31, 2023, for additional information. Third parties may stop adequately supporting or maintaining their technology, or they or their technology may be acquired by our competitors. If we are unable to obtain licenses to these third-party software and intellectual property rights on reasonable terms or at all, we may not be able to sell or support the affected products, our customers’ use of the products may be interrupted, and/or our product development processes and professional services offerings may be disrupted, which could in turn harm our financial results, our customers, and our reputation. Further, if we or our third-party licensors were to breach any material term of a license, such a breach could, among other things, prompt costly litigation, result in the license being terminated or result in fines and other damages. If any of the following were to occur, it could harm our business and our reputation.</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We also cannot be certain that our licensors are not infringing the intellectual property rights of others or that our licensors have sufficient rights to the intellectual property to grant us the applicable licenses. Although we seek to mitigate this risk contractually, we may not be able to sufficiently limit our potential liability. If we are unable to obtain or maintain rights to any of this intellectual property because of intellectual property rights infringement claims brought by third parties against our licensors or against us, our ability to develop, maintain and support our products and technology incorporating that intellectual property could be severely limited and our business could be harmed. Furthermore, regardless of outcome, infringement claims may require us to use significant resources and may divert management’s attention.</w:t>
      </w:r>
    </w:p>
    <w:p>
      <w:pPr>
        <w:spacing w:after="0" w:line="125"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Some of our products and technology, including those we acquire, may include software licensed under open-source licenses. Use and distribution of open-source software, where applicable, may entail greater risks than use of third-party commercial software, as open-source licensors generally do not provide support, warranties, indemnification, or other contractual protections regarding infringement claims or the quality of the code. To the extent that our technology may in the future depend upon the successful operation of open-source software, any undetected errors or defects in this open-source software could prevent the deployment or impair the functionality of such technologies and injure our reputation.</w:t>
      </w:r>
    </w:p>
    <w:p>
      <w:pPr>
        <w:spacing w:after="0" w:line="125"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Moreover, some open-source software licenses require users who distribute that open-source software as part of their proprietary software to publicly disclose all or part of the source code to such software and make available any derivative works or modifications of the open-source code on unfavorable terms or at no cost. If we were to combine our proprietary software with such open-source software in a certain manner, we could, under certain circumstances, be required to comply with such license terms. Although we have tools and processes to monitor and restrict our use of open-source software, the risks associated with open-source usage cannot be eliminated and may, if not properly addressed, result in unanticipated obligations that could harm our business.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54" w:name="page55"/>
    <w:bookmarkEnd w:id="54"/>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Any dispute regarding our intellectual property may require us to indemnify certain customers, the cost of which could severely harm our business.</w:t>
      </w:r>
    </w:p>
    <w:p>
      <w:pPr>
        <w:spacing w:after="0" w:line="85"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In any potential dispute involving our patents or other intellectual property, our customers could also become the target of litigation. Some of our agreements, including those with key customers like Texas Instruments Incorporated and Samsung Electronics Co., Ltd., provide for indemnification, and some require us to provide technical support and information to a customer that is involved in litigation involving use of our technology. In addition, we may be exposed to indemnification obligations, risks and liabilities that were unknown at the time that we acquired assets or businesses for our operations. Any of these indemnification and support obligations could result in substantial and material expenses. In addition to the time and expense required for us to indemnify or supply such support to our customers, a customer’s development, marketing and sales of licensed semiconductors, mobile communications and data security technologies could be severely disrupted or shut down as a result of litigation, which in turn could severely harm our business as a result of lower or no royalty payments.</w:t>
      </w:r>
    </w:p>
    <w:p>
      <w:pPr>
        <w:spacing w:after="0" w:line="128" w:lineRule="exact"/>
        <w:rPr>
          <w:sz w:val="20"/>
          <w:szCs w:val="20"/>
          <w:color w:val="auto"/>
        </w:rPr>
      </w:pPr>
    </w:p>
    <w:p>
      <w:pPr>
        <w:jc w:val="both"/>
        <w:spacing w:after="0" w:line="264" w:lineRule="auto"/>
        <w:rPr>
          <w:sz w:val="20"/>
          <w:szCs w:val="20"/>
          <w:color w:val="auto"/>
        </w:rPr>
      </w:pPr>
      <w:r>
        <w:rPr>
          <w:rFonts w:ascii="Arial" w:cs="Arial" w:eastAsia="Arial" w:hAnsi="Arial"/>
          <w:sz w:val="17"/>
          <w:szCs w:val="17"/>
          <w:b w:val="1"/>
          <w:bCs w:val="1"/>
          <w:i w:val="1"/>
          <w:iCs w:val="1"/>
          <w:color w:val="auto"/>
        </w:rPr>
        <w:t>Cybersecurity threats continue to increase in frequency and sophistication; a successful cybersecurity or prolonged outage regardless of cause, attack could interrupt or disrupt our information technology systems, or those of our third-party service providers, or cause the loss of availability of confidential or protected data which could disrupt our business, force us to incur excessive costs or cause reputational harm.</w:t>
      </w:r>
    </w:p>
    <w:p>
      <w:pPr>
        <w:spacing w:after="0" w:line="125"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Security breaches, computer malware, prolonged outages, and computer hacking attacks have become more prevalent across industries and may occur on our systems or those of our third-party service providers or partners. The size and complexity of our information systems make such systems potentially vulnerable to service interruptions or to security breaches from inadvertent or intentional actions by our employees or external service providers, vendors, or from attacks by malicious third parties. Such attacks are increasing in their frequency, levels of persistence, levels of sophistication and intensity, and are being conducted by sophisticated and organized groups and individuals with a wide range of motives and expertise. As a result of the COVID-19 or any future pandemic, we may face increased cybersecurity risks due to our reliance on internet technology and the number of our employees who are working remotely, which may create additional opportunities for cybercriminals to exploit vulnerabilities. In addition to unauthorized access to or acquisition of personal data, confidential information, intellectual property or other sensitive information, such attacks could include the deployment of harmful malware and ransomware, and may use a variety of methods, including denial-of-service attacks, phishing, social engineering and other means, to attain such unauthorized access or acquisition or otherwise affect service reliability and threaten the confidentiality, integrity and availability of information. Like many other companies, we experience attempted cybersecurity actions on a frequent basis, and the frequency of such attempts could increase in the future. While we have invested in the protection of data and information technology, there can be no assurance that our efforts will prevent or quickly identify service interruptions or security breaches. For example, in 2019 a customer paid an invoice to a fraudulent third-party and such amount could not be recovered. The techniques used by cybercriminals to obtain unauthorized access to systems or sabotage systems, or disable or degrade services, change frequently, may not be recognized until launched against a target and can originate from a wide variety of sources, including outside groups such as external service providers, organized crime affiliates, terrorist organizations or hostile foreign governments or agencies. We cannot assure that our data protection efforts and our investment in information technology will prevent significant breakdowns, data leakages or breaches in our systems or those of our third-party services providers or partners. Any such interruption or breach of our systems could adversely affect our business operations and/or result in the loss of critical or sensitive confidential information or intellectual property, and could result in financial, legal, business and reputational harm to us.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55" w:name="page56"/>
    <w:bookmarkEnd w:id="55"/>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Data security breaches could also expose us to liability under various laws and regulations across jurisdictions and increase the risk of litigation and governmental or regulatory investigation. For example, the California Consumer Privacy Act of 2018 as amended by the California Privacy Rights Act, collectively the CCPA, imposes a private right of action for security breaches that could lead to some form of remedy including regulatory scrutiny, fines, private right of action settlements, and other consequences. Where a security incident involves a breach of security leading to the accidental or unlawful destruction, loss, alternation, unauthorized disclosure of, or access to, personal data in respect of which we are a controller or processor under the GDPR or U.K. GDPR (as defined below), this could result in fines of up to €20.0 million or 4% of annual global turnover under the GDPR or £17.5 million and 4% of total annual revenue in the case of the U.K. GDPR. Due to concerns about data security and integrity, a growing number of legislative and regulatory bodies have adopted breach notification and other requirements in the event that information subject to such laws is accessed by unauthorized persons and additional regulations regarding security of such data are possible. We may be required to notify such breaches to regulators and/or individuals which may result in us incurring additional costs. Moreover, any such compromise of our information security or that of our third parties could result in the misappropriation or unauthorized publication or other exploitation of our confidential business or proprietary information or personal information or that of other parties with which we do business, an interruption in our operations, the unauthorized transfer of cash or other assets, the unauthorized release of customer or employee data or a violation of privacy or other laws. In addition, computer programmers and hackers also may be able to develop and deploy viruses, worms and other malicious software programs that attack our products, or that otherwise exploit any security vulnerabilities, and any such attack, if successful, could expose us to liability to customer claims. Any of the foregoing could irreparably damage our reputation and business, which could have a material adverse effect on our results of operations, cause us to incur significant costs, including legal expenses and remediation costs.</w:t>
      </w:r>
    </w:p>
    <w:p>
      <w:pPr>
        <w:spacing w:after="0" w:line="142"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We maintain cyber liability and business interruption insurance renewed annually; however, this insurance may not be sufficient to cover the financial, legal, business or reputational losses that may result from an interruption or breach of our systems.</w:t>
      </w:r>
    </w:p>
    <w:p>
      <w:pPr>
        <w:spacing w:after="0" w:line="118"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We are subject to data protection, privacy and security laws, regulations, standards and other requirements across different markets where we conduct our business. Our actual or perceived failure to comply with such obligations could harm our business.</w:t>
      </w:r>
    </w:p>
    <w:p>
      <w:pPr>
        <w:spacing w:after="0" w:line="85"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The global data protection landscape continues to evolve, and we are or may become subject to numerous state, federal and foreign laws, regulations, legal requirements, contractual obligations and industry standards regarding security, data protection and privacy and any actual or perceived failure to comply with these requirements, obligations or standards could harm our reputation and business. If we are found to have breached any such laws or regulations in any such jurisdiction, we may be subject to enforcement actions that require us to change our business practices in a manner which may negatively impact our revenue, as well as expose us to litigation, fines, civil and/or criminal penalties and adverse publicity that could cause our customers to lose trust in us, negatively impacting our reputation and business in a manner that harms our financial position. 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our ability to operate in certain jurisdictions or to collect, store, transfer use and share personal information, necessitate the acceptance of more onerous obligations in our contracts, result in liability or impose additional costs on us. The cost of compliance with these laws, regulations and standards is high and is likely to increase in the future.</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56" w:name="page57"/>
    <w:bookmarkEnd w:id="56"/>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As part of our business, we collect personal data, and other potentially sensitive and/or regulated data from our customers. In the U.S., numerous federal and state laws and regulations, including data breach notification laws data privacy and security laws and consumer protection laws and regulations govern the collection, use, disclosure protection and other processing of personal information. For example, the CCPA requires covered companies to, among other things, provide certain disclosures to California consumers about use of personal information, and affords such consumers new privacy rights such as the ability to opt-out of certain sales of personal information and expanded rights to access and require deletion of their personal information, opt out of certain personal information sharing, and receive detailed information about how their personal information is collected, used and shared. The CCPA provides for civil penalties for violations, as well as a private right of action for security breaches that may increase security breach litigation. The California Privacy Rights Act (CPRA) passed in California significantly amended the CCPA and imposed additional data protection obligations on covered businesses, including additional consumer rights processes, limitations on data uses, new audit requirements for higher risk data, and opt outs for certain uses of sensitive data. As part of CPRA, a new California data protection agency is authorized to issue substantive regulations and could result in increased privacy and information security enforcement. The majority of the provisions went into effect on January 1, 2023, and additional compliance investment and potential business process changes may be required. Further, Virginia enacted the Virginia Consumer Data Protection Act, another comprehensive state privacy law, effective January 1, 2023. Colorado also enacted the Colorado Privacy Act, effective July 1, 2023, Connecticut enacted the Connecticut Data Privacy Act, effective July 1, 2023, Texas enacted the Texas Data Privacy Act, effective July 1, 2024, and Utah enacted the Utah Consumer Privacy Act, effective December 31, 2023. These state privacy laws may increase our compliance costs and potential liability, particularly in the event of a data breach, and could harm our business, including how we use personal information. A number of other proposals exist for new federal and state privacy legislation that, if passed, could increase our potential liability, increase our compliance costs and harm our business.</w:t>
      </w:r>
    </w:p>
    <w:p>
      <w:pPr>
        <w:spacing w:after="0" w:line="138"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Our operations abroad may also be subject to increased scrutiny or attention from data protection authorities. For example, the EU General Data Protection Regulation (EU GDPR) and the U.K. General Data Protection Regulation and the U.K. Data Protection Act 2018 (UK GDPR) (collectively, the GDPR) imposes comprehensive data privacy compliance obligations on our collection, processing, sharing, disclosure, transfer and other use of data relating to an identifiable living individual or “personal data”. The EU and U.K. regimes also include laws which, among other things, require European Economic Area (EEA) member states and the U.K. to regulate marketing by electronic means and the use of cookies and similar technologies. The GDPR has resulted in, and will continue to result in, significant compliance burdens and costs for companies with customers and/or operations in the EEA and the U.K. The GDPR, and national implementing legislation in each member state, imposes a strict data protection compliance regime including: (i) providing detailed disclosures about how personal data is collected and processed; (ii) demonstrating that an appropriate legal basis is in place or otherwise exists to justify data processing activities; (iii) granting certain rights for data subjects in regard to their personal data (including transparency, the right to be “forgotten,” right to data portability, right of access, and right to rectification); (iv) obligation to notify data protection regulators or supervisory authorities (and in certain cases, affected individuals) of significant data breaches; (v) imposing limitations on retention of personal data; (vi) maintaining a record of data processing; and (vii) complying with the principal of accountability and the obligation to demonstrate compliance through policies, procedures, training and audit. If our privacy or data security measures fail to comply with applicable current or future laws and regulations, we may be subject to litigation, regulatory investigations, and enforcement notices requiring us to change the way we use personal data or our marketing practices. For example, under the GDPR we may be subject to fines of up to €20 million / £17.5 million or up to 4% of the total worldwide annual group turnover of the preceding financial year (whichever is higher) for major violations. In addition to the foregoing, a breach of the GDPR could result in regulatory investigations, reputational damage, orders to cease/ change our processing of our data, enforcement notices, and/ or assessment notices (for a compulsory audit). We may also face civil claims including representative actions and other class action type litigation (where individuals have suffered harm), potentially amounting to significant compensation or damages liabilities, as well as associated costs, diversion of internal resources, reputational harm and a potential loss of business.</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57" w:name="page58"/>
    <w:bookmarkEnd w:id="57"/>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We are also subject to European Union rules with respect to cross-border transfers of personal data out of the EEA and the U.K. Recent legal developments in Europe have created complexity and uncertainty regarding transfers of personal data from the EEA and the U.K. to the United States. In July 2020, the Court of Justice of the EU (CJEU) limited how organizations could lawfully transfer personal data from the EU/EEA to the United States by invalidating the Privacy Shield for purposes of international transfers and imposing further restrictions on the use of standard contractual clauses (SCCs). In March 2022, the US and EU announced a new regulatory regime intended to replace the invalidated regulations called the EU-US Data Privacy Framework (DPF). On July 10, 2023, the EU adopted an adequacy decision for the EU-U.S. DPF after determining that the additional safeguards included in Executive Order 14086 signed by President Biden on October 7, 2022, provide an adequate level of protection for personal data transferred from the European Union. The adequacy decision allows the EU-U.S. DPF to facilitate the transfer of data from Europe to the United States, benefiting companies and individuals on both sides of the Atlantic. We currently rely on the SCCs to transfer personal data outside the EEA and the U.K., including to the U.S., with respect to both intragroup and third-party transfers. We will be required to implement the revised applicable SCCs within the relevant time frames. In addition, the UK’s Information Commissioner’s Office has published new data transfer standard contracts for transfers from the UK under the UK GDPR. This new documentation will be mandatory for relevant data transfers from September 21, 2022; existing SCCs arrangements must be migrated to the new documentation by March 21, 2024. We will be required to implement the latest U.K. data transfer documentation for data transfers subject to the UK GDPR, within the relevant time frames. These recent developments may require us to review and amend the legal mechanisms by which we make and/ or receive personal data transfers to in the U.S. As supervisory authorities issue further guidance on personal data export mechanisms, including circumstances where the standard contractual clauses cannot be used, and/or start taking enforcement action, we could suffer additional costs, complaints and/or regulatory investigations or fines.</w:t>
      </w:r>
    </w:p>
    <w:p>
      <w:pPr>
        <w:spacing w:after="0" w:line="142"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Further, the exit of the U.K. from the EU, often referred to as Brexit, created uncertainty with regard to data protection regulation in the U.K. The European Commission has adopted an adequacy decision in favor of the U.K., enabling data transfers from EU member states to the U.K. without additional safeguards. However, the U.K. adequacy decision will automatically expire in June 2025 unless the European Commission re-assesses and renews/ extends that decision, and remains under review by the Commission during this period. The relationship between the U.K. and the EU in relation to certain aspects of data protection law remains unclear, and it is unclear how U.K. data protection laws and regulations will develop in the medium to longer term, and how data transfers to and from the U.K. will be regulated in the long term. These changes will lead to additional costs and increase our overall risk exposure.</w:t>
      </w:r>
    </w:p>
    <w:p>
      <w:pPr>
        <w:spacing w:after="0" w:line="141"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Restrictions on the collection, use, sharing or disclosure of personal information or additional requirements and liability for security and data integrity could require us to modify our solutions and features, possibly in a material manner, could limit our ability to develop new products and features and could subject us to increased compliance obligations and regulatory scrutiny, such as with respect to Article 38 of the China Personal Information Protection Law (PIPL) Measures for Standard Contract on Outbound Transfer of Personal Information.</w:t>
      </w:r>
    </w:p>
    <w:p>
      <w:pPr>
        <w:spacing w:after="0" w:line="125"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Although we make reasonable efforts to comply with all applicable data protection laws and regulations, our interpretations and such measures have been or may prove to be insufficient or incorrect. Any failure to comply with any data protection laws and/or regulations that results in a data security breach could require notifications to data subjects and/or owners under federal, state and/or international data breach notification laws and regulations. The effects of any applicable U.S. state, federal and international laws and regulations that are currently in effect or that may go into effect in the future, are significant and may require us to modify our data processing practices and policies and to incur substantial costs and potential liability in an effort to comply with such laws and regulations. Allegations of non-compliance, whether or not true, could be costly, time consuming, distracting to management, and cause reputational harm. In addition to government regulation, privacy advocates and industry groups may propose new and different self-regulatory standards. Because the interpretation and application of privacy and data protection laws are still uncertain, it is possible that these laws may be interpreted and applied in a manner that is inconsistent with one another or inconsistent with our existing data management practices or the features of our products and services. Any actual or perceived failure to comply with these and other data protection and privacy laws and regulations could result in regulatory scrutiny and increased exposure to the risk of litigation or the imposition of consent orders, resolution agreements, requirements to take particular actions with respect to training, policies or other activities, and civil and criminal penalties, including fines, which could harm our business. In addition, we or our third-party service providers could be required to fundamentally change our business activities and practices or modify our products and services, which could harm our or our third-party service providers’ business. Any of the foregoing could result in additional cost and liability to us, damage our reputation, inhibit sales, and harm our business.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58" w:name="page59"/>
    <w:bookmarkEnd w:id="58"/>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Legal, Regulatory, Accounting and Tax Matters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failure to comply with the large body of laws and regulations to which we are subject could materially harm our business.</w:t>
      </w:r>
    </w:p>
    <w:p>
      <w:pPr>
        <w:spacing w:after="0" w:line="169"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We are subject to regulation by various governmental agencies in the United States and other jurisdictions in which we operate. These laws and regulations (and the government agency responsible for their enforcement in the United States) cover: radio frequency emission regulatory activities (Federal Communications Commission); anti-trust regulatory activities (Federal Trade Commission and Department of Justice); consumer protection laws (Federal Trade Commission); import/export regulatory activities (Department of Commerce); product safety regulatory activities (Consumer Products Safety Commission); worker safety (Occupational Safety and Health Administration); environmental protection (Environmental Protection Agency and similar state and local agencies); employment matters (Equal Employment Opportunity Commission); and tax and other regulations by a variety of regulatory authorities in each of the areas in which we conduct business. In certain jurisdictions, regulatory requirements in one or more of these areas may be more stringent than in the United States.</w:t>
      </w:r>
    </w:p>
    <w:p>
      <w:pPr>
        <w:spacing w:after="0" w:line="128"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In the area of employment matters, we are subject to a variety of federal, state and foreign employment and labor laws and regulations, including the Americans with Disabilities Act, the Federal Fair Labor Standards Act, the WARN Act and other regulations related to working conditions, wage and hour pay, overtime pay, employee benefits, anti-discrimination, and termination of employment. We are subject to local employment statutes and regulations in other jurisdictions. Noncompliance with any of these applicable regulations or requirements could subject us to investigations, sanctions, enforcement actions, fines, damages, penalties, or injunctions. In certain instances, former employees have brought claims against us and we expect that we will encounter similar actions against us in the future. An adverse outcome in any such litigation could require us to pay damages, attorneys’ fees and costs. These enforcement actions could harm our reputation and business. If any governmental sanctions are imposed, or if we do not prevail in any possible civil or criminal litigation, our business could be harmed. In addition, responding to any action will likely result in a significant diversion of management’s attention and resources and an increase in professional fees.</w:t>
      </w:r>
    </w:p>
    <w:p>
      <w:pPr>
        <w:spacing w:after="0" w:line="142" w:lineRule="exact"/>
        <w:rPr>
          <w:sz w:val="20"/>
          <w:szCs w:val="20"/>
          <w:color w:val="auto"/>
        </w:rPr>
      </w:pPr>
    </w:p>
    <w:p>
      <w:pPr>
        <w:jc w:val="both"/>
        <w:ind w:right="20"/>
        <w:spacing w:after="0" w:line="296" w:lineRule="auto"/>
        <w:rPr>
          <w:sz w:val="20"/>
          <w:szCs w:val="20"/>
          <w:color w:val="auto"/>
        </w:rPr>
      </w:pPr>
      <w:r>
        <w:rPr>
          <w:rFonts w:ascii="Arial" w:cs="Arial" w:eastAsia="Arial" w:hAnsi="Arial"/>
          <w:sz w:val="17"/>
          <w:szCs w:val="17"/>
          <w:b w:val="1"/>
          <w:bCs w:val="1"/>
          <w:i w:val="1"/>
          <w:iCs w:val="1"/>
          <w:color w:val="auto"/>
        </w:rPr>
        <w:t>Our failure to comply with the Foreign Corrupt Practices Act, other applicable anti-corruption and anti-bribery laws, and applicable anti-money laundering laws could subject us to penalties and other adverse consequences.</w:t>
      </w:r>
    </w:p>
    <w:p>
      <w:pPr>
        <w:spacing w:after="0" w:line="85"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We have extensive international operations and a substantial portion of our business is conducted outside of the United States. Our operations are subject to the U.S. Foreign Corrupt Practices Act of 1977, as amended (the FCPA), the U.S. domestic bribery statute contained in 18 U.S.C. § 201, the U.S. Travel Act, the USA PATRIOT Act, as well as the anti-corruption, anti-bribery, and anti-money laundering laws in the countries where we do business. Anti-corruption laws are interpreted broadly and prohibit companies and their employees and agents from promising, authorizing, making, or offering, soliciting, or accepting, directly or indirectly, improper payments or other benefits to or from any person whether in the public or private sector. The FCPA also requires publicly traded companies to maintain records that accurately and fairly represent their transactions, and to have an adequate system of internal accounting controls. As we increase our international sales and business, our risks under these laws may increase.</w:t>
      </w:r>
    </w:p>
    <w:p>
      <w:pPr>
        <w:spacing w:after="0" w:line="12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Though we maintain policies, internal controls and other measures reasonably designed to promote compliance with applicable anti-corruption, anti-bribery laws, and anti-money laundering laws and regulations, our employees or agents may nevertheless engage in improper conduct for which we might be held responsible. Any violations of these laws, or even allegations of such violations, can lead to an investigation and/or enforcement action, which could disrupt our operations, involve significant management distraction, and lead to significant costs and expenses, including legal fees. If we, or our employees or agents acting on our behalf, are found to have engaged in practices that violate these laws and regulations, we could suffer severe fines and penalties, profit disgorgement, injunctions on future conduct, securities litigation, bans on transacting government business, delisting from securities exchanges and other consequences that may harm our business. In addition, our reputation, our revenue or our stock price could be adversely affected if we become the subject of any negative publicity related to actual or potential violations of any of these laws and regulations.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59" w:name="page60"/>
    <w:bookmarkEnd w:id="59"/>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We are subject to government regulation, including import, export and economic sanctions laws and artificial intelligence regulations that may expose us to liability and increase our costs.</w:t>
      </w:r>
    </w:p>
    <w:p>
      <w:pPr>
        <w:spacing w:after="0" w:line="85"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Certain of our products, including our IP interconnect and other solutions and technology are subject to U.S. export controls, including the U.S. Department of Commerce’s EAR and economic and trade sanctions regulations administered by the U.S. Treasury Department’s Office of Foreign Assets Controls. These regulations may limit the export of our products and technology, and provision of our services outside of the United States, or may require export authorizations, including by license, a license exception, or other appropriate government authorizations and conditions, including annual or semi-annual reporting. Export control and economic sanctions laws may also include prohibitions on the sale or supply of certain of our products to embargoed or sanctioned countries, regions, governments, persons, and entities. In addition, various countries regulate the importation of certain products, through import permitting and licensing requirements, and have enacted laws that could limit our ability to distribute our products. The exportation, re-exportation, and importation of our products and technology and the provision of services, including by our partners, must comply with these laws or else we may be adversely affected through reputational harm, government investigations, penalties, and a denial or curtailment of our ability to export our products and technology. Complying with export control and sanctions laws may be time-consuming and may result in the delay or loss of sales opportunities. Although we take precautions to prevent our products and technology from being provided in violation of such laws, our products and technology have previously been, and could in the future be, provided inadvertently in violation of such laws, despite the precautions we take. If we are found to be in violation of U.S. sanctions or export control laws, it could result in substantial fines and penalties for us and for the individuals working for us. Changes in export or import laws or sanctions policies may adversely impact our operations, delay the introduction and sale of our products in international markets, or, in some cases, prevent the export or import of our products and technology to certain countries, regions, governments, persons, or entities altogether, which could harm our business.</w:t>
      </w:r>
    </w:p>
    <w:p>
      <w:pPr>
        <w:spacing w:after="0" w:line="132" w:lineRule="exact"/>
        <w:rPr>
          <w:sz w:val="20"/>
          <w:szCs w:val="20"/>
          <w:color w:val="auto"/>
        </w:rPr>
      </w:pPr>
    </w:p>
    <w:p>
      <w:pPr>
        <w:jc w:val="both"/>
        <w:spacing w:after="0" w:line="280" w:lineRule="auto"/>
        <w:rPr>
          <w:sz w:val="20"/>
          <w:szCs w:val="20"/>
          <w:color w:val="auto"/>
        </w:rPr>
      </w:pPr>
      <w:r>
        <w:rPr>
          <w:rFonts w:ascii="Arial" w:cs="Arial" w:eastAsia="Arial" w:hAnsi="Arial"/>
          <w:sz w:val="17"/>
          <w:szCs w:val="17"/>
          <w:b w:val="1"/>
          <w:bCs w:val="1"/>
          <w:i w:val="1"/>
          <w:iCs w:val="1"/>
          <w:color w:val="auto"/>
        </w:rPr>
        <w:t>We will lose sales if we are unable to obtain government authorization to export certain of our products and services, and we will be subject to legal and regulatory consequences if we do not comply with applicable export control laws and regulations or if such laws and regulations were to change.</w:t>
      </w:r>
    </w:p>
    <w:p>
      <w:pPr>
        <w:spacing w:after="0" w:line="99"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Exports of certain of our IP interconnect and other solutions are subject to export controls imposed by the U.S. government and administered by the U.S. Departments of State and Commerce. In certain instances, these regulations may require pre-shipment authorization from the administering department. For products subject to the EAR, administered by the U.S. Department of Commerce’s Bureau of Industry and Security (BIS), the requirement for a license is dependent on the type and end use of the product, the final destination, the identity of the end user and whether a license exception might apply. Certain of our solutions are subject to EAR. Obtaining export licenses can be difficult, costly and time-consuming and we may not always be successful in obtaining necessary export licenses, and our failure to obtain required import or export approval for our products or limitations on our ability to export or sell our products imposed by these laws may harm our international and domestic revenue. Noncompliance with these laws could have negative consequences, including government investigations, penalties and reputational harm. The absence of comparable restrictions on competitors in other countries may adversely affect our competitive position.</w:t>
      </w:r>
    </w:p>
    <w:p>
      <w:pPr>
        <w:spacing w:after="0" w:line="142"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In addition, in October 2022 and October 2023, the U.S. federal government modified certain of its regulations affecting the export of semiconductor products and equipment, with particular focus on export to China. We must continue to comply with such regulations and take additional review and precautions as required when such export regulations are updated or changed by the U.S. federal government.</w:t>
      </w:r>
    </w:p>
    <w:p>
      <w:pPr>
        <w:spacing w:after="0" w:line="120"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We derive revenue from products that are not subject to the EAR from parties that are subject to the Entity List of the EAR (a list of entities to which the transfer of EAR-controlled technology or software requires a U.S. export license). Current and future business with these entities may be limited in scope or suspended entirely if regulations pertaining to such non-EAR products change, and our revenue could be adversely impacted. Regulatory changes concerning the export classification of our products, changes to the applicability of the EAR to certain product offerings, or the addition of new entities to the Entity List or other restricted party lists can further increase the scope of export restrictions applicable to our business. Failure to obtain export licenses for our products or having one or more of our customers be restricted from receiving exports from us could significantly reduce our revenue and harm our business.</w:t>
      </w:r>
    </w:p>
    <w:p>
      <w:pPr>
        <w:spacing w:after="0" w:line="141"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U.S. federal government has increased its Entity List materially and expanded its regulatory scope with respect to semiconductors in recent years, which affects the range and number of customers, including Chinese customers available to license our products and technology. This raises an additional risk that China and/or other jurisdictions may enact retaliatory legislation or regulations that may raise similar adverse risks. As reflected in other Risk Factors, such risks may increase if additional Chinese entities are placed on the Entity List due, among other things, to their business with Russia in light of China’s stance and actions taken relating to Russia-Ukraine tensions and hostilities.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60" w:name="page61"/>
    <w:bookmarkEnd w:id="60"/>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In July 2021, we submitted a voluntary self-disclosure (VSD) to the U.S. Department of Commerce's Bureau of Industry and Security, noting potential violations of the EAR. On April 28, 2022, the Office of Export Enforcement of the U.S. Department of Commerce's Bureau of Industry and Security closed the matter with the issuance of a warning letter. In our VSD submission, we had identified discrete transactions with two customers, Bada and HiSilicon. We do not provide either customer with products or ongoing support. We have taken and continue to take remedial measures to help prevent similar situations from occurring in the future.</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face risks associated with doing business in China.</w:t>
      </w:r>
    </w:p>
    <w:p>
      <w:pPr>
        <w:spacing w:after="0" w:line="169"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For the nine months ended September 30, 2024, we derived 30.0% of our revenue from customers located in China. As a result, the economic, political, legal and social conditions in China could harm our business. In recent years, the Chinese economy has experienced periods of rapid expansion and high rates of inflation. These factors have led to the adoption by the Chinese government, from time to time, of various corrective measures designed to restrict the availability of credit or regulate growth and contain inflation. Various factors may in the future cause the Chinese government to impose controls on credit or prices, or to take other action, which could inhibit economic activity in China, and thereby harm the market for our products. In addition, the legal system in China has inherent uncertainties that may limit the legal protections available in the event of any claims or disputes that we have with third parties, including our ability to protect the IP we develop or license in China or elsewhere. As China’s legal system is still evolving, the interpretation of many laws, regulations and rules is not always uniform and enforcement of these laws, regulations and rules involve uncertainties, which may limit the remedies available in the event of any claims or disputes with third parties. In addition, any litigation in China may be protracted and result in substantial costs and diversion of resources and management attention. We have observed sustained reports of intellectual property theft and misappropriation in China. Some of the other risks related to doing business in China include:</w:t>
      </w:r>
    </w:p>
    <w:p>
      <w:pPr>
        <w:spacing w:after="0" w:line="132" w:lineRule="exact"/>
        <w:rPr>
          <w:sz w:val="20"/>
          <w:szCs w:val="20"/>
          <w:color w:val="auto"/>
        </w:rPr>
      </w:pPr>
    </w:p>
    <w:p>
      <w:pPr>
        <w:ind w:left="820" w:hanging="326"/>
        <w:spacing w:after="0"/>
        <w:tabs>
          <w:tab w:leader="none" w:pos="8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Chinese government exerts substantial influence over the manner in which we must conduct our business activities.</w:t>
      </w:r>
    </w:p>
    <w:p>
      <w:pPr>
        <w:spacing w:after="0" w:line="169" w:lineRule="exact"/>
        <w:rPr>
          <w:rFonts w:ascii="Arial" w:cs="Arial" w:eastAsia="Arial" w:hAnsi="Arial"/>
          <w:sz w:val="17"/>
          <w:szCs w:val="17"/>
          <w:color w:val="auto"/>
        </w:rPr>
      </w:pPr>
    </w:p>
    <w:p>
      <w:pPr>
        <w:ind w:left="820" w:hanging="326"/>
        <w:spacing w:after="0"/>
        <w:tabs>
          <w:tab w:leader="none" w:pos="8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Restrictions on currency exchange may limit our ability to receive, transfer and use our cash effectively.</w:t>
      </w:r>
    </w:p>
    <w:p>
      <w:pPr>
        <w:spacing w:after="0" w:line="182" w:lineRule="exact"/>
        <w:rPr>
          <w:rFonts w:ascii="Arial" w:cs="Arial" w:eastAsia="Arial" w:hAnsi="Arial"/>
          <w:sz w:val="17"/>
          <w:szCs w:val="17"/>
          <w:color w:val="auto"/>
        </w:rPr>
      </w:pPr>
    </w:p>
    <w:p>
      <w:pPr>
        <w:jc w:val="both"/>
        <w:ind w:left="820" w:hanging="326"/>
        <w:spacing w:after="0" w:line="249" w:lineRule="auto"/>
        <w:tabs>
          <w:tab w:leader="none" w:pos="815" w:val="left"/>
        </w:tabs>
        <w:numPr>
          <w:ilvl w:val="0"/>
          <w:numId w:val="28"/>
        </w:numPr>
        <w:rPr>
          <w:rFonts w:ascii="Arial" w:cs="Arial" w:eastAsia="Arial" w:hAnsi="Arial"/>
          <w:sz w:val="17"/>
          <w:szCs w:val="17"/>
          <w:i w:val="1"/>
          <w:iCs w:val="1"/>
          <w:color w:val="auto"/>
        </w:rPr>
      </w:pPr>
      <w:r>
        <w:rPr>
          <w:rFonts w:ascii="Arial" w:cs="Arial" w:eastAsia="Arial" w:hAnsi="Arial"/>
          <w:sz w:val="17"/>
          <w:szCs w:val="17"/>
          <w:color w:val="auto"/>
        </w:rPr>
        <w:t>Increased uncertainties related to the protection and enforcement of intellectual property rights, including risk of theft or misappropriation of our products and intellectual property in China, as well as any intellectual property rights that we may license to a Chinese (or other emerging jurisdiction) entity, including any joint ventures we may form.</w:t>
      </w:r>
    </w:p>
    <w:p>
      <w:pPr>
        <w:spacing w:after="0" w:line="120" w:lineRule="exact"/>
        <w:rPr>
          <w:rFonts w:ascii="Arial" w:cs="Arial" w:eastAsia="Arial" w:hAnsi="Arial"/>
          <w:sz w:val="17"/>
          <w:szCs w:val="17"/>
          <w:i w:val="1"/>
          <w:iCs w:val="1"/>
          <w:color w:val="auto"/>
        </w:rPr>
      </w:pPr>
    </w:p>
    <w:p>
      <w:pPr>
        <w:ind w:left="820" w:hanging="326"/>
        <w:spacing w:after="0"/>
        <w:tabs>
          <w:tab w:leader="none" w:pos="8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Increased uncertainties relating to Chinese regulation of exports of products and technology to and from China.</w:t>
      </w:r>
    </w:p>
    <w:p>
      <w:pPr>
        <w:spacing w:after="0" w:line="169" w:lineRule="exact"/>
        <w:rPr>
          <w:rFonts w:ascii="Arial" w:cs="Arial" w:eastAsia="Arial" w:hAnsi="Arial"/>
          <w:sz w:val="17"/>
          <w:szCs w:val="17"/>
          <w:color w:val="auto"/>
        </w:rPr>
      </w:pPr>
    </w:p>
    <w:p>
      <w:pPr>
        <w:ind w:left="820" w:hanging="326"/>
        <w:spacing w:after="0" w:line="284" w:lineRule="auto"/>
        <w:tabs>
          <w:tab w:leader="none" w:pos="815" w:val="left"/>
        </w:tabs>
        <w:numPr>
          <w:ilvl w:val="0"/>
          <w:numId w:val="28"/>
        </w:numPr>
        <w:rPr>
          <w:rFonts w:ascii="Arial" w:cs="Arial" w:eastAsia="Arial" w:hAnsi="Arial"/>
          <w:sz w:val="17"/>
          <w:szCs w:val="17"/>
          <w:color w:val="auto"/>
        </w:rPr>
      </w:pPr>
      <w:r>
        <w:rPr>
          <w:rFonts w:ascii="Arial" w:cs="Arial" w:eastAsia="Arial" w:hAnsi="Arial"/>
          <w:sz w:val="17"/>
          <w:szCs w:val="17"/>
          <w:color w:val="auto"/>
        </w:rPr>
        <w:t>Increased and rapidly changing export and related trade regulations and restrictions imposed by U.S. and Chinese legislation, executive actions and regulations.</w:t>
      </w:r>
    </w:p>
    <w:p>
      <w:pPr>
        <w:spacing w:after="0" w:line="117" w:lineRule="exact"/>
        <w:rPr>
          <w:rFonts w:ascii="Arial" w:cs="Arial" w:eastAsia="Arial" w:hAnsi="Arial"/>
          <w:sz w:val="17"/>
          <w:szCs w:val="17"/>
          <w:color w:val="auto"/>
        </w:rPr>
      </w:pPr>
    </w:p>
    <w:p>
      <w:pPr>
        <w:ind w:left="820" w:hanging="326"/>
        <w:spacing w:after="0" w:line="284" w:lineRule="auto"/>
        <w:tabs>
          <w:tab w:leader="none" w:pos="829" w:val="left"/>
        </w:tabs>
        <w:numPr>
          <w:ilvl w:val="0"/>
          <w:numId w:val="28"/>
        </w:numPr>
        <w:rPr>
          <w:rFonts w:ascii="Arial" w:cs="Arial" w:eastAsia="Arial" w:hAnsi="Arial"/>
          <w:sz w:val="17"/>
          <w:szCs w:val="17"/>
          <w:color w:val="auto"/>
        </w:rPr>
      </w:pPr>
      <w:r>
        <w:rPr>
          <w:rFonts w:ascii="Arial" w:cs="Arial" w:eastAsia="Arial" w:hAnsi="Arial"/>
          <w:sz w:val="17"/>
          <w:szCs w:val="17"/>
          <w:color w:val="auto"/>
        </w:rPr>
        <w:t>Difficulty of travel to and from China (and to and from United States) arising from or related to the COVID-19 pandemic or any future pandemic.</w:t>
      </w:r>
    </w:p>
    <w:p>
      <w:pPr>
        <w:spacing w:after="0" w:line="104" w:lineRule="exact"/>
        <w:rPr>
          <w:rFonts w:ascii="Arial" w:cs="Arial" w:eastAsia="Arial" w:hAnsi="Arial"/>
          <w:sz w:val="17"/>
          <w:szCs w:val="17"/>
          <w:color w:val="auto"/>
        </w:rPr>
      </w:pPr>
    </w:p>
    <w:p>
      <w:pPr>
        <w:ind w:left="820" w:hanging="326"/>
        <w:spacing w:after="0" w:line="284" w:lineRule="auto"/>
        <w:tabs>
          <w:tab w:leader="none" w:pos="815"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Chinese government may favor its local businesses and make it more difficult for foreign businesses to operate in China on an equal footing or create generally difficult conditions for foreign headquartered businesses to operate.</w:t>
      </w:r>
    </w:p>
    <w:p>
      <w:pPr>
        <w:spacing w:after="0" w:line="104" w:lineRule="exact"/>
        <w:rPr>
          <w:rFonts w:ascii="Arial" w:cs="Arial" w:eastAsia="Arial" w:hAnsi="Arial"/>
          <w:sz w:val="17"/>
          <w:szCs w:val="17"/>
          <w:color w:val="auto"/>
        </w:rPr>
      </w:pPr>
    </w:p>
    <w:p>
      <w:pPr>
        <w:ind w:left="820" w:hanging="326"/>
        <w:spacing w:after="0"/>
        <w:tabs>
          <w:tab w:leader="none" w:pos="8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Increased uncertainties related to the enforcement of contracts with certain parties.</w:t>
      </w:r>
    </w:p>
    <w:p>
      <w:pPr>
        <w:spacing w:after="0" w:line="182" w:lineRule="exact"/>
        <w:rPr>
          <w:rFonts w:ascii="Arial" w:cs="Arial" w:eastAsia="Arial" w:hAnsi="Arial"/>
          <w:sz w:val="17"/>
          <w:szCs w:val="17"/>
          <w:color w:val="auto"/>
        </w:rPr>
      </w:pPr>
    </w:p>
    <w:p>
      <w:pPr>
        <w:ind w:left="820" w:hanging="326"/>
        <w:spacing w:after="0"/>
        <w:tabs>
          <w:tab w:leader="none" w:pos="8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More restrictive rules on foreign investment could adversely affect our ability to expand our operations in China.</w:t>
      </w:r>
    </w:p>
    <w:p>
      <w:pPr>
        <w:spacing w:after="0" w:line="169" w:lineRule="exact"/>
        <w:rPr>
          <w:rFonts w:ascii="Arial" w:cs="Arial" w:eastAsia="Arial" w:hAnsi="Arial"/>
          <w:sz w:val="17"/>
          <w:szCs w:val="17"/>
          <w:color w:val="auto"/>
        </w:rPr>
      </w:pPr>
    </w:p>
    <w:p>
      <w:pPr>
        <w:ind w:left="820" w:right="20" w:hanging="326"/>
        <w:spacing w:after="0" w:line="284" w:lineRule="auto"/>
        <w:tabs>
          <w:tab w:leader="none" w:pos="815" w:val="left"/>
        </w:tabs>
        <w:numPr>
          <w:ilvl w:val="0"/>
          <w:numId w:val="28"/>
        </w:numPr>
        <w:rPr>
          <w:rFonts w:ascii="Arial" w:cs="Arial" w:eastAsia="Arial" w:hAnsi="Arial"/>
          <w:sz w:val="17"/>
          <w:szCs w:val="17"/>
          <w:color w:val="auto"/>
        </w:rPr>
      </w:pPr>
      <w:r>
        <w:rPr>
          <w:rFonts w:ascii="Arial" w:cs="Arial" w:eastAsia="Arial" w:hAnsi="Arial"/>
          <w:sz w:val="17"/>
          <w:szCs w:val="17"/>
          <w:color w:val="auto"/>
        </w:rPr>
        <w:t>Geopolitical tensions between China on the one hand and the United States and/or the European Union on the other hand, may increase and may lead to increased export sanctions with Chinese entities and sanctions made against China.</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61" w:name="page62"/>
    <w:bookmarkEnd w:id="61"/>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Political instability, changes in government, elections, or destabilizing political developments in or around the major countries and jurisdictions in which we do business have created challenges and an adverse business environment which in turn has impacted our business and financial condition. Worldwide and regional geopolitical tensions and conflicts, including but not limited to China, Hong Kong, Israel, Korea and Taiwan where our customers are located, have resulted in changing regulatory requirements or other disruptions that have and could continue to impact our international operations and operating strategies, global product demand and sales, access to global markets, hiring, and profitability. If a disaster, war or catastrophic event affects our ability to work with customers in any of these countries, including China, our business could be harmed by a decline in sales, increased contract expense, and substantial time spent on alternative demand generation. As a result of our growing operations in China, these risks could harm our business.</w:t>
      </w:r>
    </w:p>
    <w:p>
      <w:pPr>
        <w:spacing w:after="0" w:line="141"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Further, on June 3, 2021, the President issued Executive Order 14032 (Addressing the Threat from Securities Investments that Finance Certain Companies of the People’s Republic of China) targeting entities that are deemed part of the Chinese military-industrial complex. The executive order, and the subsequent Office of Foreign Assets Control additions to its Non-SDN Chinese Military-Industrial Complex Companies List, include one or more entities that have indirectly invested in us. Among other things, this executive order prohibits the purchase or sale of any publicly traded securities of a designated entity. We do not expect that this executive order will impact us; however, further government escalation of restrictions related to Chinese investors and dealings in securities could harm certain shareholders.</w:t>
      </w:r>
    </w:p>
    <w:p>
      <w:pPr>
        <w:spacing w:after="0" w:line="144"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Additionally, on October 7, 2022, the U.S. Department of Commerce's Bureau of Industry and Security issued export controls related to the Chinese semiconductor manufacturing, advanced computing, and supercomputer industries. These export controls impose broad end-use and other restrictions on facilities in China that develop or produce semiconductor chips or manufacturing equipment, and may impact our ability to license or support our products to entities in or doing business with certain advanced AI or “supercomputer” design companies, foundries and manufacturers of assemblies and components in China. On October 17, 2023, U.S. Department of Commerce's Bureau of Industry and Security issued regulations amending the October 7, 2022 export controls governing the export of certain semiconductor-related hardware and software to China. These restrictions, which are effective on November 17, 2023, and any subsequent restrictions, may have an adverse effect on our business, results of operations, or financial condition and we may no longer be able to license or support our products to certain companies in China. Furthermore, increased restrictions on China exports may lead to regulatory retaliation by the Chinese government and possibly further escalate geopolitical tensions, and any such scenarios may adversely impact our business. The prospect of future export controls that are implemented in a similar manner may continue to have an ongoing impact on our business, results of operation, or financial conditions.</w:t>
      </w:r>
    </w:p>
    <w:p>
      <w:pPr>
        <w:spacing w:after="0" w:line="132"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There have been additional regulatory mandates from the U.S. government that affect our current and future sales and operations in China. On October 28, 2024, the U.S. Department of Treasury issued the Final Rule targeted at certain types of investments in country of concern entities and related to certain sensitive technologies and products critical for military, intelligence, surveillance, or cyber-enabled technologies. The relevant U.S. person undertaking a transaction must determine whether a given transaction is prohibited, requires notification to the Treasury Department, or is not covered by the Final Rule as either an excepted transaction or not within the jurisdiction set forth under the Final Rule. The Final Rule identifies China as a country of concern. Transactions with a completion date of January 2, 2025 or later are subject to the Final Rule. As a result of the foregoing, we and our applicable subsidiaries may need to take appropriate steps to comply with the Final Rule and the cost of doing so, as well as any to comply, could have an adverse impact on our business. results of operation or financial condition.</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62" w:name="page63"/>
    <w:bookmarkEnd w:id="62"/>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both"/>
        <w:spacing w:after="0" w:line="264" w:lineRule="auto"/>
        <w:rPr>
          <w:sz w:val="20"/>
          <w:szCs w:val="20"/>
          <w:color w:val="auto"/>
        </w:rPr>
      </w:pPr>
      <w:r>
        <w:rPr>
          <w:rFonts w:ascii="Arial" w:cs="Arial" w:eastAsia="Arial" w:hAnsi="Arial"/>
          <w:sz w:val="17"/>
          <w:szCs w:val="17"/>
          <w:b w:val="1"/>
          <w:bCs w:val="1"/>
          <w:i w:val="1"/>
          <w:iCs w:val="1"/>
          <w:color w:val="auto"/>
        </w:rPr>
        <w:t>We anticipate conducting certain of our operations through joint venture arrangements with Chinese entities. If the Chinese government determines that these arrangements do not comply with applicable regulations, our business could be adversely affected. If the PRC regulatory agencies determine that the agreements that establish the structure and relationship for our operations in China do not comply with PRC regulatory restrictions on foreign investment, we could be subject to severe penalties. In addition, changes in such Chinese laws and regulations may materially and adversely affect our business.</w:t>
      </w:r>
    </w:p>
    <w:p>
      <w:pPr>
        <w:spacing w:after="0" w:line="113"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There are uncertainties regarding the interpretation and application of PRC laws, rules and regulations, including, but not limited to, the laws, rules and regulations governing the validity and enforcement of the joint venture arrangement such as the one we are contemplating entering into with certain Chinese entities, including one of our shareholders who holds less than 5% of our outstanding common stock. Because many laws and regulations are relatively new, the interpretations of many laws, regulations and rules are not always uniform. Moreover, the interpretation of statutes and regulations may be subject to government policies reflecting domestic political agendas. Enforcement of existing laws or contracts based on existing law may be uncertain and sporadic. Although we believe, based on our understanding of the current PRC laws, rules and regulations, the structure for our current and contemplated operations based in China complies with all applicable PRC laws, rules and regulations and does not violate, breach, contravene or otherwise conflict with any applicable PRC laws, rules or regulations, we cannot assure you that the PRC regulatory authorities will not determine that such joint venture arrangements do not violate PRC laws, rules or regulations. If the PRC regulatory authorities determine that any joint ventures, we may enter into are in violation of applicable PRC laws, rules or regulations, such joint venture arrangements may become invalid or unenforceable, which will substantially affect our operations adversely.</w:t>
      </w:r>
    </w:p>
    <w:p>
      <w:pPr>
        <w:spacing w:after="0" w:line="132"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Chinese government has broad discretion in dealing with violations of laws and regulations, including levying fines, revoking business and other licenses and requiring actions necessary for compliance. In particular, licenses and permits issued or granted by relevant governmental agencies may be revoked at a later time by other regulatory agencies. We cannot predict the effect of the interpretation of existing or new Chinese laws or regulations on our business. Any of these or similar actions could significantly disrupt our operations or restrict us from conducting a substantial portion of our operations, which could materially and adversely affect our business, financial condition and results of operations. There can be no assurance that the U.S. government will refrain from imposing additional restrictions or constraints on dealings or investments in China, including our investment in Transchip or any future joint venture arrangements.</w:t>
      </w:r>
    </w:p>
    <w:p>
      <w:pPr>
        <w:spacing w:after="0" w:line="128" w:lineRule="exact"/>
        <w:rPr>
          <w:sz w:val="20"/>
          <w:szCs w:val="20"/>
          <w:color w:val="auto"/>
        </w:rPr>
      </w:pPr>
    </w:p>
    <w:p>
      <w:pPr>
        <w:jc w:val="both"/>
        <w:ind w:right="20"/>
        <w:spacing w:after="0" w:line="313" w:lineRule="auto"/>
        <w:rPr>
          <w:sz w:val="20"/>
          <w:szCs w:val="20"/>
          <w:color w:val="auto"/>
        </w:rPr>
      </w:pPr>
      <w:r>
        <w:rPr>
          <w:rFonts w:ascii="Arial" w:cs="Arial" w:eastAsia="Arial" w:hAnsi="Arial"/>
          <w:sz w:val="17"/>
          <w:szCs w:val="17"/>
          <w:b w:val="1"/>
          <w:bCs w:val="1"/>
          <w:i w:val="1"/>
          <w:iCs w:val="1"/>
          <w:color w:val="auto"/>
        </w:rPr>
        <w:t>Joint ventures or similar investments are subject to a number of risks, the occurrence of which could adversely impact any of our current or future joint ventures or similar investments, which in turn could harm our business.</w:t>
      </w:r>
    </w:p>
    <w:p>
      <w:pPr>
        <w:spacing w:after="0" w:line="71"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Joint ventures or similar investments such as the investment in Transchip as discussed elsewhere in this report, and other joint ventures or similar investments we may form in the future are subject to a number of risks, including but not limited to:</w:t>
      </w:r>
    </w:p>
    <w:p>
      <w:pPr>
        <w:spacing w:after="0" w:line="104" w:lineRule="exact"/>
        <w:rPr>
          <w:sz w:val="20"/>
          <w:szCs w:val="20"/>
          <w:color w:val="auto"/>
        </w:rPr>
      </w:pPr>
    </w:p>
    <w:p>
      <w:pPr>
        <w:ind w:left="820" w:hanging="326"/>
        <w:spacing w:after="0" w:line="284" w:lineRule="auto"/>
        <w:tabs>
          <w:tab w:leader="none" w:pos="815" w:val="left"/>
        </w:tabs>
        <w:numPr>
          <w:ilvl w:val="0"/>
          <w:numId w:val="29"/>
        </w:numPr>
        <w:rPr>
          <w:rFonts w:ascii="Arial" w:cs="Arial" w:eastAsia="Arial" w:hAnsi="Arial"/>
          <w:sz w:val="17"/>
          <w:szCs w:val="17"/>
          <w:color w:val="auto"/>
        </w:rPr>
      </w:pPr>
      <w:r>
        <w:rPr>
          <w:rFonts w:ascii="Arial" w:cs="Arial" w:eastAsia="Arial" w:hAnsi="Arial"/>
          <w:sz w:val="17"/>
          <w:szCs w:val="17"/>
          <w:color w:val="auto"/>
        </w:rPr>
        <w:t>Our joint venture or investment partners may not commit sufficient resources to market and distribute our products or to otherwise support the joint venture and its intended operations.</w:t>
      </w:r>
    </w:p>
    <w:p>
      <w:pPr>
        <w:spacing w:after="0" w:line="104" w:lineRule="exact"/>
        <w:rPr>
          <w:rFonts w:ascii="Arial" w:cs="Arial" w:eastAsia="Arial" w:hAnsi="Arial"/>
          <w:sz w:val="17"/>
          <w:szCs w:val="17"/>
          <w:color w:val="auto"/>
        </w:rPr>
      </w:pPr>
    </w:p>
    <w:p>
      <w:pPr>
        <w:ind w:left="820" w:hanging="326"/>
        <w:spacing w:after="0"/>
        <w:tabs>
          <w:tab w:leader="none" w:pos="8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Our joint venture or investment partners may have economic or business interests or goals that are different from ours.</w:t>
      </w:r>
    </w:p>
    <w:p>
      <w:pPr>
        <w:spacing w:after="0" w:line="182" w:lineRule="exact"/>
        <w:rPr>
          <w:rFonts w:ascii="Arial" w:cs="Arial" w:eastAsia="Arial" w:hAnsi="Arial"/>
          <w:sz w:val="17"/>
          <w:szCs w:val="17"/>
          <w:color w:val="auto"/>
        </w:rPr>
      </w:pPr>
    </w:p>
    <w:p>
      <w:pPr>
        <w:ind w:left="820" w:right="20" w:hanging="326"/>
        <w:spacing w:after="0" w:line="284" w:lineRule="auto"/>
        <w:tabs>
          <w:tab w:leader="none" w:pos="815" w:val="left"/>
        </w:tabs>
        <w:numPr>
          <w:ilvl w:val="0"/>
          <w:numId w:val="29"/>
        </w:numPr>
        <w:rPr>
          <w:rFonts w:ascii="Arial" w:cs="Arial" w:eastAsia="Arial" w:hAnsi="Arial"/>
          <w:sz w:val="17"/>
          <w:szCs w:val="17"/>
          <w:color w:val="auto"/>
        </w:rPr>
      </w:pPr>
      <w:r>
        <w:rPr>
          <w:rFonts w:ascii="Arial" w:cs="Arial" w:eastAsia="Arial" w:hAnsi="Arial"/>
          <w:sz w:val="17"/>
          <w:szCs w:val="17"/>
          <w:color w:val="auto"/>
        </w:rPr>
        <w:t>Our joint venture or investment partners may infringe the IP we assign or license to such joint venture, or the IP of other parties, which may be adverse to us, expose us to litigation and other potential liabilities.</w:t>
      </w:r>
    </w:p>
    <w:p>
      <w:pPr>
        <w:spacing w:after="0" w:line="104" w:lineRule="exact"/>
        <w:rPr>
          <w:rFonts w:ascii="Arial" w:cs="Arial" w:eastAsia="Arial" w:hAnsi="Arial"/>
          <w:sz w:val="17"/>
          <w:szCs w:val="17"/>
          <w:color w:val="auto"/>
        </w:rPr>
      </w:pPr>
    </w:p>
    <w:p>
      <w:pPr>
        <w:jc w:val="both"/>
        <w:ind w:left="820" w:right="20" w:hanging="326"/>
        <w:spacing w:after="0" w:line="266" w:lineRule="auto"/>
        <w:tabs>
          <w:tab w:leader="none" w:pos="856" w:val="left"/>
        </w:tabs>
        <w:numPr>
          <w:ilvl w:val="0"/>
          <w:numId w:val="29"/>
        </w:numPr>
        <w:rPr>
          <w:rFonts w:ascii="Arial" w:cs="Arial" w:eastAsia="Arial" w:hAnsi="Arial"/>
          <w:sz w:val="17"/>
          <w:szCs w:val="17"/>
          <w:color w:val="auto"/>
        </w:rPr>
      </w:pPr>
      <w:r>
        <w:rPr>
          <w:rFonts w:ascii="Arial" w:cs="Arial" w:eastAsia="Arial" w:hAnsi="Arial"/>
          <w:sz w:val="17"/>
          <w:szCs w:val="17"/>
          <w:color w:val="auto"/>
        </w:rPr>
        <w:t>Disputes may arise among us and our joint venture or investment partners that result in adverse business conditions, delays or termination of activities contemplated by such joint venture or investment or that could result in costly litigation or arbitration that diverts management attention and resources.</w:t>
      </w:r>
    </w:p>
    <w:p>
      <w:pPr>
        <w:spacing w:after="0" w:line="133" w:lineRule="exact"/>
        <w:rPr>
          <w:rFonts w:ascii="Arial" w:cs="Arial" w:eastAsia="Arial" w:hAnsi="Arial"/>
          <w:sz w:val="17"/>
          <w:szCs w:val="17"/>
          <w:color w:val="auto"/>
        </w:rPr>
      </w:pPr>
    </w:p>
    <w:p>
      <w:pPr>
        <w:jc w:val="both"/>
        <w:ind w:left="820" w:hanging="326"/>
        <w:spacing w:after="0" w:line="266" w:lineRule="auto"/>
        <w:tabs>
          <w:tab w:leader="none" w:pos="829" w:val="left"/>
        </w:tabs>
        <w:numPr>
          <w:ilvl w:val="0"/>
          <w:numId w:val="29"/>
        </w:numPr>
        <w:rPr>
          <w:rFonts w:ascii="Arial" w:cs="Arial" w:eastAsia="Arial" w:hAnsi="Arial"/>
          <w:sz w:val="17"/>
          <w:szCs w:val="17"/>
          <w:color w:val="auto"/>
        </w:rPr>
      </w:pPr>
      <w:r>
        <w:rPr>
          <w:rFonts w:ascii="Arial" w:cs="Arial" w:eastAsia="Arial" w:hAnsi="Arial"/>
          <w:sz w:val="17"/>
          <w:szCs w:val="17"/>
          <w:color w:val="auto"/>
        </w:rPr>
        <w:t>Our joint venture or investment partners may not provide us with timely and accurate information regarding the status, compliance or activities of the joint venture or investment which could, among other things, impact our ability to accurately forecast financial results or provide timely information to our shareholders.</w:t>
      </w:r>
    </w:p>
    <w:p>
      <w:pPr>
        <w:spacing w:after="0" w:line="119" w:lineRule="exact"/>
        <w:rPr>
          <w:rFonts w:ascii="Arial" w:cs="Arial" w:eastAsia="Arial" w:hAnsi="Arial"/>
          <w:sz w:val="17"/>
          <w:szCs w:val="17"/>
          <w:color w:val="auto"/>
        </w:rPr>
      </w:pPr>
    </w:p>
    <w:p>
      <w:pPr>
        <w:ind w:left="820" w:hanging="326"/>
        <w:spacing w:after="0"/>
        <w:tabs>
          <w:tab w:leader="none" w:pos="8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Risks associated with the ability to generate sufficient revenue and or investment to continue operations.</w:t>
      </w:r>
    </w:p>
    <w:p>
      <w:pPr>
        <w:spacing w:after="0" w:line="169" w:lineRule="exact"/>
        <w:rPr>
          <w:rFonts w:ascii="Arial" w:cs="Arial" w:eastAsia="Arial" w:hAnsi="Arial"/>
          <w:sz w:val="17"/>
          <w:szCs w:val="17"/>
          <w:color w:val="auto"/>
        </w:rPr>
      </w:pPr>
    </w:p>
    <w:p>
      <w:pPr>
        <w:ind w:left="820" w:hanging="326"/>
        <w:spacing w:after="0" w:line="301" w:lineRule="auto"/>
        <w:tabs>
          <w:tab w:leader="none" w:pos="815" w:val="left"/>
        </w:tabs>
        <w:numPr>
          <w:ilvl w:val="0"/>
          <w:numId w:val="29"/>
        </w:numPr>
        <w:rPr>
          <w:rFonts w:ascii="Arial" w:cs="Arial" w:eastAsia="Arial" w:hAnsi="Arial"/>
          <w:sz w:val="17"/>
          <w:szCs w:val="17"/>
          <w:color w:val="auto"/>
        </w:rPr>
      </w:pPr>
      <w:r>
        <w:rPr>
          <w:rFonts w:ascii="Arial" w:cs="Arial" w:eastAsia="Arial" w:hAnsi="Arial"/>
          <w:sz w:val="17"/>
          <w:szCs w:val="17"/>
          <w:color w:val="auto"/>
        </w:rPr>
        <w:t>Any of the risks related to doing business in China or having a Chinese joint venture or investment that are discussed elsewhere in these risk factors.</w:t>
      </w:r>
    </w:p>
    <w:p>
      <w:pPr>
        <w:spacing w:after="0" w:line="90" w:lineRule="exact"/>
        <w:rPr>
          <w:sz w:val="20"/>
          <w:szCs w:val="20"/>
          <w:color w:val="auto"/>
        </w:rPr>
      </w:pPr>
    </w:p>
    <w:p>
      <w:pPr>
        <w:ind w:right="20"/>
        <w:spacing w:after="0" w:line="284" w:lineRule="auto"/>
        <w:rPr>
          <w:sz w:val="20"/>
          <w:szCs w:val="20"/>
          <w:color w:val="auto"/>
        </w:rPr>
      </w:pPr>
      <w:r>
        <w:rPr>
          <w:rFonts w:ascii="Arial" w:cs="Arial" w:eastAsia="Arial" w:hAnsi="Arial"/>
          <w:sz w:val="17"/>
          <w:szCs w:val="17"/>
          <w:color w:val="auto"/>
        </w:rPr>
        <w:t>The occurrence of one or more of the above risks, or any other negative events, could adversely impact our joint ventures or similar investments and could in turn harm our business.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63" w:name="page64"/>
    <w:bookmarkEnd w:id="63"/>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both"/>
        <w:ind w:right="20"/>
        <w:spacing w:after="0" w:line="296" w:lineRule="auto"/>
        <w:rPr>
          <w:sz w:val="20"/>
          <w:szCs w:val="20"/>
          <w:color w:val="auto"/>
        </w:rPr>
      </w:pPr>
      <w:r>
        <w:rPr>
          <w:rFonts w:ascii="Arial" w:cs="Arial" w:eastAsia="Arial" w:hAnsi="Arial"/>
          <w:sz w:val="17"/>
          <w:szCs w:val="17"/>
          <w:b w:val="1"/>
          <w:bCs w:val="1"/>
          <w:i w:val="1"/>
          <w:iCs w:val="1"/>
          <w:color w:val="auto"/>
        </w:rPr>
        <w:t>Social and environmental responsibility regulations, policies and provisions, as well as customer and investor demands, may make our supply chain more complex and may adversely affect our relationships with customers and investors.</w:t>
      </w:r>
    </w:p>
    <w:p>
      <w:pPr>
        <w:spacing w:after="0" w:line="85"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There is an increased focus on corporate social and environmental responsibility in the semiconductor industry. A number of our customers have adopted, or may adopt, procurement policies that include social and environmental responsibility provisions or requirements that their suppliers should comply with, or they may seek to include such provisions or requirements in their procurement terms and conditions. An increasing number of investors are also requiring companies to disclose corporate social and environmental policies, practices and metrics. Legal and regulatory requirements, as well as investor expectations, on corporate social responsibility practices and disclosure, are subject to change, can be unpredictable, and may be difficult and expensive for us to comply with, given the complexity of our supply. If we are unable to comply, or are unable to cause our suppliers to comply, with such policies or provisions or meet the requirements of our customers and our investors, a customer may stop purchasing products from us or an investor may sell their shares, and may take legal action against us, which could harm our reputation, revenue and results of operations.</w:t>
      </w:r>
    </w:p>
    <w:p>
      <w:pPr>
        <w:spacing w:after="0" w:line="128"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We could be subject to changes in tax rates or the adoption of new tax legislation, whether in or out of the United States, or could otherwise have exposure to additional tax liabilities, which could harm our business.</w:t>
      </w:r>
    </w:p>
    <w:p>
      <w:pPr>
        <w:spacing w:after="0" w:line="85"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As a multinational business, we are subject to income and other taxes in both the United States and various foreign jurisdictions. Changes to tax laws or regulations in the jurisdictions in which we operate, or in the interpretation of such laws or regulations, could, significantly increase our effective tax rate and reduce our cash flow from operating activities, and otherwise have a material adverse effect on our financial condition. In addition, other factors or events, including business combinations and investment transactions, changes in the valuation of our deferred tax assets and liabilities, adjustments to taxes upon finalization of various tax returns or as a result of deficiencies asserted by taxing authorities, increases in expenses not deductible for tax purposes, changes in available tax credits, changes in transfer pricing methodologies, other changes in the apportionment of our income and other activities among tax jurisdictions, and changes in tax rates, could also increase our effective tax rate.</w:t>
      </w:r>
    </w:p>
    <w:p>
      <w:pPr>
        <w:spacing w:after="0" w:line="124"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Our tax filings are subject to review or audit by the U.S. Internal Revenue Service (the IRS) and state, local and foreign taxing authorities. We may also be liable for taxes in connection with businesses we acquire. Our determinations are not binding on the IRS or any other taxing authorities, and accordingly the final determination in an audit or other proceeding may be materially different than the treatment reflected in our tax provisions, accruals and returns. An assessment of additional taxes because of an audit could harm our business.</w:t>
      </w:r>
    </w:p>
    <w:p>
      <w:pPr>
        <w:spacing w:after="0" w:line="138"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Further changes in the tax laws of foreign jurisdictions could arise, in particular, as a result of the base erosion and profit shifting project that was undertaken by the Organization for Economic Co-operation and Development (the OECD). The OECD, which represents a coalition of member countries, recommended changes to numerous long-standing tax principles. These changes, if adopted, could increase tax uncertainty and may adversely affect our provision for income taxes and increase our tax liabilities.</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ability to use net operating losses to offset future taxable income may be subject to certain limitations.</w:t>
      </w:r>
    </w:p>
    <w:p>
      <w:pPr>
        <w:spacing w:after="0" w:line="16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have incurred cumulative losses historically and it is possible that we will not achieve profitability in the future. Realization of our existing net operating loss (NOL) carryforwards and other tax attributes (such as research tax credits) depends on future taxable income, and there is a risk that our NOL carryforwards and other tax attributes could expire unused before we achieve profitability and be unavailable to offset future taxable income, which could materially and adversely affect our operating results.</w:t>
      </w:r>
    </w:p>
    <w:p>
      <w:pPr>
        <w:spacing w:after="0" w:line="119"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In general, under Sections 382 and 383 of the Internal Revenue Code of 1986, as amended (the Code), if a corporation undergoes an “ownership change,” generally defined as a cumulative change of more than 50 percentage points (by value) in its equity ownership by certain stockholders over a three-year period, the corporation’s ability to use its pre-change NOL carryforwards and other pre-change tax attributes (such as research tax credits) to offset its post-change income or taxes may be limited. We may have experienced ownership changes in the past and may experience additional ownership changes in the future, including as a result of subsequent changes in our stock ownership, some of which are outside our control. Accordingly, we may not be able to utilize a material portion of our NOL carryforwards, even if we achieve profitability.</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64" w:name="page65"/>
    <w:bookmarkEnd w:id="64"/>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The requirements of being a public company require significant resources and management attention and affect our ability to attract and retain executive management and qualified board members.</w:t>
      </w:r>
    </w:p>
    <w:p>
      <w:pPr>
        <w:spacing w:after="0" w:line="85"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As a public company, we incur increased legal, accounting, compliance and other expenses that we did not previously incur as a private company. We are subject to the Exchange Act, including the reporting requirements thereunder, the Sarbanes-Oxley Act, the Dodd-Frank Wall Street Reform and Consumer Protection Act, the rules and other applicable securities rules and regulations. These rules and regulations impose various requirements on public companies, including establishment and maintenance of effective disclosure and financial controls and corporate governance practices. Our management and other personnel need to devote a substantial amount of time to these compliance initiatives, which divert their attention away from our core business operations and revenue-producing activities. Moreover, compliance with these rules and regulations increases our legal and financial compliance costs, makes some activities more difficult, time-consuming or costly and increases demand on our systems and resources, particularly after we are no longer an ‘‘emerging growth company.’’ Further, we expect that these rules and regulations may make it more difficult and more expensive for us to obtain directors’ and officers’ liability insurance, which in turn could require us to incur substantially higher costs to obtain the same or similar coverage or accept reduced policy limits and coverage, which, if we accept such reduced policy limits and coverage, could make it more difficult for us to attract and retain qualified individuals to serve on our board of directors and as our executive officers. In addition, prior to our initial public offering, we were not required to comply with SEC requirements to have our financial statements completed and reviewed or audited within a specified time and, as such, we may experience difficulty in meeting the applicable reporting requirements under the Exchange Act. Any failure by us to file our periodic reports with the SEC in a timely manner could harm our reputation and reduce the trading price of our common stock.</w:t>
      </w:r>
    </w:p>
    <w:p>
      <w:pPr>
        <w:spacing w:after="0" w:line="137"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We continue to evaluate these rules and regulations and cannot predict or estimate the amount of additional costs we may incur or the timing of such costs. These rules and regulations are often subject to varying interpretations, in many cases due to their lack of specificity, and, as a result, their application in practice may evolve over time as new guidance is provided by the courts, regulatory and governing bodies. This could result in continuing uncertainty regarding compliance matters and higher costs necessitated by ongoing revisions to disclosure and governance practices. In addition, if we fail to comply with these rules and regulations, we could be subject to a number of penalties, including the delisting of our common stock, fines, sanctions or other regulatory action or civil litigation.</w:t>
      </w:r>
    </w:p>
    <w:p>
      <w:pPr>
        <w:spacing w:after="0" w:line="125" w:lineRule="exact"/>
        <w:rPr>
          <w:sz w:val="20"/>
          <w:szCs w:val="20"/>
          <w:color w:val="auto"/>
        </w:rPr>
      </w:pPr>
    </w:p>
    <w:p>
      <w:pPr>
        <w:jc w:val="both"/>
        <w:ind w:right="20"/>
        <w:spacing w:after="0" w:line="313" w:lineRule="auto"/>
        <w:rPr>
          <w:sz w:val="20"/>
          <w:szCs w:val="20"/>
          <w:color w:val="auto"/>
        </w:rPr>
      </w:pPr>
      <w:r>
        <w:rPr>
          <w:rFonts w:ascii="Arial" w:cs="Arial" w:eastAsia="Arial" w:hAnsi="Arial"/>
          <w:sz w:val="17"/>
          <w:szCs w:val="17"/>
          <w:b w:val="1"/>
          <w:bCs w:val="1"/>
          <w:i w:val="1"/>
          <w:iCs w:val="1"/>
          <w:color w:val="auto"/>
        </w:rPr>
        <w:t>If we fail to maintain an effective system of disclosure controls and internal control over financial reporting, our ability to produce timely and accurate financial statements or comply with applicable regulations could be impaired.</w:t>
      </w:r>
    </w:p>
    <w:p>
      <w:pPr>
        <w:spacing w:after="0" w:line="71"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Sarbanes-Oxley Act requires, among other things, that we maintain effective disclosure controls and procedures and internal control over financial reporting. Our disclosure controls and other procedures are designed to ensure that information required to be disclosed by us in the reports that we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and we continue to evaluate how to improve controls. We are also continuing to improve our internal control over financial reporting. In order to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w:t>
      </w:r>
    </w:p>
    <w:p>
      <w:pPr>
        <w:spacing w:after="0" w:line="128"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Our current controls and any new controls that we develop may become inadequate because of changes in conditions in our business. Further, weaknesses in our disclosure controls and internal control over financial reporting may be discovered in the future. Any failure to develop or maintain effective controls or any difficulties encountered in their implementation or improvement could harm our business or cause us to fail to meet our reporting obligations and may result in a restatement of our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are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 of our common stock. In addition, if we are unable to continue to meet these requirements, we may not be able to remain listed. As a public company, we are required to provide an annual management report on the effectiveness of our internal control over financial reporting.</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65" w:name="page66"/>
    <w:bookmarkEnd w:id="65"/>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Our independent registered public accounting firm is not required to formally attest to the effectiveness of our internal control over financial reporting until after we are no longer an “emerging growth company” as defined in the JOBS Act. At such time, our independent registered public accounting firm may issue a report that is adverse in the event it is not satisfied with the level at which our internal control over financial reporting is documented, designed or operating. Any failure to maintain effective disclosure controls and internal control over financial reporting could harm our business and could cause a decline in the trading price of our common stock.</w:t>
      </w:r>
    </w:p>
    <w:p>
      <w:pPr>
        <w:spacing w:after="0" w:line="125"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We are an “emerging growth company,” and we cannot be certain if the reduced disclosure requirements applicable to emerging growth companies will make our common stock less attractive to investors.</w:t>
      </w:r>
    </w:p>
    <w:p>
      <w:pPr>
        <w:spacing w:after="0" w:line="8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are an “emerging growth company,” as defined in the JOBS Act, and we could remain an emerging growth company until the last day of our fiscal year following the fifth anniversary of the closing of our initial public offering. For as long as we continue to be an emerging growth company, we may choose to take advantage of certain exemptions from various reporting requirements that are applicable to other public companies that are not emerging growth companies, including, but not limited to:</w:t>
      </w:r>
    </w:p>
    <w:p>
      <w:pPr>
        <w:spacing w:after="0" w:line="119" w:lineRule="exact"/>
        <w:rPr>
          <w:sz w:val="20"/>
          <w:szCs w:val="20"/>
          <w:color w:val="auto"/>
        </w:rPr>
      </w:pPr>
    </w:p>
    <w:p>
      <w:pPr>
        <w:ind w:left="820" w:hanging="326"/>
        <w:spacing w:after="0" w:line="284" w:lineRule="auto"/>
        <w:tabs>
          <w:tab w:leader="none" w:pos="842" w:val="left"/>
        </w:tabs>
        <w:numPr>
          <w:ilvl w:val="0"/>
          <w:numId w:val="30"/>
        </w:numPr>
        <w:rPr>
          <w:rFonts w:ascii="Arial" w:cs="Arial" w:eastAsia="Arial" w:hAnsi="Arial"/>
          <w:sz w:val="17"/>
          <w:szCs w:val="17"/>
          <w:color w:val="auto"/>
        </w:rPr>
      </w:pPr>
      <w:r>
        <w:rPr>
          <w:rFonts w:ascii="Arial" w:cs="Arial" w:eastAsia="Arial" w:hAnsi="Arial"/>
          <w:sz w:val="17"/>
          <w:szCs w:val="17"/>
          <w:color w:val="auto"/>
        </w:rPr>
        <w:t>not being required to engage an auditor to report on our internal controls over financial reporting pursuant to Section 404(b) of the Sarbanes-Oxley Act;</w:t>
      </w:r>
    </w:p>
    <w:p>
      <w:pPr>
        <w:spacing w:after="0" w:line="104" w:lineRule="exact"/>
        <w:rPr>
          <w:rFonts w:ascii="Arial" w:cs="Arial" w:eastAsia="Arial" w:hAnsi="Arial"/>
          <w:sz w:val="17"/>
          <w:szCs w:val="17"/>
          <w:color w:val="auto"/>
        </w:rPr>
      </w:pPr>
    </w:p>
    <w:p>
      <w:pPr>
        <w:jc w:val="both"/>
        <w:ind w:left="820" w:hanging="326"/>
        <w:spacing w:after="0" w:line="274" w:lineRule="auto"/>
        <w:tabs>
          <w:tab w:leader="none" w:pos="829" w:val="left"/>
        </w:tabs>
        <w:numPr>
          <w:ilvl w:val="0"/>
          <w:numId w:val="30"/>
        </w:numPr>
        <w:rPr>
          <w:rFonts w:ascii="Arial" w:cs="Arial" w:eastAsia="Arial" w:hAnsi="Arial"/>
          <w:sz w:val="17"/>
          <w:szCs w:val="17"/>
          <w:color w:val="auto"/>
        </w:rPr>
      </w:pPr>
      <w:r>
        <w:rPr>
          <w:rFonts w:ascii="Arial" w:cs="Arial" w:eastAsia="Arial" w:hAnsi="Arial"/>
          <w:sz w:val="17"/>
          <w:szCs w:val="17"/>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 (i.e., an auditor discussion and analysis);</w:t>
      </w:r>
    </w:p>
    <w:p>
      <w:pPr>
        <w:spacing w:after="0" w:line="113" w:lineRule="exact"/>
        <w:rPr>
          <w:rFonts w:ascii="Arial" w:cs="Arial" w:eastAsia="Arial" w:hAnsi="Arial"/>
          <w:sz w:val="17"/>
          <w:szCs w:val="17"/>
          <w:color w:val="auto"/>
        </w:rPr>
      </w:pPr>
    </w:p>
    <w:p>
      <w:pPr>
        <w:ind w:left="820" w:hanging="326"/>
        <w:spacing w:after="0" w:line="284" w:lineRule="auto"/>
        <w:tabs>
          <w:tab w:leader="none" w:pos="842" w:val="left"/>
        </w:tabs>
        <w:numPr>
          <w:ilvl w:val="0"/>
          <w:numId w:val="30"/>
        </w:numPr>
        <w:rPr>
          <w:rFonts w:ascii="Arial" w:cs="Arial" w:eastAsia="Arial" w:hAnsi="Arial"/>
          <w:sz w:val="17"/>
          <w:szCs w:val="17"/>
          <w:color w:val="auto"/>
        </w:rPr>
      </w:pPr>
      <w:r>
        <w:rPr>
          <w:rFonts w:ascii="Arial" w:cs="Arial" w:eastAsia="Arial" w:hAnsi="Arial"/>
          <w:sz w:val="17"/>
          <w:szCs w:val="17"/>
          <w:color w:val="auto"/>
        </w:rPr>
        <w:t>not being required to submit certain executive compensation matters to stockholder advisory votes, such as “say-on-pay,” “say-on-frequency,” and “say-on-golden-parachutes”; and</w:t>
      </w:r>
    </w:p>
    <w:p>
      <w:pPr>
        <w:spacing w:after="0" w:line="104" w:lineRule="exact"/>
        <w:rPr>
          <w:rFonts w:ascii="Arial" w:cs="Arial" w:eastAsia="Arial" w:hAnsi="Arial"/>
          <w:sz w:val="17"/>
          <w:szCs w:val="17"/>
          <w:color w:val="auto"/>
        </w:rPr>
      </w:pPr>
    </w:p>
    <w:p>
      <w:pPr>
        <w:ind w:left="820" w:hanging="326"/>
        <w:spacing w:after="0" w:line="301" w:lineRule="auto"/>
        <w:tabs>
          <w:tab w:leader="none" w:pos="815" w:val="left"/>
        </w:tabs>
        <w:numPr>
          <w:ilvl w:val="0"/>
          <w:numId w:val="30"/>
        </w:numPr>
        <w:rPr>
          <w:rFonts w:ascii="Arial" w:cs="Arial" w:eastAsia="Arial" w:hAnsi="Arial"/>
          <w:sz w:val="17"/>
          <w:szCs w:val="17"/>
          <w:color w:val="auto"/>
        </w:rPr>
      </w:pPr>
      <w:r>
        <w:rPr>
          <w:rFonts w:ascii="Arial" w:cs="Arial" w:eastAsia="Arial" w:hAnsi="Arial"/>
          <w:sz w:val="17"/>
          <w:szCs w:val="17"/>
          <w:color w:val="auto"/>
        </w:rPr>
        <w:t>not being required to disclose certain executive compensation related items such as the correlation between executive compensation and performance and comparisons of the chief executive officer’s compensation to median employee compensation.</w:t>
      </w:r>
    </w:p>
    <w:p>
      <w:pPr>
        <w:spacing w:after="0" w:line="9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In addition, as an emerging growth company, we are only permitted to provide two years of audited financial statements and two years of selected financial data (in addition to any required interim financial statements and selected financial data) in this report, and to present correspondingly reduced disclosure in “Management’s Discussion and Analysis of Financial Condition and Results of Operations.”</w:t>
      </w:r>
    </w:p>
    <w:p>
      <w:pPr>
        <w:spacing w:after="0" w:line="120"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We have elected to take advantage of this reduced disclosure obligation and certain of the other exemptions described above and may elect to take advantage of these and other reduced reporting requirements in the future. As a result, the information that we provide to our stockholders may be different than the information you might receive from other public reporting companies in which you hold equity interests. In addition, the JOBS Act permits emerging growth companies to delay adopting new or revised accounting standards until such time as those standards apply to private companies. We have elected to use this extended transition period for complying with new or revised accounting standards until the earlier of the date we (i) are no longer an emerging growth company; or (ii) affirmatively and irrevocably opt out of the extended transition period provided in the JOBS Act. As a result, our consolidated financial statements and the reported results of operations contained therein may not be directly comparable to those of other public companies. We cannot predict whether investors will find our common stock less attractive because of our reliance on these exemptions. If some investors do find our common stock less attractive, there may be a less active trading market for our common stock and our stock price may be reduced or become more volatile.</w:t>
      </w:r>
    </w:p>
    <w:p>
      <w:pPr>
        <w:spacing w:after="0" w:line="129"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We will remain an emerging growth company, and will be able to take advantage of the foregoing exemptions, until the last day of our fiscal year following the fifth anniversary of the closing of our initial public offering or such earlier time that we otherwise cease to be an emerging growth company, which will occur upon the earliest of (i) the last day of the first fiscal year in which our annual gross revenue is $1.235 billion or more;</w:t>
      </w:r>
    </w:p>
    <w:p>
      <w:pPr>
        <w:spacing w:after="0" w:line="2" w:lineRule="exact"/>
        <w:rPr>
          <w:sz w:val="20"/>
          <w:szCs w:val="20"/>
          <w:color w:val="auto"/>
        </w:rPr>
      </w:pPr>
    </w:p>
    <w:p>
      <w:pPr>
        <w:jc w:val="both"/>
        <w:ind w:firstLine="8"/>
        <w:spacing w:after="0" w:line="256" w:lineRule="auto"/>
        <w:tabs>
          <w:tab w:leader="none" w:pos="251"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date on which we have, during the previous three-year period, issued more than $1.0 billion in non-convertible debt securities; and (iii) the date that we become a “large accelerated filer” as defined in Rule 12b-2 under the Exchange Act, which will occur as of the end of any fiscal year in which (x) the market value of our common equity held by non-affiliates is $700 million or more as of the last business day of our most recently completed second fiscal quarter, (y) we have been required to file annual and quarterly reports under the Exchange Act for a period of at least 12 months and (z) we have filed at least one annual report pursuant to the Exchange Act.</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66" w:name="page67"/>
    <w:bookmarkEnd w:id="66"/>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Ownership of Our Common Stock</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An active and liquid trading market for our common stock may not be sustained.</w:t>
      </w:r>
    </w:p>
    <w:p>
      <w:pPr>
        <w:spacing w:after="0" w:line="169"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Our common stock is currently listed on the Nasdaq Stock Market under the symbol “AIP”. The price for our common stock may vary and an active or liquid market in our common stock may not be sustained. The lack of an active market may impair the value of your shares, your ability to sell your shares at the time you wish to sell them and the prices that you may obtain for your shares. An inactive market may also impair our ability to raise further capital by selling additional shares of our common stock and our ability to acquire other companies, products or technologies by using our common stock as consideration. Furthermore, there can be no guarantee that we will continue to satisfy the continued listing standards of Nasdaq. If we fail to satisfy the continued listing standards, we could be delisted, which would negatively impact the value and liquidity of your investment.</w:t>
      </w:r>
    </w:p>
    <w:p>
      <w:pPr>
        <w:spacing w:after="0" w:line="336" w:lineRule="exact"/>
        <w:rPr>
          <w:sz w:val="20"/>
          <w:szCs w:val="20"/>
          <w:color w:val="auto"/>
        </w:rPr>
      </w:pPr>
    </w:p>
    <w:p>
      <w:pPr>
        <w:jc w:val="both"/>
        <w:ind w:right="20"/>
        <w:spacing w:after="0" w:line="296" w:lineRule="auto"/>
        <w:rPr>
          <w:sz w:val="20"/>
          <w:szCs w:val="20"/>
          <w:color w:val="auto"/>
        </w:rPr>
      </w:pPr>
      <w:r>
        <w:rPr>
          <w:rFonts w:ascii="Arial" w:cs="Arial" w:eastAsia="Arial" w:hAnsi="Arial"/>
          <w:sz w:val="17"/>
          <w:szCs w:val="17"/>
          <w:b w:val="1"/>
          <w:bCs w:val="1"/>
          <w:i w:val="1"/>
          <w:iCs w:val="1"/>
          <w:color w:val="auto"/>
        </w:rPr>
        <w:t>Our stock price may be volatile, and investors in our common stock may not be able to resell shares of our common stock at or above the price paid, or at all.</w:t>
      </w:r>
    </w:p>
    <w:p>
      <w:pPr>
        <w:spacing w:after="0" w:line="85" w:lineRule="exact"/>
        <w:rPr>
          <w:sz w:val="20"/>
          <w:szCs w:val="20"/>
          <w:color w:val="auto"/>
        </w:rPr>
      </w:pPr>
    </w:p>
    <w:p>
      <w:pPr>
        <w:jc w:val="both"/>
        <w:ind w:right="20"/>
        <w:spacing w:after="0" w:line="284" w:lineRule="auto"/>
        <w:rPr>
          <w:sz w:val="20"/>
          <w:szCs w:val="20"/>
          <w:color w:val="auto"/>
        </w:rPr>
      </w:pPr>
      <w:r>
        <w:rPr>
          <w:rFonts w:ascii="Arial" w:cs="Arial" w:eastAsia="Arial" w:hAnsi="Arial"/>
          <w:sz w:val="17"/>
          <w:szCs w:val="17"/>
          <w:color w:val="auto"/>
        </w:rPr>
        <w:t>The trading price of our common stock could be volatile and subject to wide fluctuations in response to various factors, many of which are beyond our control, including, but not limited to:</w:t>
      </w:r>
    </w:p>
    <w:p>
      <w:pPr>
        <w:spacing w:after="0" w:line="104" w:lineRule="exact"/>
        <w:rPr>
          <w:sz w:val="20"/>
          <w:szCs w:val="20"/>
          <w:color w:val="auto"/>
        </w:rPr>
      </w:pPr>
    </w:p>
    <w:p>
      <w:pPr>
        <w:ind w:left="820" w:hanging="326"/>
        <w:spacing w:after="0"/>
        <w:tabs>
          <w:tab w:leader="none" w:pos="8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variations in our actual or anticipated annual or quarterly operating results or those of others in our industry;</w:t>
      </w:r>
    </w:p>
    <w:p>
      <w:pPr>
        <w:spacing w:after="0" w:line="182" w:lineRule="exact"/>
        <w:rPr>
          <w:rFonts w:ascii="Arial" w:cs="Arial" w:eastAsia="Arial" w:hAnsi="Arial"/>
          <w:sz w:val="17"/>
          <w:szCs w:val="17"/>
          <w:color w:val="auto"/>
        </w:rPr>
      </w:pPr>
    </w:p>
    <w:p>
      <w:pPr>
        <w:ind w:left="820" w:hanging="326"/>
        <w:spacing w:after="0"/>
        <w:tabs>
          <w:tab w:leader="none" w:pos="8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potential effects arising if U.S. inflationary and/or currency devaluation trends appear or increase;</w:t>
      </w:r>
    </w:p>
    <w:p>
      <w:pPr>
        <w:spacing w:after="0" w:line="169" w:lineRule="exact"/>
        <w:rPr>
          <w:rFonts w:ascii="Arial" w:cs="Arial" w:eastAsia="Arial" w:hAnsi="Arial"/>
          <w:sz w:val="17"/>
          <w:szCs w:val="17"/>
          <w:color w:val="auto"/>
        </w:rPr>
      </w:pPr>
    </w:p>
    <w:p>
      <w:pPr>
        <w:ind w:left="820" w:hanging="326"/>
        <w:spacing w:after="0"/>
        <w:tabs>
          <w:tab w:leader="none" w:pos="8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results of operations that otherwise fail to meet the expectations of securities analysts and investors;</w:t>
      </w:r>
    </w:p>
    <w:p>
      <w:pPr>
        <w:spacing w:after="0" w:line="169" w:lineRule="exact"/>
        <w:rPr>
          <w:rFonts w:ascii="Arial" w:cs="Arial" w:eastAsia="Arial" w:hAnsi="Arial"/>
          <w:sz w:val="17"/>
          <w:szCs w:val="17"/>
          <w:color w:val="auto"/>
        </w:rPr>
      </w:pPr>
    </w:p>
    <w:p>
      <w:pPr>
        <w:ind w:left="820" w:hanging="326"/>
        <w:spacing w:after="0" w:line="284" w:lineRule="auto"/>
        <w:tabs>
          <w:tab w:leader="none" w:pos="829" w:val="left"/>
        </w:tabs>
        <w:numPr>
          <w:ilvl w:val="0"/>
          <w:numId w:val="32"/>
        </w:numPr>
        <w:rPr>
          <w:rFonts w:ascii="Arial" w:cs="Arial" w:eastAsia="Arial" w:hAnsi="Arial"/>
          <w:sz w:val="17"/>
          <w:szCs w:val="17"/>
          <w:color w:val="auto"/>
        </w:rPr>
      </w:pPr>
      <w:r>
        <w:rPr>
          <w:rFonts w:ascii="Arial" w:cs="Arial" w:eastAsia="Arial" w:hAnsi="Arial"/>
          <w:sz w:val="17"/>
          <w:szCs w:val="17"/>
          <w:color w:val="auto"/>
        </w:rPr>
        <w:t>changes in earnings estimates or recommendations by securities analysts, or other changes in investor perceptions of the investment opportunity associated with our common stock relative to other investment alternatives;</w:t>
      </w:r>
    </w:p>
    <w:p>
      <w:pPr>
        <w:spacing w:after="0" w:line="104" w:lineRule="exact"/>
        <w:rPr>
          <w:rFonts w:ascii="Arial" w:cs="Arial" w:eastAsia="Arial" w:hAnsi="Arial"/>
          <w:sz w:val="17"/>
          <w:szCs w:val="17"/>
          <w:color w:val="auto"/>
        </w:rPr>
      </w:pPr>
    </w:p>
    <w:p>
      <w:pPr>
        <w:ind w:left="820" w:hanging="326"/>
        <w:spacing w:after="0"/>
        <w:tabs>
          <w:tab w:leader="none" w:pos="8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market conditions in the semiconductor industry;</w:t>
      </w:r>
    </w:p>
    <w:p>
      <w:pPr>
        <w:spacing w:after="0" w:line="182" w:lineRule="exact"/>
        <w:rPr>
          <w:rFonts w:ascii="Arial" w:cs="Arial" w:eastAsia="Arial" w:hAnsi="Arial"/>
          <w:sz w:val="17"/>
          <w:szCs w:val="17"/>
          <w:color w:val="auto"/>
        </w:rPr>
      </w:pPr>
    </w:p>
    <w:p>
      <w:pPr>
        <w:ind w:left="820" w:hanging="326"/>
        <w:spacing w:after="0"/>
        <w:tabs>
          <w:tab w:leader="none" w:pos="8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failure to meet our publicly announced guidance or other expectations about our business;</w:t>
      </w:r>
    </w:p>
    <w:p>
      <w:pPr>
        <w:spacing w:after="0" w:line="169" w:lineRule="exact"/>
        <w:rPr>
          <w:rFonts w:ascii="Arial" w:cs="Arial" w:eastAsia="Arial" w:hAnsi="Arial"/>
          <w:sz w:val="17"/>
          <w:szCs w:val="17"/>
          <w:color w:val="auto"/>
        </w:rPr>
      </w:pPr>
    </w:p>
    <w:p>
      <w:pPr>
        <w:ind w:left="820" w:hanging="326"/>
        <w:spacing w:after="0"/>
        <w:tabs>
          <w:tab w:leader="none" w:pos="8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publications, reports or other media exposure of our products or those of others in our industry, or of our industry generally;</w:t>
      </w:r>
    </w:p>
    <w:p>
      <w:pPr>
        <w:spacing w:after="0" w:line="169" w:lineRule="exact"/>
        <w:rPr>
          <w:rFonts w:ascii="Arial" w:cs="Arial" w:eastAsia="Arial" w:hAnsi="Arial"/>
          <w:sz w:val="17"/>
          <w:szCs w:val="17"/>
          <w:color w:val="auto"/>
        </w:rPr>
      </w:pPr>
    </w:p>
    <w:p>
      <w:pPr>
        <w:jc w:val="both"/>
        <w:ind w:left="820" w:hanging="326"/>
        <w:spacing w:after="0" w:line="266" w:lineRule="auto"/>
        <w:tabs>
          <w:tab w:leader="none" w:pos="815" w:val="left"/>
        </w:tabs>
        <w:numPr>
          <w:ilvl w:val="0"/>
          <w:numId w:val="32"/>
        </w:numPr>
        <w:rPr>
          <w:rFonts w:ascii="Arial" w:cs="Arial" w:eastAsia="Arial" w:hAnsi="Arial"/>
          <w:sz w:val="17"/>
          <w:szCs w:val="17"/>
          <w:color w:val="auto"/>
        </w:rPr>
      </w:pPr>
      <w:r>
        <w:rPr>
          <w:rFonts w:ascii="Arial" w:cs="Arial" w:eastAsia="Arial" w:hAnsi="Arial"/>
          <w:sz w:val="17"/>
          <w:szCs w:val="17"/>
          <w:color w:val="auto"/>
        </w:rPr>
        <w:t>announcements by us or others in our industry, or by our or their respective suppliers, distributors or other business partners, regarding, among other things, significant contracts, price reductions, capital commitments or other business developments, the entry into or termination of strategic transactions or relationships, securities offerings or other financing initiatives, and public reaction thereto;</w:t>
      </w:r>
    </w:p>
    <w:p>
      <w:pPr>
        <w:spacing w:after="0" w:line="133" w:lineRule="exact"/>
        <w:rPr>
          <w:rFonts w:ascii="Arial" w:cs="Arial" w:eastAsia="Arial" w:hAnsi="Arial"/>
          <w:sz w:val="17"/>
          <w:szCs w:val="17"/>
          <w:color w:val="auto"/>
        </w:rPr>
      </w:pPr>
    </w:p>
    <w:p>
      <w:pPr>
        <w:ind w:left="820" w:hanging="326"/>
        <w:spacing w:after="0"/>
        <w:tabs>
          <w:tab w:leader="none" w:pos="8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additions or departures of key management personnel;</w:t>
      </w:r>
    </w:p>
    <w:p>
      <w:pPr>
        <w:spacing w:after="0" w:line="169" w:lineRule="exact"/>
        <w:rPr>
          <w:rFonts w:ascii="Arial" w:cs="Arial" w:eastAsia="Arial" w:hAnsi="Arial"/>
          <w:sz w:val="17"/>
          <w:szCs w:val="17"/>
          <w:color w:val="auto"/>
        </w:rPr>
      </w:pPr>
    </w:p>
    <w:p>
      <w:pPr>
        <w:ind w:left="820" w:hanging="326"/>
        <w:spacing w:after="0" w:line="284" w:lineRule="auto"/>
        <w:tabs>
          <w:tab w:leader="none" w:pos="842" w:val="left"/>
        </w:tabs>
        <w:numPr>
          <w:ilvl w:val="0"/>
          <w:numId w:val="32"/>
        </w:numPr>
        <w:rPr>
          <w:rFonts w:ascii="Arial" w:cs="Arial" w:eastAsia="Arial" w:hAnsi="Arial"/>
          <w:sz w:val="17"/>
          <w:szCs w:val="17"/>
          <w:color w:val="auto"/>
        </w:rPr>
      </w:pPr>
      <w:r>
        <w:rPr>
          <w:rFonts w:ascii="Arial" w:cs="Arial" w:eastAsia="Arial" w:hAnsi="Arial"/>
          <w:sz w:val="17"/>
          <w:szCs w:val="17"/>
          <w:color w:val="auto"/>
        </w:rPr>
        <w:t>regulatory actions involving us or others in our industry, or actual or anticipated changes in applicable government regulations or enforcement thereof;</w:t>
      </w:r>
    </w:p>
    <w:p>
      <w:pPr>
        <w:spacing w:after="0" w:line="104" w:lineRule="exact"/>
        <w:rPr>
          <w:rFonts w:ascii="Arial" w:cs="Arial" w:eastAsia="Arial" w:hAnsi="Arial"/>
          <w:sz w:val="17"/>
          <w:szCs w:val="17"/>
          <w:color w:val="auto"/>
        </w:rPr>
      </w:pPr>
    </w:p>
    <w:p>
      <w:pPr>
        <w:ind w:left="820" w:hanging="326"/>
        <w:spacing w:after="0"/>
        <w:tabs>
          <w:tab w:leader="none" w:pos="8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development and sustainability of an active trading market for our common stock;</w:t>
      </w:r>
    </w:p>
    <w:p>
      <w:pPr>
        <w:spacing w:after="0" w:line="169" w:lineRule="exact"/>
        <w:rPr>
          <w:rFonts w:ascii="Arial" w:cs="Arial" w:eastAsia="Arial" w:hAnsi="Arial"/>
          <w:sz w:val="17"/>
          <w:szCs w:val="17"/>
          <w:color w:val="auto"/>
        </w:rPr>
      </w:pPr>
    </w:p>
    <w:p>
      <w:pPr>
        <w:jc w:val="both"/>
        <w:ind w:left="820" w:hanging="326"/>
        <w:spacing w:after="0" w:line="274" w:lineRule="auto"/>
        <w:tabs>
          <w:tab w:leader="none" w:pos="815" w:val="left"/>
        </w:tabs>
        <w:numPr>
          <w:ilvl w:val="0"/>
          <w:numId w:val="32"/>
        </w:numPr>
        <w:rPr>
          <w:rFonts w:ascii="Arial" w:cs="Arial" w:eastAsia="Arial" w:hAnsi="Arial"/>
          <w:sz w:val="17"/>
          <w:szCs w:val="17"/>
          <w:color w:val="auto"/>
        </w:rPr>
      </w:pPr>
      <w:r>
        <w:rPr>
          <w:rFonts w:ascii="Arial" w:cs="Arial" w:eastAsia="Arial" w:hAnsi="Arial"/>
          <w:sz w:val="17"/>
          <w:szCs w:val="17"/>
          <w:color w:val="auto"/>
        </w:rPr>
        <w:t>sales, or anticipated sales, of large blocks of our common stock, such as any sales that may occur following the expiration of the lockups entered into in connection with our initial public offering or any sales to cover tax obligations or exercise costs in connection with the vesting of restricted stock units or the exercise of options, respectively;</w:t>
      </w:r>
    </w:p>
    <w:p>
      <w:pPr>
        <w:spacing w:after="0" w:line="113" w:lineRule="exact"/>
        <w:rPr>
          <w:rFonts w:ascii="Arial" w:cs="Arial" w:eastAsia="Arial" w:hAnsi="Arial"/>
          <w:sz w:val="17"/>
          <w:szCs w:val="17"/>
          <w:color w:val="auto"/>
        </w:rPr>
      </w:pPr>
    </w:p>
    <w:p>
      <w:pPr>
        <w:ind w:left="820" w:hanging="326"/>
        <w:spacing w:after="0"/>
        <w:tabs>
          <w:tab w:leader="none" w:pos="8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general economic and securities market conditions, including rising interest rates; and</w:t>
      </w:r>
    </w:p>
    <w:p>
      <w:pPr>
        <w:spacing w:after="0" w:line="169" w:lineRule="exact"/>
        <w:rPr>
          <w:rFonts w:ascii="Arial" w:cs="Arial" w:eastAsia="Arial" w:hAnsi="Arial"/>
          <w:sz w:val="17"/>
          <w:szCs w:val="17"/>
          <w:color w:val="auto"/>
        </w:rPr>
      </w:pPr>
    </w:p>
    <w:p>
      <w:pPr>
        <w:ind w:left="820" w:hanging="326"/>
        <w:spacing w:after="0"/>
        <w:tabs>
          <w:tab w:leader="none" w:pos="8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other factors discussed in this “Risk Factors” section and elsewhere in this report.</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67" w:name="page68"/>
    <w:bookmarkEnd w:id="67"/>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Furthermore, the stock market in general has experienced extreme price and volume fluctuations that have often been unrelated or disproportionate to the operating performance of particular companies. Broad market and industry factors may significantly affect the market price of our common stock, regardless of our actual operating performance. These and other factors may cause the market price and demand for our common stock to fluctuate significantly, which may limit or prevent investors from readily selling their shares of common stock and may otherwise negatively affect the liquidity of our common stock. In addition, in the past, when the market price of a stock has been volatile, holders of that stock have sometimes instituted securities class action litigation against the company that issued the stock. If any of our stockholders were to bring a lawsuit against us, we could incur substantial costs defending the lawsuit. Such a lawsuit could also divert the time and attention of our management from our core business operations.</w:t>
      </w:r>
    </w:p>
    <w:p>
      <w:pPr>
        <w:spacing w:after="0" w:line="141" w:lineRule="exact"/>
        <w:rPr>
          <w:sz w:val="20"/>
          <w:szCs w:val="20"/>
          <w:color w:val="auto"/>
        </w:rPr>
      </w:pPr>
    </w:p>
    <w:p>
      <w:pPr>
        <w:jc w:val="both"/>
        <w:ind w:right="20"/>
        <w:spacing w:after="0" w:line="284" w:lineRule="auto"/>
        <w:rPr>
          <w:sz w:val="20"/>
          <w:szCs w:val="20"/>
          <w:color w:val="auto"/>
        </w:rPr>
      </w:pPr>
      <w:r>
        <w:rPr>
          <w:rFonts w:ascii="Arial" w:cs="Arial" w:eastAsia="Arial" w:hAnsi="Arial"/>
          <w:sz w:val="17"/>
          <w:szCs w:val="17"/>
          <w:color w:val="auto"/>
        </w:rPr>
        <w:t>Since our stock price may be volatile, investors in our common stock may not be able to resell shares of our common stock at or above the price paid, or at all.</w:t>
      </w:r>
    </w:p>
    <w:p>
      <w:pPr>
        <w:spacing w:after="0" w:line="104"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We may fail to meet our publicly announced guidance or other expectations about our business, which could cause our stock price to decline.</w:t>
      </w:r>
    </w:p>
    <w:p>
      <w:pPr>
        <w:spacing w:after="0" w:line="85"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We provide guidance regarding our expected financial and business performance including our anticipated future revenues, operating expenses and other financial metrics. Correctly identifying the key factors affecting business conditions and predicting future events is inherently uncertain. Any guidance that we provide may not always be accurate or may vary from actual results due to our inability to correctly identify risks and uncertainties and to quantify their impact on our financial performance. We provide no assurances that such guidance will ultimately be accurate, and any such guidance should be treated with appropriate caution. If we fail to meet our guidance or if we find it necessary to revise such guidance, even if seemingly insignificant, investors and analysts may lose confidence in us and the market value of our common stock could be materially adversely affected.</w:t>
      </w:r>
    </w:p>
    <w:p>
      <w:pPr>
        <w:spacing w:after="0" w:line="141"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If equity research analysts or industry analysts do not publish research or reports about our business, or if they change their recommendations regarding our stock adversely, our stock price and trading volume could decline.</w:t>
      </w:r>
    </w:p>
    <w:p>
      <w:pPr>
        <w:spacing w:after="0" w:line="85"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The trading market for our common stock is influenced by the research and reports that industry or equity research analysts publish about us or our business. As a newly public company, we may be slow to attract research coverage and the analysts who publish information about our common stock will have had relatively little experience with us, which could affect their ability to accurately forecast our results and could make it more likely that we fail to meet their estimates. If only a few securities or industry analysts commence coverage of us, the trading price for our common stock will be negatively impacted. When we obtain industry or equity research analyst coverage, we will not have any control over the analysts’ content and opinions included in their reports. If any of the analysts who cover us issue an adverse or misleading opinion regarding us, our business model, financial performance, stock price or otherwise, our stock price would likely decline. If one or more of these analysts ceases coverage of our company or fails to regularly publish reports on us, we could lose visibility in the financial markets, which in turn could cause our stock price or trading volume to decline and result in the loss of all or a part of your investment in us.</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Sales of a substantial number of shares of our common stock in the public market could cause our stock price to fall.</w:t>
      </w:r>
    </w:p>
    <w:p>
      <w:pPr>
        <w:spacing w:after="0" w:line="16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If our existing stockholders, including current or former employees sell, or indicate an intention to sell, substantial amounts of our common stock in the public market, the market price of our common stock could decline. As of September 30, 2024, we had approximately 40.1 million shares of common stock outstanding.</w:t>
      </w:r>
    </w:p>
    <w:p>
      <w:pPr>
        <w:spacing w:after="0" w:line="12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Shares of common stock that are either subject to outstanding options or reserved for future issuance pursuant to restricted stock unit grants, in each case, under our equity incentive plans are eligible for sale in the public market to the extent permitted by the provisions of various vesting schedules and Rule 144 and Rule 701 under the Securities Act. If these additional shares of common stock are sold, or if it is perceived that they will be sold, in the public market, the market price of our common stock could decline.</w:t>
      </w:r>
    </w:p>
    <w:p>
      <w:pPr>
        <w:spacing w:after="0" w:line="11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In addition, certain of our executive officers, directors and stockholders affiliated with our directors have entered or may enter into Rule 10b5-1 plans providing for sales of shares of our common stock from time to time. Under a Rule 10b5-1 plan, a broker executes trades pursuant to parameters established by the executive officer, director or affiliated stockholder when entering into the plan, without further direction from the executive officer, director or affiliated stockholder. A Rule 10b5-1 plan may be amended or terminated in some circumstances.</w:t>
      </w:r>
    </w:p>
    <w:p>
      <w:pPr>
        <w:spacing w:after="0" w:line="119"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Our executive officers, directors and stockholders affiliated with our directors also may buy or sell additional shares outside of a Rule 10b5-1 plan when they are not in possession of material, nonpublic information.</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68" w:name="page69"/>
    <w:bookmarkEnd w:id="68"/>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K. Charles Janac, our President, Chief Executive Officer and Chairman, beneficially owns a significant percentage of our stock and will be able to exert significant control over matters subject to stockholder approval.</w:t>
      </w:r>
    </w:p>
    <w:p>
      <w:pPr>
        <w:spacing w:after="0" w:line="85"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As of September 30, 2024, K. Charles Janac, our President, Chief Executive Officer and Chairman, held voting power over approximately 26.1% of our outstanding voting stock. Therefore, this stockholder will have the ability to influence us through this ownership position. For example, this stockholder may be able to exercise significant influence over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w:t>
      </w:r>
    </w:p>
    <w:p>
      <w:pPr>
        <w:spacing w:after="0" w:line="125"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i w:val="1"/>
          <w:iCs w:val="1"/>
          <w:color w:val="auto"/>
        </w:rPr>
        <w:t>Our issuance of additional capital stock in connection with financings, acquisitions, investments, our stock incentive plans or otherwise could dilute the ownership and voting power of our other stockholders.</w:t>
      </w:r>
    </w:p>
    <w:p>
      <w:pPr>
        <w:spacing w:after="0" w:line="71"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We have 300,000,000 shares of common stock authorized as of September 30, 2024. In addition, our Certificate of Incorporation authorizes us to issue up to 10,000,000 shares of preferred stock with such rights and preferences as may be determined by our board of directors. Our Certificate of Incorporation authorizes us to issue shares of common stock or other securities convertible into or exercisable or exchangeable for shares of our common stock from time to time, for the consideration and on the terms and conditions established by our board of directors in its sole discretion, whether in connection with a financing, an acquisition, an investment, our stock incentive plans or otherwise. Such additional shares of our common stock or such other securities may be issued at a discount to the market price of our common stock at the time of issuance. Our preferred stock could be issued with voting, liquidation, dividend and other rights superior to the rights of our common stock. As discussed below, the potential issuance of preferred stock may delay or prevent a change in control of us, discourage bids for our common stock at a premium to the market price, and materially and adversely affect the market price and the voting and other rights of the holders of our common stock. Any issuance of such securities could result in substantial dilution to our existing stockholders and cause the market price of shares of our common stock to decline.</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do not expect to declare or pay any dividends on our common stock for the foreseeable future.</w:t>
      </w:r>
    </w:p>
    <w:p>
      <w:pPr>
        <w:spacing w:after="0" w:line="169"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We do not intend to pay cash dividends on our common stock for the foreseeable future. Consequently, investors must rely on sales of their shares of our common stock after price appreciation, which may never occur, as the only way to realize any future gains on their investment. Investors seeking dividends should not purchase shares of our common stock. Any future determination to pay dividends will be at the discretion of our board of directors and subject to, among other things, our compliance with applicable law, and depending on, among other things, our business prospects, financial condition, results of operations, cash requirements and availability, debt repayment obligations, capital expenditure needs, the terms of any preferred equity securities we may issue in the future, covenants in the agreements governing our current and future indebtedness, other contractual restrictions, industry trends, the provisions of the Delaware General Corporation Law (the DGCL) affecting the payment of dividends and distributions to stockholders and any other factors or considerations our board of directors may regard as relevant. Furthermore, because we are a holding company, our ability to pay dividends on our common stock will depend on our receipt of cash distributions and dividends from our direct and indirect wholly owned subsidiaries, which may be similarly impacted by, among other things, the terms of any preferred equity securities these subsidiaries may issue in the future, debt agreements, other contractual restrictions and provisions of applicable law. See “Dividend Policy” in our Annual Report on Form 10-K for the year ended December 31, 2023, for additional information.</w:t>
      </w:r>
    </w:p>
    <w:p>
      <w:pPr>
        <w:spacing w:after="0" w:line="136"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Management may apply our net proceeds from our initial public offering to uses that do not increase our market value or improve our operating results.</w:t>
      </w:r>
    </w:p>
    <w:p>
      <w:pPr>
        <w:spacing w:after="0" w:line="85"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Our management has broad discretion in the application of the net proceeds from our initial public offering and could use these proceeds in ways that do not improve our results of operations or enhance the value of our common stock. We intend to use these proceeds for general corporate purposes. We may also use a portion of our net proceeds to acquire or invest in complementary businesses, products, services or technologies, though we do not have any agreements or commitments for any significant acquisitions or investments at this time. We have not reserved or allocated our net proceeds for any specific purpose, and we cannot state with certainty how our management will use our net proceeds. Accordingly, our management will have considerable discretion in applying our net proceeds, and you will not have the opportunity, as part of your investment decision, to assess whether we are using our net proceeds appropriately. We may use our net proceeds for purposes that do not result in any improvement in our results of operations or increase the market value of our common stock. The failure by our management to apply the net proceeds from our initial public offering effectively could impair our growth prospects and result in financial losses that could harm our business and cause the price of our common stock to decline. Until the net proceeds we receive are used, they may be placed in investments that do not produce income or that lose value.</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69" w:name="page70"/>
    <w:bookmarkEnd w:id="69"/>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Provisions in our Certificate of Incorporation and Bylaws and under the DGCL contain antitakeover provisions that could prevent or discourage a takeover</w:t>
      </w:r>
      <w:r>
        <w:rPr>
          <w:rFonts w:ascii="Arial" w:cs="Arial" w:eastAsia="Arial" w:hAnsi="Arial"/>
          <w:sz w:val="17"/>
          <w:szCs w:val="17"/>
          <w:color w:val="auto"/>
        </w:rPr>
        <w:t>.</w:t>
      </w:r>
    </w:p>
    <w:p>
      <w:pPr>
        <w:spacing w:after="0" w:line="85"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Provisions in our Certificate of Incorporation and our Bylaws may discourage, delay or prevent a merger, acquisition or other change in control of our company that stockholders may consider favorable, including transactions in which you might otherwise receive a premium for your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 include those establishing:</w:t>
      </w:r>
    </w:p>
    <w:p>
      <w:pPr>
        <w:spacing w:after="0" w:line="138" w:lineRule="exact"/>
        <w:rPr>
          <w:sz w:val="20"/>
          <w:szCs w:val="20"/>
          <w:color w:val="auto"/>
        </w:rPr>
      </w:pPr>
    </w:p>
    <w:p>
      <w:pPr>
        <w:ind w:left="660" w:hanging="328"/>
        <w:spacing w:after="0" w:line="284" w:lineRule="auto"/>
        <w:tabs>
          <w:tab w:leader="none" w:pos="669" w:val="left"/>
        </w:tabs>
        <w:numPr>
          <w:ilvl w:val="0"/>
          <w:numId w:val="33"/>
        </w:numPr>
        <w:rPr>
          <w:rFonts w:ascii="Arial" w:cs="Arial" w:eastAsia="Arial" w:hAnsi="Arial"/>
          <w:sz w:val="17"/>
          <w:szCs w:val="17"/>
          <w:color w:val="auto"/>
        </w:rPr>
      </w:pPr>
      <w:r>
        <w:rPr>
          <w:rFonts w:ascii="Arial" w:cs="Arial" w:eastAsia="Arial" w:hAnsi="Arial"/>
          <w:sz w:val="17"/>
          <w:szCs w:val="17"/>
          <w:color w:val="auto"/>
        </w:rPr>
        <w:t>a classified board of directors with three-year staggered terms, which may have the effect of deferring, delaying or discouraging hostile takeovers, or changes in control of us or our management;</w:t>
      </w:r>
    </w:p>
    <w:p>
      <w:pPr>
        <w:spacing w:after="0" w:line="104" w:lineRule="exact"/>
        <w:rPr>
          <w:rFonts w:ascii="Arial" w:cs="Arial" w:eastAsia="Arial" w:hAnsi="Arial"/>
          <w:sz w:val="17"/>
          <w:szCs w:val="17"/>
          <w:color w:val="auto"/>
        </w:rPr>
      </w:pPr>
    </w:p>
    <w:p>
      <w:pPr>
        <w:ind w:left="660" w:hanging="328"/>
        <w:spacing w:after="0"/>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no cumulative voting in the election of directors, which limits the ability of minority stockholders to elect director candidates;</w:t>
      </w:r>
    </w:p>
    <w:p>
      <w:pPr>
        <w:spacing w:after="0" w:line="169" w:lineRule="exact"/>
        <w:rPr>
          <w:rFonts w:ascii="Arial" w:cs="Arial" w:eastAsia="Arial" w:hAnsi="Arial"/>
          <w:sz w:val="17"/>
          <w:szCs w:val="17"/>
          <w:color w:val="auto"/>
        </w:rPr>
      </w:pPr>
    </w:p>
    <w:p>
      <w:pPr>
        <w:ind w:left="660" w:hanging="328"/>
        <w:spacing w:after="0" w:line="284" w:lineRule="auto"/>
        <w:tabs>
          <w:tab w:leader="none" w:pos="669"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exclusive right of our board of directors to elect a director to fill a vacancy created by the expansion of the board of directors or the resignation, death or removal of a director, which prevents stockholders from filling vacancies on our board of directors;</w:t>
      </w:r>
    </w:p>
    <w:p>
      <w:pPr>
        <w:spacing w:after="0" w:line="104" w:lineRule="exact"/>
        <w:rPr>
          <w:rFonts w:ascii="Arial" w:cs="Arial" w:eastAsia="Arial" w:hAnsi="Arial"/>
          <w:sz w:val="17"/>
          <w:szCs w:val="17"/>
          <w:color w:val="auto"/>
        </w:rPr>
      </w:pPr>
    </w:p>
    <w:p>
      <w:pPr>
        <w:jc w:val="both"/>
        <w:ind w:left="660" w:hanging="328"/>
        <w:spacing w:after="0" w:line="274" w:lineRule="auto"/>
        <w:tabs>
          <w:tab w:leader="none" w:pos="669"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ability of our board of directors to authorize the issuance of shares of preferred stock and to determine the terms of those shares, including preferences and voting rights, without stockholder approval, which could be used to significantly dilute the ownership of a hostile acquirer;</w:t>
      </w:r>
    </w:p>
    <w:p>
      <w:pPr>
        <w:spacing w:after="0" w:line="113" w:lineRule="exact"/>
        <w:rPr>
          <w:rFonts w:ascii="Arial" w:cs="Arial" w:eastAsia="Arial" w:hAnsi="Arial"/>
          <w:sz w:val="17"/>
          <w:szCs w:val="17"/>
          <w:color w:val="auto"/>
        </w:rPr>
      </w:pPr>
    </w:p>
    <w:p>
      <w:pPr>
        <w:ind w:left="660" w:hanging="328"/>
        <w:spacing w:after="0"/>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ability of our board of directors to alter our bylaws without obtaining stockholder approval;</w:t>
      </w:r>
    </w:p>
    <w:p>
      <w:pPr>
        <w:spacing w:after="0" w:line="169" w:lineRule="exact"/>
        <w:rPr>
          <w:rFonts w:ascii="Arial" w:cs="Arial" w:eastAsia="Arial" w:hAnsi="Arial"/>
          <w:sz w:val="17"/>
          <w:szCs w:val="17"/>
          <w:color w:val="auto"/>
        </w:rPr>
      </w:pPr>
    </w:p>
    <w:p>
      <w:pPr>
        <w:ind w:left="660" w:right="20" w:hanging="328"/>
        <w:spacing w:after="0" w:line="284" w:lineRule="auto"/>
        <w:tabs>
          <w:tab w:leader="none" w:pos="669"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required approval of the holders of at least two-thirds of the shares entitled to vote at an election of directors to amend or repeal our bylaws or amend the provisions of our Certificate of Incorporation regarding the election and removal of directors;</w:t>
      </w:r>
    </w:p>
    <w:p>
      <w:pPr>
        <w:spacing w:after="0" w:line="117" w:lineRule="exact"/>
        <w:rPr>
          <w:rFonts w:ascii="Arial" w:cs="Arial" w:eastAsia="Arial" w:hAnsi="Arial"/>
          <w:sz w:val="17"/>
          <w:szCs w:val="17"/>
          <w:color w:val="auto"/>
        </w:rPr>
      </w:pPr>
    </w:p>
    <w:p>
      <w:pPr>
        <w:ind w:left="660" w:hanging="328"/>
        <w:spacing w:after="0" w:line="284" w:lineRule="auto"/>
        <w:tabs>
          <w:tab w:leader="none" w:pos="655" w:val="left"/>
        </w:tabs>
        <w:numPr>
          <w:ilvl w:val="0"/>
          <w:numId w:val="33"/>
        </w:numPr>
        <w:rPr>
          <w:rFonts w:ascii="Arial" w:cs="Arial" w:eastAsia="Arial" w:hAnsi="Arial"/>
          <w:sz w:val="17"/>
          <w:szCs w:val="17"/>
          <w:color w:val="auto"/>
        </w:rPr>
      </w:pPr>
      <w:r>
        <w:rPr>
          <w:rFonts w:ascii="Arial" w:cs="Arial" w:eastAsia="Arial" w:hAnsi="Arial"/>
          <w:sz w:val="17"/>
          <w:szCs w:val="17"/>
          <w:color w:val="auto"/>
        </w:rPr>
        <w:t>a prohibition on stockholder action by written consent, which forces stockholder action to be taken at an annual or special meeting of our stockholders;</w:t>
      </w:r>
    </w:p>
    <w:p>
      <w:pPr>
        <w:spacing w:after="0" w:line="104" w:lineRule="exact"/>
        <w:rPr>
          <w:rFonts w:ascii="Arial" w:cs="Arial" w:eastAsia="Arial" w:hAnsi="Arial"/>
          <w:sz w:val="17"/>
          <w:szCs w:val="17"/>
          <w:color w:val="auto"/>
        </w:rPr>
      </w:pPr>
    </w:p>
    <w:p>
      <w:pPr>
        <w:jc w:val="both"/>
        <w:ind w:left="660" w:hanging="328"/>
        <w:spacing w:after="0" w:line="266" w:lineRule="auto"/>
        <w:tabs>
          <w:tab w:leader="none" w:pos="669"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requirement that a special meeting of stockholders may be called only by the chairman of the board of directors or a majority of our board of directors, which may delay the ability of our stockholders to force consideration of a proposal or for stockholders controlling a majority of our capital stock to take action, including the removal of directors; and</w:t>
      </w:r>
    </w:p>
    <w:p>
      <w:pPr>
        <w:spacing w:after="0" w:line="133" w:lineRule="exact"/>
        <w:rPr>
          <w:rFonts w:ascii="Arial" w:cs="Arial" w:eastAsia="Arial" w:hAnsi="Arial"/>
          <w:sz w:val="17"/>
          <w:szCs w:val="17"/>
          <w:color w:val="auto"/>
        </w:rPr>
      </w:pPr>
    </w:p>
    <w:p>
      <w:pPr>
        <w:jc w:val="both"/>
        <w:ind w:left="660" w:hanging="328"/>
        <w:spacing w:after="0" w:line="260" w:lineRule="auto"/>
        <w:tabs>
          <w:tab w:leader="none" w:pos="669" w:val="left"/>
        </w:tabs>
        <w:numPr>
          <w:ilvl w:val="0"/>
          <w:numId w:val="33"/>
        </w:numPr>
        <w:rPr>
          <w:rFonts w:ascii="Arial" w:cs="Arial" w:eastAsia="Arial" w:hAnsi="Arial"/>
          <w:sz w:val="17"/>
          <w:szCs w:val="17"/>
          <w:color w:val="auto"/>
        </w:rPr>
      </w:pPr>
      <w:r>
        <w:rPr>
          <w:rFonts w:ascii="Arial" w:cs="Arial" w:eastAsia="Arial" w:hAnsi="Arial"/>
          <w:sz w:val="17"/>
          <w:szCs w:val="17"/>
          <w:color w:val="auto"/>
        </w:rPr>
        <w:t>advance notice procedures that stockholders must comply with in order to nominate candidates to our board of directors or to propose matters to be acted upon at an annual meeting or special meeting of stockholders, which may discourage or delay a potential acquirer from conducting a solicitation of proxies to elect the acquirer’s own slate of directors or otherwise attempting to obtain control of us until the next stockholder meeting or at all.</w:t>
      </w:r>
    </w:p>
    <w:p>
      <w:pPr>
        <w:spacing w:after="0" w:line="125"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In addition, we are subject to Section 203 of the DGCL. Subject to specified exceptions, Section 203 prohibits a publicly held Delaware corporation from engaging in a “business combination” with an “interested stockholder” for a period of three years after the date of the transaction in which the person became an interested stockholder unless such transaction is approved in a prescribed manner. “Business combinations” include mergers, asset sales and other transactions resulting in a financial benefit to the “interested stockholder.” Subject to various exceptions, an “interested stockholder” is a person who, together with his or her affiliates and associates, owns, or within three years did own, 15% or more of the corporation’s outstanding voting stock.</w:t>
      </w:r>
    </w:p>
    <w:p>
      <w:pPr>
        <w:spacing w:after="0" w:line="125"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Any provision of our Certificate of Incorporation, Bylaws or Delaware law that has the effect of delaying or preventing a change in control could limit the opportunity for our stockholders to receive a premium for their shares of our capital stock and could also affect the price that some investors are willing to pay for our common stock.</w:t>
      </w:r>
    </w:p>
    <w:p>
      <w:pPr>
        <w:spacing w:after="0" w:line="114" w:lineRule="exact"/>
        <w:rPr>
          <w:sz w:val="20"/>
          <w:szCs w:val="20"/>
          <w:color w:val="auto"/>
        </w:rPr>
      </w:pPr>
    </w:p>
    <w:p>
      <w:pPr>
        <w:jc w:val="both"/>
        <w:ind w:right="20"/>
        <w:spacing w:after="0" w:line="266" w:lineRule="auto"/>
        <w:rPr>
          <w:sz w:val="20"/>
          <w:szCs w:val="20"/>
          <w:color w:val="auto"/>
        </w:rPr>
      </w:pPr>
      <w:r>
        <w:rPr>
          <w:rFonts w:ascii="Arial" w:cs="Arial" w:eastAsia="Arial" w:hAnsi="Arial"/>
          <w:sz w:val="17"/>
          <w:szCs w:val="17"/>
          <w:color w:val="auto"/>
        </w:rPr>
        <w:t>Our Certificate of Incorporation provides that the Court of Chancery of the State of Delaware is the exclusive forum for substantially all disputes between us and our stockholders, which could limit our stockholders’ ability to obtain a favorable judicial forum for disputes with us or our directors, officers or employees.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70" w:name="page71"/>
    <w:bookmarkEnd w:id="70"/>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Our Certificate of Incorporation provides that, unless we consent in writing to the selection of an alternative forum, the Court of Chancery of the State of Delaware (the Delaware Court of Chancery) will be the exclusive forum for (1) any derivative action or proceeding brought on our behalf; (2) any action asserting a claim of breach of a fiduciary duty owed by any of our directors, officers or other employees or stockholders to us or our stockholders; (3) any action asserting a claim against us, any director or our officers and employees arising pursuant to any provision of the DGCL, our Certificate of Incorporation or our Bylaws, or as to which the DGCL confers exclusive jurisdiction on the Delaware Court of Chancery; or (4) any action asserting a claim against us, any director or our officers or employees that is governed by the internal affairs doctrine; provided that, the exclusive forum provision will not apply to suits brought to enforce any liability or duty created by the Securities Act, the Exchange Act, the rules and regulations thereunder or any other claim for which the federal courts have exclusive jurisdiction; and provided further that, if and only if the Delaware Court of Chancery dismisses any such action for lack of subject matter jurisdiction, such action may be brought in another state or federal court sitting in the State of Delaware. Our Certificate of Incorporation further provides that, unless we consent in writing to the selection of an alternative forum, the federal district courts of the United States of America shall, to the fullest extent permitted by law, be the sole and exclusive forum for the resolution of any complaint asserting a cause of action arising under the Securities Act. Any person or entity purchasing or otherwise acquiring any interest in shares of our capital stock shall be deemed to have notice of and to have consented to the provisions of our Certificate of Incorporation described above.</w:t>
      </w:r>
    </w:p>
    <w:p>
      <w:pPr>
        <w:spacing w:after="0" w:line="153"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We believe these provisions benefit us by providing increased consistency in the application of the DGCL by chancellors particularly experienced in resolving corporate disputes and in the application of the Securities Act by federal judges, as applicable, efficient administration of cases on a more expedited schedule relative to other forums and protection against the burdens of multi-forum litigation. However, these provisions may limit a stockholder’s ability to bring a claim in a judicial forum that it finds favorable for disputes with us or our directors, officers or other employees or agents, which may discourage such lawsuits against us and our directors, officers and other employees and agents. The enforceability of similar choice of forum provisions in other companies’ certificates of incorporation has been challenged in legal proceedings, and it is possible that, in connection with any applicable action brought against us, a court could find the choice of forum provisions contained in our Certificate of Incorporation to be inapplicable or unenforceable in such action. If a court were to find the choice of forum provision contained in our Certificate of Incorporation to be inapplicable or unenforceable in an action, we may incur additional costs associated with resolving such action in other jurisdictions, which could harm our business.</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 Risk Factors</w:t>
      </w:r>
    </w:p>
    <w:p>
      <w:pPr>
        <w:spacing w:after="0" w:line="169"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Actions of stockholders could cause us to incur substantial costs, divert management’s attention and resources and have an adverse effect on our business</w:t>
      </w:r>
      <w:r>
        <w:rPr>
          <w:rFonts w:ascii="Arial" w:cs="Arial" w:eastAsia="Arial" w:hAnsi="Arial"/>
          <w:sz w:val="17"/>
          <w:szCs w:val="17"/>
          <w:color w:val="auto"/>
        </w:rPr>
        <w:t>.</w:t>
      </w:r>
    </w:p>
    <w:p>
      <w:pPr>
        <w:spacing w:after="0" w:line="85"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As a public company, we may, from time to time, be subject to proposals and other requests from stockholders urging us to take certain corporate actions, including proposals seeking to influence our corporate policies or effect a change in our management. In the event of such stockholder proposals, particularly with respect to matters which our management and board of directors, in exercising their fiduciary duties, disagree with or have determined not to pursue, our business could be harmed because responding to actions and requests of stockholders can be costly and time-consuming, disrupting our operations and diverting the attention of management and our employees. Additionally, perceived uncertainties as to our future direction may result in the loss of potential business opportunities and may make it more difficult to attract and retain qualified personnel, business partners and customers.</w:t>
      </w:r>
    </w:p>
    <w:p>
      <w:pPr>
        <w:spacing w:after="0" w:line="128" w:lineRule="exact"/>
        <w:rPr>
          <w:sz w:val="20"/>
          <w:szCs w:val="20"/>
          <w:color w:val="auto"/>
        </w:rPr>
      </w:pPr>
    </w:p>
    <w:p>
      <w:pPr>
        <w:jc w:val="both"/>
        <w:ind w:right="20"/>
        <w:spacing w:after="0" w:line="313" w:lineRule="auto"/>
        <w:rPr>
          <w:sz w:val="20"/>
          <w:szCs w:val="20"/>
          <w:color w:val="auto"/>
        </w:rPr>
      </w:pPr>
      <w:r>
        <w:rPr>
          <w:rFonts w:ascii="Arial" w:cs="Arial" w:eastAsia="Arial" w:hAnsi="Arial"/>
          <w:sz w:val="17"/>
          <w:szCs w:val="17"/>
          <w:b w:val="1"/>
          <w:bCs w:val="1"/>
          <w:i w:val="1"/>
          <w:iCs w:val="1"/>
          <w:color w:val="auto"/>
        </w:rPr>
        <w:t>Litigation, including securities class action litigation, may impair our reputation and lead us to incur significant costs. For example, we are currently involved in ongoing litigation related to patent infringement claims.</w:t>
      </w:r>
    </w:p>
    <w:p>
      <w:pPr>
        <w:spacing w:after="0" w:line="71"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From time to time, we may be party to various lawsuits and claims arising in the normal course of business, which may include lawsuits or claims relating to contracts, third-party contractors, intellectual property rights, employment matters or other aspects of our business. We may face claims based on intellectual property rights from individuals, companies, non-practicing entities, academic and research institutions, and other parties, including claims from multiple sources against us and other companies. Claims that our products infringe the intellectual property rights of others, regardless of merit, may cause us to incur large costs to respond to, defend and resolve the claims, and they may divert the efforts and attention of our management and technical personnel from our operations.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71" w:name="page72"/>
    <w:bookmarkEnd w:id="71"/>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In addition, in the past, following periods of volatility in the overall market and the market price of a company’s securities, securities class action litigation has often been instituted against companies that experienced such volatility. Litigation, if instituted against us, whether or not valid and regardless of outcome, could result in substantial costs, reputational harm and a diversion of our management’s attention and resources. In addition, we may be required to pay damage awards or settlements or become subject to injunctions or other equitable remedies, which could harm our business. The outcome of litigation is often difficult to predict, and any litigation may harm our business.</w:t>
      </w:r>
    </w:p>
    <w:p>
      <w:pPr>
        <w:spacing w:after="0" w:line="12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Although we have various insurance policies in place, the potential liabilities associated with litigation matters now or that could arise in the future, could be excluded from coverage or, if covered, could exceed the coverage provided by such policies. In addition, insurance carriers may seek to rescind or deny coverage with respect to any claim or lawsuit. If we do not have sufficient coverage under our policies, or if coverage is denied, we may be required to make material payments to settle litigation or satisfy any judgment. Any of these consequences could harm our business.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Unregistered Sales of Equity Securities and Use of Proceeds</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 Sales of Unregistered Securities</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 Use of Proceeds from Public Offering of Common Stock</w:t>
      </w:r>
    </w:p>
    <w:p>
      <w:pPr>
        <w:spacing w:after="0" w:line="169"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Our Registration Statement on Form S-1, as amended (File No. 333-259988) (the “Form S-1”), for our IPO was declared effective by the SEC on October 26, 2021. The Form S-1 registered the offering and sale of 5,750,000 shares of common stock. On October 29, 2021, we completed our IPO, in which we issued 5,750,000 shares of common stock at a price to the public of $14.00 per share, including 750,000 shares issued upon the full exercise of the underwriters’ option to purchase additional shares. We received net proceeds of approximately $71.1 million after deducting underwriting discounts and commissions and offering costs of approximately $3.8 million.</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color w:val="auto"/>
        </w:rPr>
        <w:t>Jefferies LLC and Cowen served as lead book-running managers and BMO Capital Markets served as joint book-running manager for the offering.</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Northland Capital Markets and Rosenblatt Securities acted as co-managers.</w:t>
      </w:r>
    </w:p>
    <w:p>
      <w:pPr>
        <w:spacing w:after="0" w:line="160" w:lineRule="exact"/>
        <w:rPr>
          <w:sz w:val="20"/>
          <w:szCs w:val="20"/>
          <w:color w:val="auto"/>
        </w:rPr>
      </w:pPr>
    </w:p>
    <w:p>
      <w:pPr>
        <w:jc w:val="both"/>
        <w:ind w:right="20"/>
        <w:spacing w:after="0" w:line="284" w:lineRule="auto"/>
        <w:rPr>
          <w:sz w:val="20"/>
          <w:szCs w:val="20"/>
          <w:color w:val="auto"/>
        </w:rPr>
      </w:pPr>
      <w:r>
        <w:rPr>
          <w:rFonts w:ascii="Arial" w:cs="Arial" w:eastAsia="Arial" w:hAnsi="Arial"/>
          <w:sz w:val="17"/>
          <w:szCs w:val="17"/>
          <w:color w:val="auto"/>
        </w:rPr>
        <w:t>No payments were made to our directors or officers or their associates, holders of 10% or more of any class of our equity securities or any affiliates in connection with the issuance and sale of the securities registered.</w:t>
      </w:r>
    </w:p>
    <w:p>
      <w:pPr>
        <w:spacing w:after="0" w:line="104"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There has been no material change in the planned use of proceeds from our IPO as described in our Final Prospectus for the IPO dated as of October 26, 2021 and filed with the SEC pursuant to Rule 424(b)(4) on October 28, 2021.</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Defaults Upon Senior Securities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Mine Safety Disclosures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5. Other Information</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10b5-1 plans:</w:t>
      </w:r>
    </w:p>
    <w:p>
      <w:pPr>
        <w:spacing w:after="0" w:line="18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During the quarter ended September 30, 2024, none of our directors or officers (as defined in Rule 16a-1(f) under the Securities Exchange Act of 1934, as amended) adopted, modified or terminated a “Rule 10b5-1 trading arrangement” or a “non-Rule 10b5-1 trading arrangement”, as each term is defined in Item 408(a)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72" w:name="page73"/>
    <w:bookmarkEnd w:id="72"/>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 w:type="dxa"/>
            <w:vAlign w:val="bottom"/>
            <w:gridSpan w:val="4"/>
          </w:tcPr>
          <w:p>
            <w:pPr>
              <w:ind w:left="40"/>
              <w:spacing w:after="0"/>
              <w:rPr>
                <w:sz w:val="20"/>
                <w:szCs w:val="20"/>
                <w:color w:val="auto"/>
              </w:rPr>
            </w:pPr>
            <w:r>
              <w:rPr>
                <w:rFonts w:ascii="Arial" w:cs="Arial" w:eastAsia="Arial" w:hAnsi="Arial"/>
                <w:sz w:val="14"/>
                <w:szCs w:val="14"/>
                <w:b w:val="1"/>
                <w:bCs w:val="1"/>
                <w:color w:val="auto"/>
              </w:rPr>
              <w:t>Exhibit No.</w:t>
            </w:r>
          </w:p>
        </w:tc>
        <w:tc>
          <w:tcPr>
            <w:tcW w:w="20" w:type="dxa"/>
            <w:vAlign w:val="bottom"/>
          </w:tcPr>
          <w:p>
            <w:pPr>
              <w:spacing w:after="0"/>
              <w:rPr>
                <w:sz w:val="14"/>
                <w:szCs w:val="14"/>
                <w:color w:val="auto"/>
              </w:rPr>
            </w:pPr>
          </w:p>
        </w:tc>
        <w:tc>
          <w:tcPr>
            <w:tcW w:w="6560" w:type="dxa"/>
            <w:vAlign w:val="bottom"/>
            <w:gridSpan w:val="11"/>
          </w:tcPr>
          <w:p>
            <w:pPr>
              <w:ind w:left="2560"/>
              <w:spacing w:after="0"/>
              <w:rPr>
                <w:sz w:val="20"/>
                <w:szCs w:val="20"/>
                <w:color w:val="auto"/>
              </w:rPr>
            </w:pPr>
            <w:r>
              <w:rPr>
                <w:rFonts w:ascii="Arial" w:cs="Arial" w:eastAsia="Arial" w:hAnsi="Arial"/>
                <w:sz w:val="14"/>
                <w:szCs w:val="14"/>
                <w:b w:val="1"/>
                <w:bCs w:val="1"/>
                <w:color w:val="auto"/>
              </w:rPr>
              <w:t>Description of Exhibit</w:t>
            </w:r>
          </w:p>
        </w:tc>
        <w:tc>
          <w:tcPr>
            <w:tcW w:w="640" w:type="dxa"/>
            <w:vAlign w:val="bottom"/>
          </w:tcPr>
          <w:p>
            <w:pPr>
              <w:ind w:left="180"/>
              <w:spacing w:after="0"/>
              <w:rPr>
                <w:sz w:val="20"/>
                <w:szCs w:val="20"/>
                <w:color w:val="auto"/>
              </w:rPr>
            </w:pPr>
            <w:r>
              <w:rPr>
                <w:rFonts w:ascii="Arial" w:cs="Arial" w:eastAsia="Arial" w:hAnsi="Arial"/>
                <w:sz w:val="14"/>
                <w:szCs w:val="14"/>
                <w:b w:val="1"/>
                <w:bCs w:val="1"/>
                <w:color w:val="auto"/>
              </w:rPr>
              <w:t>Form</w:t>
            </w:r>
          </w:p>
        </w:tc>
        <w:tc>
          <w:tcPr>
            <w:tcW w:w="2320" w:type="dxa"/>
            <w:vAlign w:val="bottom"/>
          </w:tcPr>
          <w:p>
            <w:pPr>
              <w:jc w:val="right"/>
              <w:ind w:right="98"/>
              <w:spacing w:after="0"/>
              <w:rPr>
                <w:sz w:val="20"/>
                <w:szCs w:val="20"/>
                <w:color w:val="auto"/>
              </w:rPr>
            </w:pPr>
            <w:r>
              <w:rPr>
                <w:rFonts w:ascii="Arial" w:cs="Arial" w:eastAsia="Arial" w:hAnsi="Arial"/>
                <w:sz w:val="14"/>
                <w:szCs w:val="14"/>
                <w:b w:val="1"/>
                <w:bCs w:val="1"/>
                <w:color w:val="auto"/>
                <w:w w:val="97"/>
              </w:rPr>
              <w:t>Exhibit   Filing DateFiled</w:t>
            </w:r>
          </w:p>
        </w:tc>
      </w:tr>
      <w:tr>
        <w:trPr>
          <w:trHeight w:val="185"/>
        </w:trPr>
        <w:tc>
          <w:tcPr>
            <w:tcW w:w="2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tcPr>
          <w:p>
            <w:pPr>
              <w:jc w:val="center"/>
              <w:ind w:left="1558"/>
              <w:spacing w:after="0"/>
              <w:rPr>
                <w:sz w:val="20"/>
                <w:szCs w:val="20"/>
                <w:color w:val="auto"/>
              </w:rPr>
            </w:pPr>
            <w:r>
              <w:rPr>
                <w:rFonts w:ascii="Arial" w:cs="Arial" w:eastAsia="Arial" w:hAnsi="Arial"/>
                <w:sz w:val="14"/>
                <w:szCs w:val="14"/>
                <w:b w:val="1"/>
                <w:bCs w:val="1"/>
                <w:color w:val="auto"/>
              </w:rPr>
              <w:t>Herewith</w:t>
            </w:r>
          </w:p>
        </w:tc>
      </w:tr>
      <w:tr>
        <w:trPr>
          <w:trHeight w:val="182"/>
        </w:trPr>
        <w:tc>
          <w:tcPr>
            <w:tcW w:w="280" w:type="dxa"/>
            <w:vAlign w:val="bottom"/>
            <w:gridSpan w:val="2"/>
          </w:tcPr>
          <w:p>
            <w:pPr>
              <w:spacing w:after="0"/>
              <w:rPr>
                <w:sz w:val="15"/>
                <w:szCs w:val="15"/>
                <w:color w:val="auto"/>
              </w:rPr>
            </w:pPr>
          </w:p>
        </w:tc>
        <w:tc>
          <w:tcPr>
            <w:tcW w:w="260" w:type="dxa"/>
            <w:vAlign w:val="bottom"/>
          </w:tcPr>
          <w:p>
            <w:pPr>
              <w:jc w:val="center"/>
              <w:spacing w:after="0" w:line="182" w:lineRule="exact"/>
              <w:rPr>
                <w:rFonts w:ascii="Arial" w:cs="Arial" w:eastAsia="Arial" w:hAnsi="Arial"/>
                <w:sz w:val="18"/>
                <w:szCs w:val="18"/>
                <w:color w:val="0000FF"/>
              </w:rPr>
            </w:pPr>
            <w:hyperlink r:id="rId84">
              <w:r>
                <w:rPr>
                  <w:rFonts w:ascii="Arial" w:cs="Arial" w:eastAsia="Arial" w:hAnsi="Arial"/>
                  <w:sz w:val="18"/>
                  <w:szCs w:val="18"/>
                  <w:color w:val="0000FF"/>
                </w:rPr>
                <w:t>3.</w:t>
              </w:r>
              <w:r>
                <w:rPr>
                  <w:rFonts w:ascii="Arial" w:cs="Arial" w:eastAsia="Arial" w:hAnsi="Arial"/>
                  <w:sz w:val="18"/>
                  <w:szCs w:val="18"/>
                  <w:u w:val="single" w:color="auto"/>
                  <w:color w:val="0000FF"/>
                </w:rPr>
                <w:t>1</w:t>
              </w:r>
            </w:hyperlink>
          </w:p>
        </w:tc>
        <w:tc>
          <w:tcPr>
            <w:tcW w:w="280" w:type="dxa"/>
            <w:vAlign w:val="bottom"/>
          </w:tcPr>
          <w:p>
            <w:pPr>
              <w:spacing w:after="0"/>
              <w:rPr>
                <w:sz w:val="15"/>
                <w:szCs w:val="15"/>
                <w:color w:val="auto"/>
              </w:rPr>
            </w:pPr>
          </w:p>
        </w:tc>
        <w:tc>
          <w:tcPr>
            <w:tcW w:w="6580" w:type="dxa"/>
            <w:vAlign w:val="bottom"/>
            <w:gridSpan w:val="12"/>
          </w:tcPr>
          <w:p>
            <w:pPr>
              <w:spacing w:after="0" w:line="182" w:lineRule="exact"/>
              <w:rPr>
                <w:rFonts w:ascii="Arial" w:cs="Arial" w:eastAsia="Arial" w:hAnsi="Arial"/>
                <w:sz w:val="18"/>
                <w:szCs w:val="18"/>
                <w:color w:val="0000FF"/>
              </w:rPr>
            </w:pPr>
            <w:hyperlink r:id="rId84">
              <w:r>
                <w:rPr>
                  <w:rFonts w:ascii="Arial" w:cs="Arial" w:eastAsia="Arial" w:hAnsi="Arial"/>
                  <w:sz w:val="18"/>
                  <w:szCs w:val="18"/>
                  <w:color w:val="0000FF"/>
                </w:rPr>
                <w:t>Amended and Restated Certificate of Incorporation of Arteris, Inc.</w:t>
              </w:r>
            </w:hyperlink>
          </w:p>
        </w:tc>
        <w:tc>
          <w:tcPr>
            <w:tcW w:w="640" w:type="dxa"/>
            <w:vAlign w:val="bottom"/>
          </w:tcPr>
          <w:p>
            <w:pPr>
              <w:ind w:left="100"/>
              <w:spacing w:after="0" w:line="182" w:lineRule="exact"/>
              <w:rPr>
                <w:sz w:val="20"/>
                <w:szCs w:val="20"/>
                <w:color w:val="auto"/>
              </w:rPr>
            </w:pPr>
            <w:r>
              <w:rPr>
                <w:rFonts w:ascii="Arial" w:cs="Arial" w:eastAsia="Arial" w:hAnsi="Arial"/>
                <w:sz w:val="18"/>
                <w:szCs w:val="18"/>
                <w:color w:val="auto"/>
              </w:rPr>
              <w:t>8-K</w:t>
            </w:r>
          </w:p>
        </w:tc>
        <w:tc>
          <w:tcPr>
            <w:tcW w:w="2320" w:type="dxa"/>
            <w:vAlign w:val="bottom"/>
          </w:tcPr>
          <w:p>
            <w:pPr>
              <w:jc w:val="right"/>
              <w:ind w:right="618"/>
              <w:spacing w:after="0" w:line="182" w:lineRule="exact"/>
              <w:rPr>
                <w:sz w:val="20"/>
                <w:szCs w:val="20"/>
                <w:color w:val="auto"/>
              </w:rPr>
            </w:pPr>
            <w:r>
              <w:rPr>
                <w:rFonts w:ascii="Arial" w:cs="Arial" w:eastAsia="Arial" w:hAnsi="Arial"/>
                <w:sz w:val="18"/>
                <w:szCs w:val="18"/>
                <w:color w:val="auto"/>
              </w:rPr>
              <w:t>3.1 10-29-2021</w:t>
            </w:r>
          </w:p>
        </w:tc>
      </w:tr>
      <w:tr>
        <w:trPr>
          <w:trHeight w:val="20"/>
        </w:trPr>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210"/>
        </w:trPr>
        <w:tc>
          <w:tcPr>
            <w:tcW w:w="280" w:type="dxa"/>
            <w:vAlign w:val="bottom"/>
            <w:gridSpan w:val="2"/>
          </w:tcPr>
          <w:p>
            <w:pPr>
              <w:spacing w:after="0"/>
              <w:rPr>
                <w:sz w:val="18"/>
                <w:szCs w:val="18"/>
                <w:color w:val="auto"/>
              </w:rPr>
            </w:pPr>
          </w:p>
        </w:tc>
        <w:tc>
          <w:tcPr>
            <w:tcW w:w="260" w:type="dxa"/>
            <w:vAlign w:val="bottom"/>
          </w:tcPr>
          <w:p>
            <w:pPr>
              <w:jc w:val="center"/>
              <w:spacing w:after="0"/>
              <w:rPr>
                <w:rFonts w:ascii="Arial" w:cs="Arial" w:eastAsia="Arial" w:hAnsi="Arial"/>
                <w:sz w:val="18"/>
                <w:szCs w:val="18"/>
                <w:color w:val="0000FF"/>
              </w:rPr>
            </w:pPr>
            <w:hyperlink r:id="rId85">
              <w:r>
                <w:rPr>
                  <w:rFonts w:ascii="Arial" w:cs="Arial" w:eastAsia="Arial" w:hAnsi="Arial"/>
                  <w:sz w:val="18"/>
                  <w:szCs w:val="18"/>
                  <w:color w:val="0000FF"/>
                </w:rPr>
                <w:t>3.</w:t>
              </w:r>
              <w:r>
                <w:rPr>
                  <w:rFonts w:ascii="Arial" w:cs="Arial" w:eastAsia="Arial" w:hAnsi="Arial"/>
                  <w:sz w:val="18"/>
                  <w:szCs w:val="18"/>
                  <w:u w:val="single" w:color="auto"/>
                  <w:color w:val="0000FF"/>
                </w:rPr>
                <w:t>2</w:t>
              </w:r>
            </w:hyperlink>
          </w:p>
        </w:tc>
        <w:tc>
          <w:tcPr>
            <w:tcW w:w="280" w:type="dxa"/>
            <w:vAlign w:val="bottom"/>
          </w:tcPr>
          <w:p>
            <w:pPr>
              <w:spacing w:after="0"/>
              <w:rPr>
                <w:sz w:val="18"/>
                <w:szCs w:val="18"/>
                <w:color w:val="auto"/>
              </w:rPr>
            </w:pPr>
          </w:p>
        </w:tc>
        <w:tc>
          <w:tcPr>
            <w:tcW w:w="6580" w:type="dxa"/>
            <w:vAlign w:val="bottom"/>
            <w:gridSpan w:val="12"/>
          </w:tcPr>
          <w:p>
            <w:pPr>
              <w:spacing w:after="0"/>
              <w:rPr>
                <w:rFonts w:ascii="Arial" w:cs="Arial" w:eastAsia="Arial" w:hAnsi="Arial"/>
                <w:sz w:val="18"/>
                <w:szCs w:val="18"/>
                <w:color w:val="0000FF"/>
              </w:rPr>
            </w:pPr>
            <w:hyperlink r:id="rId85">
              <w:r>
                <w:rPr>
                  <w:rFonts w:ascii="Arial" w:cs="Arial" w:eastAsia="Arial" w:hAnsi="Arial"/>
                  <w:sz w:val="18"/>
                  <w:szCs w:val="18"/>
                  <w:color w:val="0000FF"/>
                </w:rPr>
                <w:t>Amended and Restated Bylaws of Arteris, Inc.</w:t>
              </w:r>
            </w:hyperlink>
          </w:p>
        </w:tc>
        <w:tc>
          <w:tcPr>
            <w:tcW w:w="640" w:type="dxa"/>
            <w:vAlign w:val="bottom"/>
          </w:tcPr>
          <w:p>
            <w:pPr>
              <w:ind w:left="100"/>
              <w:spacing w:after="0"/>
              <w:rPr>
                <w:sz w:val="20"/>
                <w:szCs w:val="20"/>
                <w:color w:val="auto"/>
              </w:rPr>
            </w:pPr>
            <w:r>
              <w:rPr>
                <w:rFonts w:ascii="Arial" w:cs="Arial" w:eastAsia="Arial" w:hAnsi="Arial"/>
                <w:sz w:val="18"/>
                <w:szCs w:val="18"/>
                <w:color w:val="auto"/>
              </w:rPr>
              <w:t>8-K</w:t>
            </w:r>
          </w:p>
        </w:tc>
        <w:tc>
          <w:tcPr>
            <w:tcW w:w="2320" w:type="dxa"/>
            <w:vAlign w:val="bottom"/>
          </w:tcPr>
          <w:p>
            <w:pPr>
              <w:jc w:val="right"/>
              <w:ind w:right="618"/>
              <w:spacing w:after="0"/>
              <w:rPr>
                <w:sz w:val="20"/>
                <w:szCs w:val="20"/>
                <w:color w:val="auto"/>
              </w:rPr>
            </w:pPr>
            <w:r>
              <w:rPr>
                <w:rFonts w:ascii="Arial" w:cs="Arial" w:eastAsia="Arial" w:hAnsi="Arial"/>
                <w:sz w:val="18"/>
                <w:szCs w:val="18"/>
                <w:color w:val="auto"/>
              </w:rPr>
              <w:t>3.2 10-29-2021</w:t>
            </w:r>
          </w:p>
        </w:tc>
      </w:tr>
      <w:tr>
        <w:trPr>
          <w:trHeight w:val="20"/>
        </w:trPr>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210"/>
        </w:trPr>
        <w:tc>
          <w:tcPr>
            <w:tcW w:w="280" w:type="dxa"/>
            <w:vAlign w:val="bottom"/>
            <w:gridSpan w:val="2"/>
          </w:tcPr>
          <w:p>
            <w:pPr>
              <w:spacing w:after="0"/>
              <w:rPr>
                <w:sz w:val="18"/>
                <w:szCs w:val="18"/>
                <w:color w:val="auto"/>
              </w:rPr>
            </w:pPr>
          </w:p>
        </w:tc>
        <w:tc>
          <w:tcPr>
            <w:tcW w:w="260" w:type="dxa"/>
            <w:vAlign w:val="bottom"/>
          </w:tcPr>
          <w:p>
            <w:pPr>
              <w:jc w:val="center"/>
              <w:spacing w:after="0"/>
              <w:rPr>
                <w:rFonts w:ascii="Arial" w:cs="Arial" w:eastAsia="Arial" w:hAnsi="Arial"/>
                <w:sz w:val="18"/>
                <w:szCs w:val="18"/>
                <w:color w:val="0000FF"/>
              </w:rPr>
            </w:pPr>
            <w:hyperlink r:id="rId86">
              <w:r>
                <w:rPr>
                  <w:rFonts w:ascii="Arial" w:cs="Arial" w:eastAsia="Arial" w:hAnsi="Arial"/>
                  <w:sz w:val="18"/>
                  <w:szCs w:val="18"/>
                  <w:color w:val="0000FF"/>
                </w:rPr>
                <w:t>4.</w:t>
              </w:r>
              <w:r>
                <w:rPr>
                  <w:rFonts w:ascii="Arial" w:cs="Arial" w:eastAsia="Arial" w:hAnsi="Arial"/>
                  <w:sz w:val="18"/>
                  <w:szCs w:val="18"/>
                  <w:u w:val="single" w:color="auto"/>
                  <w:color w:val="0000FF"/>
                </w:rPr>
                <w:t>1</w:t>
              </w:r>
            </w:hyperlink>
          </w:p>
        </w:tc>
        <w:tc>
          <w:tcPr>
            <w:tcW w:w="280" w:type="dxa"/>
            <w:vAlign w:val="bottom"/>
          </w:tcPr>
          <w:p>
            <w:pPr>
              <w:spacing w:after="0"/>
              <w:rPr>
                <w:sz w:val="18"/>
                <w:szCs w:val="18"/>
                <w:color w:val="auto"/>
              </w:rPr>
            </w:pPr>
          </w:p>
        </w:tc>
        <w:tc>
          <w:tcPr>
            <w:tcW w:w="6580" w:type="dxa"/>
            <w:vAlign w:val="bottom"/>
            <w:gridSpan w:val="12"/>
          </w:tcPr>
          <w:p>
            <w:pPr>
              <w:spacing w:after="0"/>
              <w:rPr>
                <w:rFonts w:ascii="Arial" w:cs="Arial" w:eastAsia="Arial" w:hAnsi="Arial"/>
                <w:sz w:val="18"/>
                <w:szCs w:val="18"/>
                <w:color w:val="0000FF"/>
              </w:rPr>
            </w:pPr>
            <w:hyperlink r:id="rId86">
              <w:r>
                <w:rPr>
                  <w:rFonts w:ascii="Arial" w:cs="Arial" w:eastAsia="Arial" w:hAnsi="Arial"/>
                  <w:sz w:val="18"/>
                  <w:szCs w:val="18"/>
                  <w:color w:val="0000FF"/>
                </w:rPr>
                <w:t>Specimen Stock Certificate evidencing the shares of common stock.</w:t>
              </w:r>
            </w:hyperlink>
          </w:p>
        </w:tc>
        <w:tc>
          <w:tcPr>
            <w:tcW w:w="640" w:type="dxa"/>
            <w:vAlign w:val="bottom"/>
          </w:tcPr>
          <w:p>
            <w:pPr>
              <w:ind w:left="100"/>
              <w:spacing w:after="0"/>
              <w:rPr>
                <w:sz w:val="20"/>
                <w:szCs w:val="20"/>
                <w:color w:val="auto"/>
              </w:rPr>
            </w:pPr>
            <w:r>
              <w:rPr>
                <w:rFonts w:ascii="Arial" w:cs="Arial" w:eastAsia="Arial" w:hAnsi="Arial"/>
                <w:sz w:val="18"/>
                <w:szCs w:val="18"/>
                <w:color w:val="auto"/>
              </w:rPr>
              <w:t>S-1/A</w:t>
            </w:r>
          </w:p>
        </w:tc>
        <w:tc>
          <w:tcPr>
            <w:tcW w:w="2320" w:type="dxa"/>
            <w:vAlign w:val="bottom"/>
          </w:tcPr>
          <w:p>
            <w:pPr>
              <w:jc w:val="right"/>
              <w:ind w:right="618"/>
              <w:spacing w:after="0"/>
              <w:rPr>
                <w:sz w:val="20"/>
                <w:szCs w:val="20"/>
                <w:color w:val="auto"/>
              </w:rPr>
            </w:pPr>
            <w:r>
              <w:rPr>
                <w:rFonts w:ascii="Arial" w:cs="Arial" w:eastAsia="Arial" w:hAnsi="Arial"/>
                <w:sz w:val="18"/>
                <w:szCs w:val="18"/>
                <w:color w:val="auto"/>
              </w:rPr>
              <w:t>4.1 10-18-2021</w:t>
            </w:r>
          </w:p>
        </w:tc>
      </w:tr>
      <w:tr>
        <w:trPr>
          <w:trHeight w:val="20"/>
        </w:trPr>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40" w:type="dxa"/>
            <w:vAlign w:val="bottom"/>
            <w:shd w:val="clear" w:color="auto" w:fill="0000FF"/>
          </w:tcPr>
          <w:p>
            <w:pPr>
              <w:spacing w:after="0" w:line="20" w:lineRule="exact"/>
              <w:rPr>
                <w:sz w:val="1"/>
                <w:szCs w:val="1"/>
                <w:color w:val="auto"/>
              </w:rPr>
            </w:pPr>
          </w:p>
        </w:tc>
        <w:tc>
          <w:tcPr>
            <w:tcW w:w="226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209"/>
        </w:trPr>
        <w:tc>
          <w:tcPr>
            <w:tcW w:w="820" w:type="dxa"/>
            <w:vAlign w:val="bottom"/>
            <w:gridSpan w:val="4"/>
          </w:tcPr>
          <w:p>
            <w:pPr>
              <w:jc w:val="center"/>
              <w:spacing w:after="0"/>
              <w:rPr>
                <w:sz w:val="20"/>
                <w:szCs w:val="20"/>
                <w:color w:val="auto"/>
              </w:rPr>
            </w:pPr>
            <w:r>
              <w:rPr>
                <w:rFonts w:ascii="Arial" w:cs="Arial" w:eastAsia="Arial" w:hAnsi="Arial"/>
                <w:sz w:val="18"/>
                <w:szCs w:val="18"/>
                <w:color w:val="0000FF"/>
                <w:w w:val="96"/>
              </w:rPr>
              <w:t>31.</w:t>
            </w:r>
            <w:r>
              <w:rPr>
                <w:rFonts w:ascii="Arial" w:cs="Arial" w:eastAsia="Arial" w:hAnsi="Arial"/>
                <w:sz w:val="18"/>
                <w:szCs w:val="18"/>
                <w:u w:val="single" w:color="auto"/>
                <w:color w:val="0000FF"/>
                <w:w w:val="96"/>
              </w:rPr>
              <w:t>1</w:t>
            </w:r>
          </w:p>
        </w:tc>
        <w:tc>
          <w:tcPr>
            <w:tcW w:w="6580" w:type="dxa"/>
            <w:vAlign w:val="bottom"/>
            <w:gridSpan w:val="12"/>
          </w:tcPr>
          <w:p>
            <w:pPr>
              <w:spacing w:after="0"/>
              <w:rPr>
                <w:sz w:val="20"/>
                <w:szCs w:val="20"/>
                <w:color w:val="auto"/>
              </w:rPr>
            </w:pPr>
            <w:r>
              <w:rPr>
                <w:rFonts w:ascii="Arial" w:cs="Arial" w:eastAsia="Arial" w:hAnsi="Arial"/>
                <w:sz w:val="18"/>
                <w:szCs w:val="18"/>
                <w:color w:val="0000FF"/>
              </w:rPr>
              <w:t>Certification of Principal Executive Officer pursuant to Rules 13a-14(a) and 15d-</w:t>
            </w:r>
          </w:p>
        </w:tc>
        <w:tc>
          <w:tcPr>
            <w:tcW w:w="640" w:type="dxa"/>
            <w:vAlign w:val="bottom"/>
          </w:tcPr>
          <w:p>
            <w:pPr>
              <w:spacing w:after="0"/>
              <w:rPr>
                <w:sz w:val="18"/>
                <w:szCs w:val="18"/>
                <w:color w:val="auto"/>
              </w:rPr>
            </w:pPr>
          </w:p>
        </w:tc>
        <w:tc>
          <w:tcPr>
            <w:tcW w:w="2320" w:type="dxa"/>
            <w:vAlign w:val="bottom"/>
          </w:tcPr>
          <w:p>
            <w:pPr>
              <w:jc w:val="center"/>
              <w:ind w:left="1558"/>
              <w:spacing w:after="0"/>
              <w:rPr>
                <w:sz w:val="20"/>
                <w:szCs w:val="20"/>
                <w:color w:val="auto"/>
              </w:rPr>
            </w:pPr>
            <w:r>
              <w:rPr>
                <w:rFonts w:ascii="Arial" w:cs="Arial" w:eastAsia="Arial" w:hAnsi="Arial"/>
                <w:sz w:val="18"/>
                <w:szCs w:val="18"/>
                <w:color w:val="auto"/>
                <w:w w:val="99"/>
              </w:rPr>
              <w:t>X</w:t>
            </w:r>
          </w:p>
        </w:tc>
      </w:tr>
      <w:tr>
        <w:trPr>
          <w:trHeight w:val="156"/>
        </w:trPr>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6320" w:type="dxa"/>
            <w:vAlign w:val="bottom"/>
            <w:tcBorders>
              <w:top w:val="single" w:sz="8" w:color="0000FF"/>
              <w:bottom w:val="single" w:sz="8" w:color="0000FF"/>
            </w:tcBorders>
            <w:gridSpan w:val="7"/>
          </w:tcPr>
          <w:p>
            <w:pPr>
              <w:spacing w:after="0" w:line="156" w:lineRule="exact"/>
              <w:rPr>
                <w:sz w:val="20"/>
                <w:szCs w:val="20"/>
                <w:color w:val="auto"/>
              </w:rPr>
            </w:pPr>
            <w:r>
              <w:rPr>
                <w:rFonts w:ascii="Arial" w:cs="Arial" w:eastAsia="Arial" w:hAnsi="Arial"/>
                <w:sz w:val="18"/>
                <w:szCs w:val="18"/>
                <w:color w:val="0000FF"/>
                <w:w w:val="97"/>
              </w:rPr>
              <w:t>14(a) under the Securities Exchange Act of 1934, as adopted pursuant to Section</w:t>
            </w:r>
          </w:p>
        </w:tc>
        <w:tc>
          <w:tcPr>
            <w:tcW w:w="60" w:type="dxa"/>
            <w:vAlign w:val="bottom"/>
            <w:tcBorders>
              <w:bottom w:val="single" w:sz="8" w:color="0000FF"/>
            </w:tcBorders>
          </w:tcPr>
          <w:p>
            <w:pPr>
              <w:spacing w:after="0"/>
              <w:rPr>
                <w:sz w:val="13"/>
                <w:szCs w:val="13"/>
                <w:color w:val="auto"/>
              </w:rPr>
            </w:pPr>
          </w:p>
        </w:tc>
        <w:tc>
          <w:tcPr>
            <w:tcW w:w="6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320" w:type="dxa"/>
            <w:vAlign w:val="bottom"/>
          </w:tcPr>
          <w:p>
            <w:pPr>
              <w:spacing w:after="0"/>
              <w:rPr>
                <w:sz w:val="13"/>
                <w:szCs w:val="13"/>
                <w:color w:val="auto"/>
              </w:rPr>
            </w:pPr>
          </w:p>
        </w:tc>
      </w:tr>
      <w:tr>
        <w:trPr>
          <w:trHeight w:val="169"/>
        </w:trPr>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160" w:type="dxa"/>
            <w:vAlign w:val="bottom"/>
            <w:tcBorders>
              <w:bottom w:val="single" w:sz="8" w:color="0000FF"/>
            </w:tcBorders>
            <w:gridSpan w:val="2"/>
          </w:tcPr>
          <w:p>
            <w:pPr>
              <w:spacing w:after="0" w:line="169" w:lineRule="exact"/>
              <w:rPr>
                <w:sz w:val="20"/>
                <w:szCs w:val="20"/>
                <w:color w:val="auto"/>
              </w:rPr>
            </w:pPr>
            <w:r>
              <w:rPr>
                <w:rFonts w:ascii="Arial" w:cs="Arial" w:eastAsia="Arial" w:hAnsi="Arial"/>
                <w:sz w:val="18"/>
                <w:szCs w:val="18"/>
                <w:color w:val="0000FF"/>
                <w:w w:val="99"/>
              </w:rPr>
              <w:t>302 of the Sarbanes-Oxley Act of 2002.</w:t>
            </w:r>
          </w:p>
        </w:tc>
        <w:tc>
          <w:tcPr>
            <w:tcW w:w="3320" w:type="dxa"/>
            <w:vAlign w:val="bottom"/>
            <w:gridSpan w:val="9"/>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320" w:type="dxa"/>
            <w:vAlign w:val="bottom"/>
          </w:tcPr>
          <w:p>
            <w:pPr>
              <w:spacing w:after="0"/>
              <w:rPr>
                <w:sz w:val="14"/>
                <w:szCs w:val="14"/>
                <w:color w:val="auto"/>
              </w:rPr>
            </w:pPr>
          </w:p>
        </w:tc>
      </w:tr>
      <w:tr>
        <w:trPr>
          <w:trHeight w:val="209"/>
        </w:trPr>
        <w:tc>
          <w:tcPr>
            <w:tcW w:w="820" w:type="dxa"/>
            <w:vAlign w:val="bottom"/>
            <w:gridSpan w:val="4"/>
          </w:tcPr>
          <w:p>
            <w:pPr>
              <w:jc w:val="center"/>
              <w:spacing w:after="0"/>
              <w:rPr>
                <w:sz w:val="20"/>
                <w:szCs w:val="20"/>
                <w:color w:val="auto"/>
              </w:rPr>
            </w:pPr>
            <w:r>
              <w:rPr>
                <w:rFonts w:ascii="Arial" w:cs="Arial" w:eastAsia="Arial" w:hAnsi="Arial"/>
                <w:sz w:val="18"/>
                <w:szCs w:val="18"/>
                <w:color w:val="0000FF"/>
                <w:w w:val="96"/>
              </w:rPr>
              <w:t>31.</w:t>
            </w:r>
            <w:r>
              <w:rPr>
                <w:rFonts w:ascii="Arial" w:cs="Arial" w:eastAsia="Arial" w:hAnsi="Arial"/>
                <w:sz w:val="18"/>
                <w:szCs w:val="18"/>
                <w:u w:val="single" w:color="auto"/>
                <w:color w:val="0000FF"/>
                <w:w w:val="96"/>
              </w:rPr>
              <w:t>2</w:t>
            </w:r>
          </w:p>
        </w:tc>
        <w:tc>
          <w:tcPr>
            <w:tcW w:w="6580" w:type="dxa"/>
            <w:vAlign w:val="bottom"/>
            <w:gridSpan w:val="12"/>
          </w:tcPr>
          <w:p>
            <w:pPr>
              <w:spacing w:after="0"/>
              <w:rPr>
                <w:sz w:val="20"/>
                <w:szCs w:val="20"/>
                <w:color w:val="auto"/>
              </w:rPr>
            </w:pPr>
            <w:r>
              <w:rPr>
                <w:rFonts w:ascii="Arial" w:cs="Arial" w:eastAsia="Arial" w:hAnsi="Arial"/>
                <w:sz w:val="18"/>
                <w:szCs w:val="18"/>
                <w:color w:val="0000FF"/>
              </w:rPr>
              <w:t>Certification of Principal Financial Officer pursuant to Rules 13a-14(a) and 15d-</w:t>
            </w:r>
          </w:p>
        </w:tc>
        <w:tc>
          <w:tcPr>
            <w:tcW w:w="640" w:type="dxa"/>
            <w:vAlign w:val="bottom"/>
          </w:tcPr>
          <w:p>
            <w:pPr>
              <w:spacing w:after="0"/>
              <w:rPr>
                <w:sz w:val="18"/>
                <w:szCs w:val="18"/>
                <w:color w:val="auto"/>
              </w:rPr>
            </w:pPr>
          </w:p>
        </w:tc>
        <w:tc>
          <w:tcPr>
            <w:tcW w:w="2320" w:type="dxa"/>
            <w:vAlign w:val="bottom"/>
          </w:tcPr>
          <w:p>
            <w:pPr>
              <w:jc w:val="center"/>
              <w:ind w:left="1558"/>
              <w:spacing w:after="0"/>
              <w:rPr>
                <w:sz w:val="20"/>
                <w:szCs w:val="20"/>
                <w:color w:val="auto"/>
              </w:rPr>
            </w:pPr>
            <w:r>
              <w:rPr>
                <w:rFonts w:ascii="Arial" w:cs="Arial" w:eastAsia="Arial" w:hAnsi="Arial"/>
                <w:sz w:val="18"/>
                <w:szCs w:val="18"/>
                <w:color w:val="auto"/>
                <w:w w:val="99"/>
              </w:rPr>
              <w:t>X</w:t>
            </w:r>
          </w:p>
        </w:tc>
      </w:tr>
      <w:tr>
        <w:trPr>
          <w:trHeight w:val="20"/>
        </w:trPr>
        <w:tc>
          <w:tcPr>
            <w:tcW w:w="20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5460" w:type="dxa"/>
            <w:vAlign w:val="bottom"/>
            <w:gridSpan w:val="6"/>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156"/>
        </w:trPr>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580" w:type="dxa"/>
            <w:vAlign w:val="bottom"/>
            <w:gridSpan w:val="12"/>
          </w:tcPr>
          <w:p>
            <w:pPr>
              <w:spacing w:after="0" w:line="156" w:lineRule="exact"/>
              <w:rPr>
                <w:sz w:val="20"/>
                <w:szCs w:val="20"/>
                <w:color w:val="auto"/>
              </w:rPr>
            </w:pPr>
            <w:r>
              <w:rPr>
                <w:rFonts w:ascii="Arial" w:cs="Arial" w:eastAsia="Arial" w:hAnsi="Arial"/>
                <w:sz w:val="18"/>
                <w:szCs w:val="18"/>
                <w:color w:val="0000FF"/>
              </w:rPr>
              <w:t>14(a) under the Securities Exchange Act of 1934, as adopted pursuant to Section</w:t>
            </w:r>
          </w:p>
        </w:tc>
        <w:tc>
          <w:tcPr>
            <w:tcW w:w="640" w:type="dxa"/>
            <w:vAlign w:val="bottom"/>
          </w:tcPr>
          <w:p>
            <w:pPr>
              <w:spacing w:after="0"/>
              <w:rPr>
                <w:sz w:val="13"/>
                <w:szCs w:val="13"/>
                <w:color w:val="auto"/>
              </w:rPr>
            </w:pPr>
          </w:p>
        </w:tc>
        <w:tc>
          <w:tcPr>
            <w:tcW w:w="2320" w:type="dxa"/>
            <w:vAlign w:val="bottom"/>
          </w:tcPr>
          <w:p>
            <w:pPr>
              <w:spacing w:after="0"/>
              <w:rPr>
                <w:sz w:val="13"/>
                <w:szCs w:val="13"/>
                <w:color w:val="auto"/>
              </w:rPr>
            </w:pPr>
          </w:p>
        </w:tc>
      </w:tr>
      <w:tr>
        <w:trPr>
          <w:trHeight w:val="169"/>
        </w:trPr>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160" w:type="dxa"/>
            <w:vAlign w:val="bottom"/>
            <w:tcBorders>
              <w:top w:val="single" w:sz="8" w:color="0000FF"/>
              <w:bottom w:val="single" w:sz="8" w:color="0000FF"/>
            </w:tcBorders>
            <w:gridSpan w:val="2"/>
          </w:tcPr>
          <w:p>
            <w:pPr>
              <w:spacing w:after="0" w:line="169" w:lineRule="exact"/>
              <w:rPr>
                <w:sz w:val="20"/>
                <w:szCs w:val="20"/>
                <w:color w:val="auto"/>
              </w:rPr>
            </w:pPr>
            <w:r>
              <w:rPr>
                <w:rFonts w:ascii="Arial" w:cs="Arial" w:eastAsia="Arial" w:hAnsi="Arial"/>
                <w:sz w:val="18"/>
                <w:szCs w:val="18"/>
                <w:color w:val="0000FF"/>
                <w:w w:val="99"/>
              </w:rPr>
              <w:t>302 of the Sarbanes-Oxley Act of 2002.</w:t>
            </w:r>
          </w:p>
        </w:tc>
        <w:tc>
          <w:tcPr>
            <w:tcW w:w="3320" w:type="dxa"/>
            <w:vAlign w:val="bottom"/>
            <w:tcBorders>
              <w:top w:val="single" w:sz="8" w:color="0000FF"/>
            </w:tcBorders>
            <w:gridSpan w:val="9"/>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320" w:type="dxa"/>
            <w:vAlign w:val="bottom"/>
          </w:tcPr>
          <w:p>
            <w:pPr>
              <w:spacing w:after="0"/>
              <w:rPr>
                <w:sz w:val="14"/>
                <w:szCs w:val="14"/>
                <w:color w:val="auto"/>
              </w:rPr>
            </w:pPr>
          </w:p>
        </w:tc>
      </w:tr>
      <w:tr>
        <w:trPr>
          <w:trHeight w:val="210"/>
        </w:trPr>
        <w:tc>
          <w:tcPr>
            <w:tcW w:w="820" w:type="dxa"/>
            <w:vAlign w:val="bottom"/>
            <w:gridSpan w:val="4"/>
          </w:tcPr>
          <w:p>
            <w:pPr>
              <w:jc w:val="center"/>
              <w:spacing w:after="0"/>
              <w:rPr>
                <w:sz w:val="20"/>
                <w:szCs w:val="20"/>
                <w:color w:val="auto"/>
              </w:rPr>
            </w:pPr>
            <w:r>
              <w:rPr>
                <w:rFonts w:ascii="Arial" w:cs="Arial" w:eastAsia="Arial" w:hAnsi="Arial"/>
                <w:sz w:val="18"/>
                <w:szCs w:val="18"/>
                <w:color w:val="0000FF"/>
                <w:w w:val="99"/>
              </w:rPr>
              <w:t>32.</w:t>
            </w:r>
            <w:r>
              <w:rPr>
                <w:rFonts w:ascii="Arial" w:cs="Arial" w:eastAsia="Arial" w:hAnsi="Arial"/>
                <w:sz w:val="18"/>
                <w:szCs w:val="18"/>
                <w:u w:val="single" w:color="auto"/>
                <w:color w:val="0000FF"/>
                <w:w w:val="99"/>
              </w:rPr>
              <w:t>1</w:t>
            </w:r>
            <w:r>
              <w:rPr>
                <w:rFonts w:ascii="Arial" w:cs="Arial" w:eastAsia="Arial" w:hAnsi="Arial"/>
                <w:sz w:val="18"/>
                <w:szCs w:val="18"/>
                <w:color w:val="000000"/>
                <w:w w:val="99"/>
              </w:rPr>
              <w:t>*</w:t>
            </w:r>
          </w:p>
        </w:tc>
        <w:tc>
          <w:tcPr>
            <w:tcW w:w="6580" w:type="dxa"/>
            <w:vAlign w:val="bottom"/>
            <w:gridSpan w:val="12"/>
          </w:tcPr>
          <w:p>
            <w:pPr>
              <w:spacing w:after="0"/>
              <w:rPr>
                <w:sz w:val="20"/>
                <w:szCs w:val="20"/>
                <w:color w:val="auto"/>
              </w:rPr>
            </w:pPr>
            <w:r>
              <w:rPr>
                <w:rFonts w:ascii="Arial" w:cs="Arial" w:eastAsia="Arial" w:hAnsi="Arial"/>
                <w:sz w:val="18"/>
                <w:szCs w:val="18"/>
                <w:color w:val="0000FF"/>
              </w:rPr>
              <w:t>Certification of Principal Executive Officer pursuant to 18 U.S.C. Section 1350, as</w:t>
            </w:r>
          </w:p>
        </w:tc>
        <w:tc>
          <w:tcPr>
            <w:tcW w:w="640" w:type="dxa"/>
            <w:vAlign w:val="bottom"/>
          </w:tcPr>
          <w:p>
            <w:pPr>
              <w:spacing w:after="0"/>
              <w:rPr>
                <w:sz w:val="18"/>
                <w:szCs w:val="18"/>
                <w:color w:val="auto"/>
              </w:rPr>
            </w:pPr>
          </w:p>
        </w:tc>
        <w:tc>
          <w:tcPr>
            <w:tcW w:w="2320" w:type="dxa"/>
            <w:vAlign w:val="bottom"/>
          </w:tcPr>
          <w:p>
            <w:pPr>
              <w:jc w:val="center"/>
              <w:ind w:left="1558"/>
              <w:spacing w:after="0"/>
              <w:rPr>
                <w:sz w:val="20"/>
                <w:szCs w:val="20"/>
                <w:color w:val="auto"/>
              </w:rPr>
            </w:pPr>
            <w:r>
              <w:rPr>
                <w:rFonts w:ascii="Arial" w:cs="Arial" w:eastAsia="Arial" w:hAnsi="Arial"/>
                <w:sz w:val="18"/>
                <w:szCs w:val="18"/>
                <w:color w:val="auto"/>
                <w:w w:val="99"/>
              </w:rPr>
              <w:t>X</w:t>
            </w:r>
          </w:p>
        </w:tc>
      </w:tr>
      <w:tr>
        <w:trPr>
          <w:trHeight w:val="155"/>
        </w:trPr>
        <w:tc>
          <w:tcPr>
            <w:tcW w:w="20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5440" w:type="dxa"/>
            <w:vAlign w:val="bottom"/>
            <w:tcBorders>
              <w:top w:val="single" w:sz="8" w:color="0000FF"/>
              <w:bottom w:val="single" w:sz="8" w:color="0000FF"/>
            </w:tcBorders>
            <w:gridSpan w:val="5"/>
          </w:tcPr>
          <w:p>
            <w:pPr>
              <w:spacing w:after="0" w:line="156" w:lineRule="exact"/>
              <w:rPr>
                <w:sz w:val="20"/>
                <w:szCs w:val="20"/>
                <w:color w:val="auto"/>
              </w:rPr>
            </w:pPr>
            <w:r>
              <w:rPr>
                <w:rFonts w:ascii="Arial" w:cs="Arial" w:eastAsia="Arial" w:hAnsi="Arial"/>
                <w:sz w:val="18"/>
                <w:szCs w:val="18"/>
                <w:color w:val="0000FF"/>
                <w:w w:val="99"/>
              </w:rPr>
              <w:t>adopted pursuant to Section 906 of the Sarbanes-Oxley Act of 2002.</w:t>
            </w:r>
          </w:p>
        </w:tc>
        <w:tc>
          <w:tcPr>
            <w:tcW w:w="1000" w:type="dxa"/>
            <w:vAlign w:val="bottom"/>
            <w:tcBorders>
              <w:top w:val="single" w:sz="8" w:color="0000FF"/>
            </w:tcBorders>
            <w:gridSpan w:val="4"/>
          </w:tcPr>
          <w:p>
            <w:pPr>
              <w:spacing w:after="0"/>
              <w:rPr>
                <w:sz w:val="13"/>
                <w:szCs w:val="13"/>
                <w:color w:val="auto"/>
              </w:rPr>
            </w:pPr>
          </w:p>
        </w:tc>
        <w:tc>
          <w:tcPr>
            <w:tcW w:w="120" w:type="dxa"/>
            <w:vAlign w:val="bottom"/>
            <w:gridSpan w:val="2"/>
          </w:tcPr>
          <w:p>
            <w:pPr>
              <w:spacing w:after="0"/>
              <w:rPr>
                <w:sz w:val="13"/>
                <w:szCs w:val="13"/>
                <w:color w:val="auto"/>
              </w:rPr>
            </w:pPr>
          </w:p>
        </w:tc>
        <w:tc>
          <w:tcPr>
            <w:tcW w:w="640" w:type="dxa"/>
            <w:vAlign w:val="bottom"/>
          </w:tcPr>
          <w:p>
            <w:pPr>
              <w:spacing w:after="0"/>
              <w:rPr>
                <w:sz w:val="13"/>
                <w:szCs w:val="13"/>
                <w:color w:val="auto"/>
              </w:rPr>
            </w:pPr>
          </w:p>
        </w:tc>
        <w:tc>
          <w:tcPr>
            <w:tcW w:w="2320" w:type="dxa"/>
            <w:vAlign w:val="bottom"/>
          </w:tcPr>
          <w:p>
            <w:pPr>
              <w:spacing w:after="0"/>
              <w:rPr>
                <w:sz w:val="13"/>
                <w:szCs w:val="13"/>
                <w:color w:val="auto"/>
              </w:rPr>
            </w:pPr>
          </w:p>
        </w:tc>
      </w:tr>
      <w:tr>
        <w:trPr>
          <w:trHeight w:val="223"/>
        </w:trPr>
        <w:tc>
          <w:tcPr>
            <w:tcW w:w="820" w:type="dxa"/>
            <w:vAlign w:val="bottom"/>
            <w:gridSpan w:val="4"/>
          </w:tcPr>
          <w:p>
            <w:pPr>
              <w:jc w:val="center"/>
              <w:spacing w:after="0"/>
              <w:rPr>
                <w:sz w:val="20"/>
                <w:szCs w:val="20"/>
                <w:color w:val="auto"/>
              </w:rPr>
            </w:pPr>
            <w:r>
              <w:rPr>
                <w:rFonts w:ascii="Arial" w:cs="Arial" w:eastAsia="Arial" w:hAnsi="Arial"/>
                <w:sz w:val="18"/>
                <w:szCs w:val="18"/>
                <w:color w:val="0000FF"/>
                <w:w w:val="99"/>
              </w:rPr>
              <w:t>32.</w:t>
            </w:r>
            <w:r>
              <w:rPr>
                <w:rFonts w:ascii="Arial" w:cs="Arial" w:eastAsia="Arial" w:hAnsi="Arial"/>
                <w:sz w:val="18"/>
                <w:szCs w:val="18"/>
                <w:u w:val="single" w:color="auto"/>
                <w:color w:val="0000FF"/>
                <w:w w:val="99"/>
              </w:rPr>
              <w:t>2</w:t>
            </w:r>
            <w:r>
              <w:rPr>
                <w:rFonts w:ascii="Arial" w:cs="Arial" w:eastAsia="Arial" w:hAnsi="Arial"/>
                <w:sz w:val="18"/>
                <w:szCs w:val="18"/>
                <w:color w:val="000000"/>
                <w:w w:val="99"/>
              </w:rPr>
              <w:t>*</w:t>
            </w:r>
          </w:p>
        </w:tc>
        <w:tc>
          <w:tcPr>
            <w:tcW w:w="6580" w:type="dxa"/>
            <w:vAlign w:val="bottom"/>
            <w:gridSpan w:val="12"/>
          </w:tcPr>
          <w:p>
            <w:pPr>
              <w:spacing w:after="0"/>
              <w:rPr>
                <w:sz w:val="20"/>
                <w:szCs w:val="20"/>
                <w:color w:val="auto"/>
              </w:rPr>
            </w:pPr>
            <w:r>
              <w:rPr>
                <w:rFonts w:ascii="Arial" w:cs="Arial" w:eastAsia="Arial" w:hAnsi="Arial"/>
                <w:sz w:val="18"/>
                <w:szCs w:val="18"/>
                <w:color w:val="0000FF"/>
              </w:rPr>
              <w:t>Certification of Principal Financial Officer pursuant to 18 U.S.C. Section 1350, as</w:t>
            </w:r>
          </w:p>
        </w:tc>
        <w:tc>
          <w:tcPr>
            <w:tcW w:w="640" w:type="dxa"/>
            <w:vAlign w:val="bottom"/>
          </w:tcPr>
          <w:p>
            <w:pPr>
              <w:spacing w:after="0"/>
              <w:rPr>
                <w:sz w:val="19"/>
                <w:szCs w:val="19"/>
                <w:color w:val="auto"/>
              </w:rPr>
            </w:pPr>
          </w:p>
        </w:tc>
        <w:tc>
          <w:tcPr>
            <w:tcW w:w="2320" w:type="dxa"/>
            <w:vAlign w:val="bottom"/>
          </w:tcPr>
          <w:p>
            <w:pPr>
              <w:jc w:val="center"/>
              <w:ind w:left="1558"/>
              <w:spacing w:after="0"/>
              <w:rPr>
                <w:sz w:val="20"/>
                <w:szCs w:val="20"/>
                <w:color w:val="auto"/>
              </w:rPr>
            </w:pPr>
            <w:r>
              <w:rPr>
                <w:rFonts w:ascii="Arial" w:cs="Arial" w:eastAsia="Arial" w:hAnsi="Arial"/>
                <w:sz w:val="18"/>
                <w:szCs w:val="18"/>
                <w:color w:val="auto"/>
                <w:w w:val="99"/>
              </w:rPr>
              <w:t>X</w:t>
            </w:r>
          </w:p>
        </w:tc>
      </w:tr>
      <w:tr>
        <w:trPr>
          <w:trHeight w:val="156"/>
        </w:trPr>
        <w:tc>
          <w:tcPr>
            <w:tcW w:w="20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280" w:type="dxa"/>
            <w:vAlign w:val="bottom"/>
          </w:tcPr>
          <w:p>
            <w:pPr>
              <w:spacing w:after="0"/>
              <w:rPr>
                <w:sz w:val="13"/>
                <w:szCs w:val="13"/>
                <w:color w:val="auto"/>
              </w:rPr>
            </w:pPr>
          </w:p>
        </w:tc>
        <w:tc>
          <w:tcPr>
            <w:tcW w:w="5460" w:type="dxa"/>
            <w:vAlign w:val="bottom"/>
            <w:tcBorders>
              <w:top w:val="single" w:sz="8" w:color="0000FF"/>
              <w:bottom w:val="single" w:sz="8" w:color="0000FF"/>
            </w:tcBorders>
            <w:gridSpan w:val="6"/>
          </w:tcPr>
          <w:p>
            <w:pPr>
              <w:spacing w:after="0" w:line="156" w:lineRule="exact"/>
              <w:rPr>
                <w:sz w:val="20"/>
                <w:szCs w:val="20"/>
                <w:color w:val="auto"/>
              </w:rPr>
            </w:pPr>
            <w:r>
              <w:rPr>
                <w:rFonts w:ascii="Arial" w:cs="Arial" w:eastAsia="Arial" w:hAnsi="Arial"/>
                <w:sz w:val="18"/>
                <w:szCs w:val="18"/>
                <w:color w:val="0000FF"/>
                <w:w w:val="99"/>
              </w:rPr>
              <w:t>adopted pursuant to Section 906 of the Sarbanes-Oxley Act of 2002.</w:t>
            </w:r>
          </w:p>
        </w:tc>
        <w:tc>
          <w:tcPr>
            <w:tcW w:w="940" w:type="dxa"/>
            <w:vAlign w:val="bottom"/>
            <w:tcBorders>
              <w:top w:val="single" w:sz="8" w:color="0000FF"/>
            </w:tcBorders>
            <w:gridSpan w:val="3"/>
          </w:tcPr>
          <w:p>
            <w:pPr>
              <w:spacing w:after="0"/>
              <w:rPr>
                <w:sz w:val="13"/>
                <w:szCs w:val="13"/>
                <w:color w:val="auto"/>
              </w:rPr>
            </w:pPr>
          </w:p>
        </w:tc>
        <w:tc>
          <w:tcPr>
            <w:tcW w:w="180" w:type="dxa"/>
            <w:vAlign w:val="bottom"/>
            <w:gridSpan w:val="3"/>
          </w:tcPr>
          <w:p>
            <w:pPr>
              <w:spacing w:after="0"/>
              <w:rPr>
                <w:sz w:val="13"/>
                <w:szCs w:val="13"/>
                <w:color w:val="auto"/>
              </w:rPr>
            </w:pPr>
          </w:p>
        </w:tc>
        <w:tc>
          <w:tcPr>
            <w:tcW w:w="640" w:type="dxa"/>
            <w:vAlign w:val="bottom"/>
          </w:tcPr>
          <w:p>
            <w:pPr>
              <w:spacing w:after="0"/>
              <w:rPr>
                <w:sz w:val="13"/>
                <w:szCs w:val="13"/>
                <w:color w:val="auto"/>
              </w:rPr>
            </w:pPr>
          </w:p>
        </w:tc>
        <w:tc>
          <w:tcPr>
            <w:tcW w:w="2320" w:type="dxa"/>
            <w:vAlign w:val="bottom"/>
          </w:tcPr>
          <w:p>
            <w:pPr>
              <w:spacing w:after="0"/>
              <w:rPr>
                <w:sz w:val="13"/>
                <w:szCs w:val="13"/>
                <w:color w:val="auto"/>
              </w:rPr>
            </w:pPr>
          </w:p>
        </w:tc>
      </w:tr>
      <w:tr>
        <w:trPr>
          <w:trHeight w:val="210"/>
        </w:trPr>
        <w:tc>
          <w:tcPr>
            <w:tcW w:w="7400" w:type="dxa"/>
            <w:vAlign w:val="bottom"/>
            <w:gridSpan w:val="16"/>
          </w:tcPr>
          <w:p>
            <w:pPr>
              <w:ind w:left="80"/>
              <w:spacing w:after="0"/>
              <w:rPr>
                <w:sz w:val="20"/>
                <w:szCs w:val="20"/>
                <w:color w:val="auto"/>
              </w:rPr>
            </w:pPr>
            <w:r>
              <w:rPr>
                <w:rFonts w:ascii="Arial" w:cs="Arial" w:eastAsia="Arial" w:hAnsi="Arial"/>
                <w:sz w:val="18"/>
                <w:szCs w:val="18"/>
                <w:color w:val="auto"/>
              </w:rPr>
              <w:t>101.INS XBRL Instance Document - the instance document does not appear in the</w:t>
            </w:r>
          </w:p>
        </w:tc>
        <w:tc>
          <w:tcPr>
            <w:tcW w:w="640" w:type="dxa"/>
            <w:vAlign w:val="bottom"/>
          </w:tcPr>
          <w:p>
            <w:pPr>
              <w:spacing w:after="0"/>
              <w:rPr>
                <w:sz w:val="18"/>
                <w:szCs w:val="18"/>
                <w:color w:val="auto"/>
              </w:rPr>
            </w:pPr>
          </w:p>
        </w:tc>
        <w:tc>
          <w:tcPr>
            <w:tcW w:w="2320" w:type="dxa"/>
            <w:vAlign w:val="bottom"/>
          </w:tcPr>
          <w:p>
            <w:pPr>
              <w:jc w:val="center"/>
              <w:ind w:left="1558"/>
              <w:spacing w:after="0"/>
              <w:rPr>
                <w:sz w:val="20"/>
                <w:szCs w:val="20"/>
                <w:color w:val="auto"/>
              </w:rPr>
            </w:pPr>
            <w:r>
              <w:rPr>
                <w:rFonts w:ascii="Arial" w:cs="Arial" w:eastAsia="Arial" w:hAnsi="Arial"/>
                <w:sz w:val="18"/>
                <w:szCs w:val="18"/>
                <w:color w:val="auto"/>
                <w:w w:val="99"/>
              </w:rPr>
              <w:t>X</w:t>
            </w:r>
          </w:p>
        </w:tc>
      </w:tr>
      <w:tr>
        <w:trPr>
          <w:trHeight w:val="184"/>
        </w:trPr>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580" w:type="dxa"/>
            <w:vAlign w:val="bottom"/>
            <w:gridSpan w:val="12"/>
          </w:tcPr>
          <w:p>
            <w:pPr>
              <w:spacing w:after="0" w:line="183" w:lineRule="exact"/>
              <w:rPr>
                <w:sz w:val="20"/>
                <w:szCs w:val="20"/>
                <w:color w:val="auto"/>
              </w:rPr>
            </w:pPr>
            <w:r>
              <w:rPr>
                <w:rFonts w:ascii="Arial" w:cs="Arial" w:eastAsia="Arial" w:hAnsi="Arial"/>
                <w:sz w:val="18"/>
                <w:szCs w:val="18"/>
                <w:color w:val="auto"/>
              </w:rPr>
              <w:t>Interactive Data File because its XBRL tags are embedded within the Inline XBRL</w:t>
            </w:r>
          </w:p>
        </w:tc>
        <w:tc>
          <w:tcPr>
            <w:tcW w:w="640" w:type="dxa"/>
            <w:vAlign w:val="bottom"/>
          </w:tcPr>
          <w:p>
            <w:pPr>
              <w:spacing w:after="0"/>
              <w:rPr>
                <w:sz w:val="15"/>
                <w:szCs w:val="15"/>
                <w:color w:val="auto"/>
              </w:rPr>
            </w:pPr>
          </w:p>
        </w:tc>
        <w:tc>
          <w:tcPr>
            <w:tcW w:w="2320" w:type="dxa"/>
            <w:vAlign w:val="bottom"/>
          </w:tcPr>
          <w:p>
            <w:pPr>
              <w:spacing w:after="0"/>
              <w:rPr>
                <w:sz w:val="15"/>
                <w:szCs w:val="15"/>
                <w:color w:val="auto"/>
              </w:rPr>
            </w:pPr>
          </w:p>
        </w:tc>
      </w:tr>
      <w:tr>
        <w:trPr>
          <w:trHeight w:val="229"/>
        </w:trPr>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580" w:type="dxa"/>
            <w:vAlign w:val="bottom"/>
            <w:gridSpan w:val="12"/>
          </w:tcPr>
          <w:p>
            <w:pPr>
              <w:spacing w:after="0"/>
              <w:rPr>
                <w:sz w:val="20"/>
                <w:szCs w:val="20"/>
                <w:color w:val="auto"/>
              </w:rPr>
            </w:pPr>
            <w:r>
              <w:rPr>
                <w:rFonts w:ascii="Arial" w:cs="Arial" w:eastAsia="Arial" w:hAnsi="Arial"/>
                <w:sz w:val="18"/>
                <w:szCs w:val="18"/>
                <w:color w:val="auto"/>
              </w:rPr>
              <w:t>document.</w:t>
            </w:r>
          </w:p>
        </w:tc>
        <w:tc>
          <w:tcPr>
            <w:tcW w:w="640" w:type="dxa"/>
            <w:vAlign w:val="bottom"/>
          </w:tcPr>
          <w:p>
            <w:pPr>
              <w:spacing w:after="0"/>
              <w:rPr>
                <w:sz w:val="19"/>
                <w:szCs w:val="19"/>
                <w:color w:val="auto"/>
              </w:rPr>
            </w:pPr>
          </w:p>
        </w:tc>
        <w:tc>
          <w:tcPr>
            <w:tcW w:w="2320" w:type="dxa"/>
            <w:vAlign w:val="bottom"/>
          </w:tcPr>
          <w:p>
            <w:pPr>
              <w:spacing w:after="0"/>
              <w:rPr>
                <w:sz w:val="19"/>
                <w:szCs w:val="19"/>
                <w:color w:val="auto"/>
              </w:rPr>
            </w:pPr>
          </w:p>
        </w:tc>
      </w:tr>
      <w:tr>
        <w:trPr>
          <w:trHeight w:val="230"/>
        </w:trPr>
        <w:tc>
          <w:tcPr>
            <w:tcW w:w="7400" w:type="dxa"/>
            <w:vAlign w:val="bottom"/>
            <w:gridSpan w:val="16"/>
          </w:tcPr>
          <w:p>
            <w:pPr>
              <w:ind w:left="40"/>
              <w:spacing w:after="0"/>
              <w:rPr>
                <w:sz w:val="20"/>
                <w:szCs w:val="20"/>
                <w:color w:val="auto"/>
              </w:rPr>
            </w:pPr>
            <w:r>
              <w:rPr>
                <w:rFonts w:ascii="Arial" w:cs="Arial" w:eastAsia="Arial" w:hAnsi="Arial"/>
                <w:sz w:val="18"/>
                <w:szCs w:val="18"/>
                <w:color w:val="auto"/>
              </w:rPr>
              <w:t>101.SCH XBRL Taxonomy Extension Schema Document.</w:t>
            </w:r>
          </w:p>
        </w:tc>
        <w:tc>
          <w:tcPr>
            <w:tcW w:w="640" w:type="dxa"/>
            <w:vAlign w:val="bottom"/>
          </w:tcPr>
          <w:p>
            <w:pPr>
              <w:spacing w:after="0"/>
              <w:rPr>
                <w:sz w:val="19"/>
                <w:szCs w:val="19"/>
                <w:color w:val="auto"/>
              </w:rPr>
            </w:pPr>
          </w:p>
        </w:tc>
        <w:tc>
          <w:tcPr>
            <w:tcW w:w="2320" w:type="dxa"/>
            <w:vAlign w:val="bottom"/>
          </w:tcPr>
          <w:p>
            <w:pPr>
              <w:jc w:val="center"/>
              <w:ind w:left="1558"/>
              <w:spacing w:after="0"/>
              <w:rPr>
                <w:sz w:val="20"/>
                <w:szCs w:val="20"/>
                <w:color w:val="auto"/>
              </w:rPr>
            </w:pPr>
            <w:r>
              <w:rPr>
                <w:rFonts w:ascii="Arial" w:cs="Arial" w:eastAsia="Arial" w:hAnsi="Arial"/>
                <w:sz w:val="18"/>
                <w:szCs w:val="18"/>
                <w:color w:val="auto"/>
                <w:w w:val="99"/>
              </w:rPr>
              <w:t>X</w:t>
            </w:r>
          </w:p>
        </w:tc>
      </w:tr>
      <w:tr>
        <w:trPr>
          <w:trHeight w:val="229"/>
        </w:trPr>
        <w:tc>
          <w:tcPr>
            <w:tcW w:w="7400" w:type="dxa"/>
            <w:vAlign w:val="bottom"/>
            <w:gridSpan w:val="16"/>
          </w:tcPr>
          <w:p>
            <w:pPr>
              <w:ind w:left="60"/>
              <w:spacing w:after="0"/>
              <w:rPr>
                <w:sz w:val="20"/>
                <w:szCs w:val="20"/>
                <w:color w:val="auto"/>
              </w:rPr>
            </w:pPr>
            <w:r>
              <w:rPr>
                <w:rFonts w:ascii="Arial" w:cs="Arial" w:eastAsia="Arial" w:hAnsi="Arial"/>
                <w:sz w:val="18"/>
                <w:szCs w:val="18"/>
                <w:color w:val="auto"/>
              </w:rPr>
              <w:t>101.CAL XBRL Taxonomy Extension Calculation Linkbase Document.</w:t>
            </w:r>
          </w:p>
        </w:tc>
        <w:tc>
          <w:tcPr>
            <w:tcW w:w="640" w:type="dxa"/>
            <w:vAlign w:val="bottom"/>
          </w:tcPr>
          <w:p>
            <w:pPr>
              <w:spacing w:after="0"/>
              <w:rPr>
                <w:sz w:val="19"/>
                <w:szCs w:val="19"/>
                <w:color w:val="auto"/>
              </w:rPr>
            </w:pPr>
          </w:p>
        </w:tc>
        <w:tc>
          <w:tcPr>
            <w:tcW w:w="2320" w:type="dxa"/>
            <w:vAlign w:val="bottom"/>
          </w:tcPr>
          <w:p>
            <w:pPr>
              <w:jc w:val="center"/>
              <w:ind w:left="1558"/>
              <w:spacing w:after="0"/>
              <w:rPr>
                <w:sz w:val="20"/>
                <w:szCs w:val="20"/>
                <w:color w:val="auto"/>
              </w:rPr>
            </w:pPr>
            <w:r>
              <w:rPr>
                <w:rFonts w:ascii="Arial" w:cs="Arial" w:eastAsia="Arial" w:hAnsi="Arial"/>
                <w:sz w:val="18"/>
                <w:szCs w:val="18"/>
                <w:color w:val="auto"/>
                <w:w w:val="99"/>
              </w:rPr>
              <w:t>X</w:t>
            </w:r>
          </w:p>
        </w:tc>
      </w:tr>
      <w:tr>
        <w:trPr>
          <w:trHeight w:val="229"/>
        </w:trPr>
        <w:tc>
          <w:tcPr>
            <w:tcW w:w="7400" w:type="dxa"/>
            <w:vAlign w:val="bottom"/>
            <w:gridSpan w:val="16"/>
          </w:tcPr>
          <w:p>
            <w:pPr>
              <w:ind w:left="60"/>
              <w:spacing w:after="0"/>
              <w:rPr>
                <w:sz w:val="20"/>
                <w:szCs w:val="20"/>
                <w:color w:val="auto"/>
              </w:rPr>
            </w:pPr>
            <w:r>
              <w:rPr>
                <w:rFonts w:ascii="Arial" w:cs="Arial" w:eastAsia="Arial" w:hAnsi="Arial"/>
                <w:sz w:val="18"/>
                <w:szCs w:val="18"/>
                <w:color w:val="auto"/>
              </w:rPr>
              <w:t>101.DEF XBRL Taxonomy Extension Definition Linkbase Document.</w:t>
            </w:r>
          </w:p>
        </w:tc>
        <w:tc>
          <w:tcPr>
            <w:tcW w:w="640" w:type="dxa"/>
            <w:vAlign w:val="bottom"/>
          </w:tcPr>
          <w:p>
            <w:pPr>
              <w:spacing w:after="0"/>
              <w:rPr>
                <w:sz w:val="19"/>
                <w:szCs w:val="19"/>
                <w:color w:val="auto"/>
              </w:rPr>
            </w:pPr>
          </w:p>
        </w:tc>
        <w:tc>
          <w:tcPr>
            <w:tcW w:w="2320" w:type="dxa"/>
            <w:vAlign w:val="bottom"/>
          </w:tcPr>
          <w:p>
            <w:pPr>
              <w:jc w:val="center"/>
              <w:ind w:left="1558"/>
              <w:spacing w:after="0"/>
              <w:rPr>
                <w:sz w:val="20"/>
                <w:szCs w:val="20"/>
                <w:color w:val="auto"/>
              </w:rPr>
            </w:pPr>
            <w:r>
              <w:rPr>
                <w:rFonts w:ascii="Arial" w:cs="Arial" w:eastAsia="Arial" w:hAnsi="Arial"/>
                <w:sz w:val="18"/>
                <w:szCs w:val="18"/>
                <w:color w:val="auto"/>
                <w:w w:val="99"/>
              </w:rPr>
              <w:t>X</w:t>
            </w:r>
          </w:p>
        </w:tc>
      </w:tr>
      <w:tr>
        <w:trPr>
          <w:trHeight w:val="230"/>
        </w:trPr>
        <w:tc>
          <w:tcPr>
            <w:tcW w:w="7400" w:type="dxa"/>
            <w:vAlign w:val="bottom"/>
            <w:gridSpan w:val="16"/>
          </w:tcPr>
          <w:p>
            <w:pPr>
              <w:ind w:left="60"/>
              <w:spacing w:after="0"/>
              <w:rPr>
                <w:sz w:val="20"/>
                <w:szCs w:val="20"/>
                <w:color w:val="auto"/>
              </w:rPr>
            </w:pPr>
            <w:r>
              <w:rPr>
                <w:rFonts w:ascii="Arial" w:cs="Arial" w:eastAsia="Arial" w:hAnsi="Arial"/>
                <w:sz w:val="18"/>
                <w:szCs w:val="18"/>
                <w:color w:val="auto"/>
              </w:rPr>
              <w:t>101.LAB XBRL Taxonomy Extension Label Linkbase Document.</w:t>
            </w:r>
          </w:p>
        </w:tc>
        <w:tc>
          <w:tcPr>
            <w:tcW w:w="640" w:type="dxa"/>
            <w:vAlign w:val="bottom"/>
          </w:tcPr>
          <w:p>
            <w:pPr>
              <w:spacing w:after="0"/>
              <w:rPr>
                <w:sz w:val="19"/>
                <w:szCs w:val="19"/>
                <w:color w:val="auto"/>
              </w:rPr>
            </w:pPr>
          </w:p>
        </w:tc>
        <w:tc>
          <w:tcPr>
            <w:tcW w:w="2320" w:type="dxa"/>
            <w:vAlign w:val="bottom"/>
          </w:tcPr>
          <w:p>
            <w:pPr>
              <w:jc w:val="center"/>
              <w:ind w:left="1558"/>
              <w:spacing w:after="0"/>
              <w:rPr>
                <w:sz w:val="20"/>
                <w:szCs w:val="20"/>
                <w:color w:val="auto"/>
              </w:rPr>
            </w:pPr>
            <w:r>
              <w:rPr>
                <w:rFonts w:ascii="Arial" w:cs="Arial" w:eastAsia="Arial" w:hAnsi="Arial"/>
                <w:sz w:val="18"/>
                <w:szCs w:val="18"/>
                <w:color w:val="auto"/>
                <w:w w:val="99"/>
              </w:rPr>
              <w:t>X</w:t>
            </w:r>
          </w:p>
        </w:tc>
      </w:tr>
      <w:tr>
        <w:trPr>
          <w:trHeight w:val="229"/>
        </w:trPr>
        <w:tc>
          <w:tcPr>
            <w:tcW w:w="7400" w:type="dxa"/>
            <w:vAlign w:val="bottom"/>
            <w:gridSpan w:val="16"/>
          </w:tcPr>
          <w:p>
            <w:pPr>
              <w:ind w:left="40"/>
              <w:spacing w:after="0"/>
              <w:rPr>
                <w:sz w:val="20"/>
                <w:szCs w:val="20"/>
                <w:color w:val="auto"/>
              </w:rPr>
            </w:pPr>
            <w:r>
              <w:rPr>
                <w:rFonts w:ascii="Arial" w:cs="Arial" w:eastAsia="Arial" w:hAnsi="Arial"/>
                <w:sz w:val="18"/>
                <w:szCs w:val="18"/>
                <w:color w:val="auto"/>
              </w:rPr>
              <w:t>101.PRE XBRL Taxonomy Extension Presentation Linkbase Document.</w:t>
            </w:r>
          </w:p>
        </w:tc>
        <w:tc>
          <w:tcPr>
            <w:tcW w:w="640" w:type="dxa"/>
            <w:vAlign w:val="bottom"/>
          </w:tcPr>
          <w:p>
            <w:pPr>
              <w:spacing w:after="0"/>
              <w:rPr>
                <w:sz w:val="19"/>
                <w:szCs w:val="19"/>
                <w:color w:val="auto"/>
              </w:rPr>
            </w:pPr>
          </w:p>
        </w:tc>
        <w:tc>
          <w:tcPr>
            <w:tcW w:w="2320" w:type="dxa"/>
            <w:vAlign w:val="bottom"/>
          </w:tcPr>
          <w:p>
            <w:pPr>
              <w:jc w:val="center"/>
              <w:ind w:left="1558"/>
              <w:spacing w:after="0"/>
              <w:rPr>
                <w:sz w:val="20"/>
                <w:szCs w:val="20"/>
                <w:color w:val="auto"/>
              </w:rPr>
            </w:pPr>
            <w:r>
              <w:rPr>
                <w:rFonts w:ascii="Arial" w:cs="Arial" w:eastAsia="Arial" w:hAnsi="Arial"/>
                <w:sz w:val="18"/>
                <w:szCs w:val="18"/>
                <w:color w:val="auto"/>
                <w:w w:val="99"/>
              </w:rPr>
              <w:t>X</w:t>
            </w:r>
          </w:p>
        </w:tc>
      </w:tr>
      <w:tr>
        <w:trPr>
          <w:trHeight w:val="181"/>
        </w:trPr>
        <w:tc>
          <w:tcPr>
            <w:tcW w:w="540" w:type="dxa"/>
            <w:vAlign w:val="bottom"/>
            <w:gridSpan w:val="3"/>
          </w:tcPr>
          <w:p>
            <w:pPr>
              <w:jc w:val="center"/>
              <w:ind w:left="152"/>
              <w:spacing w:after="0" w:line="181" w:lineRule="exact"/>
              <w:rPr>
                <w:sz w:val="20"/>
                <w:szCs w:val="20"/>
                <w:color w:val="auto"/>
              </w:rPr>
            </w:pPr>
            <w:r>
              <w:rPr>
                <w:rFonts w:ascii="Arial" w:cs="Arial" w:eastAsia="Arial" w:hAnsi="Arial"/>
                <w:sz w:val="18"/>
                <w:szCs w:val="18"/>
                <w:color w:val="auto"/>
                <w:w w:val="99"/>
              </w:rPr>
              <w:t>104</w:t>
            </w:r>
          </w:p>
        </w:tc>
        <w:tc>
          <w:tcPr>
            <w:tcW w:w="280" w:type="dxa"/>
            <w:vAlign w:val="bottom"/>
          </w:tcPr>
          <w:p>
            <w:pPr>
              <w:spacing w:after="0"/>
              <w:rPr>
                <w:sz w:val="15"/>
                <w:szCs w:val="15"/>
                <w:color w:val="auto"/>
              </w:rPr>
            </w:pPr>
          </w:p>
        </w:tc>
        <w:tc>
          <w:tcPr>
            <w:tcW w:w="6580" w:type="dxa"/>
            <w:vAlign w:val="bottom"/>
            <w:gridSpan w:val="12"/>
          </w:tcPr>
          <w:p>
            <w:pPr>
              <w:spacing w:after="0" w:line="181" w:lineRule="exact"/>
              <w:rPr>
                <w:sz w:val="20"/>
                <w:szCs w:val="20"/>
                <w:color w:val="auto"/>
              </w:rPr>
            </w:pPr>
            <w:r>
              <w:rPr>
                <w:rFonts w:ascii="Arial" w:cs="Arial" w:eastAsia="Arial" w:hAnsi="Arial"/>
                <w:sz w:val="18"/>
                <w:szCs w:val="18"/>
                <w:color w:val="auto"/>
              </w:rPr>
              <w:t>Cover Page Interactive Data File (formatted as inline XBRL and contained in</w:t>
            </w:r>
          </w:p>
        </w:tc>
        <w:tc>
          <w:tcPr>
            <w:tcW w:w="640" w:type="dxa"/>
            <w:vAlign w:val="bottom"/>
          </w:tcPr>
          <w:p>
            <w:pPr>
              <w:spacing w:after="0"/>
              <w:rPr>
                <w:sz w:val="15"/>
                <w:szCs w:val="15"/>
                <w:color w:val="auto"/>
              </w:rPr>
            </w:pPr>
          </w:p>
        </w:tc>
        <w:tc>
          <w:tcPr>
            <w:tcW w:w="2320" w:type="dxa"/>
            <w:vAlign w:val="bottom"/>
          </w:tcPr>
          <w:p>
            <w:pPr>
              <w:jc w:val="center"/>
              <w:ind w:left="1558"/>
              <w:spacing w:after="0" w:line="181" w:lineRule="exact"/>
              <w:rPr>
                <w:sz w:val="20"/>
                <w:szCs w:val="20"/>
                <w:color w:val="auto"/>
              </w:rPr>
            </w:pPr>
            <w:r>
              <w:rPr>
                <w:rFonts w:ascii="Arial" w:cs="Arial" w:eastAsia="Arial" w:hAnsi="Arial"/>
                <w:sz w:val="18"/>
                <w:szCs w:val="18"/>
                <w:color w:val="auto"/>
                <w:w w:val="99"/>
              </w:rPr>
              <w:t>X</w:t>
            </w:r>
          </w:p>
        </w:tc>
      </w:tr>
      <w:tr>
        <w:trPr>
          <w:trHeight w:val="239"/>
        </w:trPr>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580" w:type="dxa"/>
            <w:vAlign w:val="bottom"/>
            <w:gridSpan w:val="12"/>
          </w:tcPr>
          <w:p>
            <w:pPr>
              <w:spacing w:after="0"/>
              <w:rPr>
                <w:sz w:val="20"/>
                <w:szCs w:val="20"/>
                <w:color w:val="auto"/>
              </w:rPr>
            </w:pPr>
            <w:r>
              <w:rPr>
                <w:rFonts w:ascii="Arial" w:cs="Arial" w:eastAsia="Arial" w:hAnsi="Arial"/>
                <w:sz w:val="18"/>
                <w:szCs w:val="18"/>
                <w:color w:val="auto"/>
              </w:rPr>
              <w:t>Exhibits 101).</w:t>
            </w:r>
          </w:p>
        </w:tc>
        <w:tc>
          <w:tcPr>
            <w:tcW w:w="640" w:type="dxa"/>
            <w:vAlign w:val="bottom"/>
          </w:tcPr>
          <w:p>
            <w:pPr>
              <w:spacing w:after="0"/>
              <w:rPr>
                <w:sz w:val="20"/>
                <w:szCs w:val="20"/>
                <w:color w:val="auto"/>
              </w:rPr>
            </w:pPr>
          </w:p>
        </w:tc>
        <w:tc>
          <w:tcPr>
            <w:tcW w:w="2320" w:type="dxa"/>
            <w:vAlign w:val="bottom"/>
          </w:tcPr>
          <w:p>
            <w:pPr>
              <w:spacing w:after="0"/>
              <w:rPr>
                <w:sz w:val="20"/>
                <w:szCs w:val="20"/>
                <w:color w:val="auto"/>
              </w:rPr>
            </w:pPr>
          </w:p>
        </w:tc>
      </w:tr>
    </w:tbl>
    <w:p>
      <w:pPr>
        <w:spacing w:after="0" w:line="346" w:lineRule="exact"/>
        <w:rPr>
          <w:sz w:val="20"/>
          <w:szCs w:val="20"/>
          <w:color w:val="auto"/>
        </w:rPr>
      </w:pPr>
    </w:p>
    <w:p>
      <w:pPr>
        <w:ind w:left="840" w:right="2160" w:hanging="462"/>
        <w:spacing w:after="0" w:line="232" w:lineRule="auto"/>
        <w:tabs>
          <w:tab w:leader="none" w:pos="840" w:val="left"/>
        </w:tabs>
        <w:numPr>
          <w:ilvl w:val="0"/>
          <w:numId w:val="34"/>
        </w:numPr>
        <w:rPr>
          <w:rFonts w:ascii="Arial" w:cs="Arial" w:eastAsia="Arial" w:hAnsi="Arial"/>
          <w:sz w:val="18"/>
          <w:szCs w:val="18"/>
          <w:color w:val="auto"/>
        </w:rPr>
      </w:pPr>
      <w:r>
        <w:rPr>
          <w:rFonts w:ascii="Arial" w:cs="Arial" w:eastAsia="Arial" w:hAnsi="Arial"/>
          <w:sz w:val="14"/>
          <w:szCs w:val="14"/>
          <w:color w:val="auto"/>
        </w:rPr>
        <w:t>The certifications attached as Exhibits 32.1 and 32.2 that accompany this Quarterly Report on Form 10-Q, are deemed furnished and not filed with the Securities and Exchange Commission and are not to be incorporated by reference into any filing of Arteris, Inc.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60"/>
          </w:cols>
          <w:pgMar w:left="320" w:top="136" w:right="1219" w:bottom="1440" w:gutter="0" w:footer="0" w:header="0"/>
        </w:sectPr>
      </w:pPr>
    </w:p>
    <w:bookmarkStart w:id="73" w:name="page74"/>
    <w:bookmarkEnd w:id="73"/>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5"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5, 2024</w:t>
      </w:r>
    </w:p>
    <w:p>
      <w:pPr>
        <w:spacing w:after="0" w:line="333" w:lineRule="exact"/>
        <w:rPr>
          <w:sz w:val="20"/>
          <w:szCs w:val="20"/>
          <w:color w:val="auto"/>
        </w:rPr>
      </w:pPr>
    </w:p>
    <w:tbl>
      <w:tblPr>
        <w:tblLayout w:type="fixed"/>
        <w:tblInd w:w="6100" w:type="dxa"/>
        <w:tblCellMar>
          <w:top w:w="0" w:type="dxa"/>
          <w:left w:w="0" w:type="dxa"/>
          <w:bottom w:w="0" w:type="dxa"/>
          <w:right w:w="0" w:type="dxa"/>
        </w:tblCellMar>
      </w:tblPr>
      <w:tr>
        <w:trPr>
          <w:trHeight w:val="247"/>
        </w:trPr>
        <w:tc>
          <w:tcPr>
            <w:tcW w:w="1200" w:type="dxa"/>
            <w:vAlign w:val="bottom"/>
          </w:tcPr>
          <w:p>
            <w:pPr>
              <w:spacing w:after="0"/>
              <w:rPr>
                <w:sz w:val="20"/>
                <w:szCs w:val="20"/>
                <w:color w:val="auto"/>
              </w:rPr>
            </w:pPr>
            <w:r>
              <w:rPr>
                <w:rFonts w:ascii="Arial" w:cs="Arial" w:eastAsia="Arial" w:hAnsi="Arial"/>
                <w:sz w:val="18"/>
                <w:szCs w:val="18"/>
                <w:b w:val="1"/>
                <w:bCs w:val="1"/>
                <w:color w:val="auto"/>
              </w:rPr>
              <w:t>Arteris, Inc.</w:t>
            </w:r>
          </w:p>
        </w:tc>
        <w:tc>
          <w:tcPr>
            <w:tcW w:w="3940" w:type="dxa"/>
            <w:vAlign w:val="bottom"/>
          </w:tcPr>
          <w:p>
            <w:pPr>
              <w:spacing w:after="0"/>
              <w:rPr>
                <w:sz w:val="21"/>
                <w:szCs w:val="21"/>
                <w:color w:val="auto"/>
              </w:rPr>
            </w:pPr>
          </w:p>
        </w:tc>
      </w:tr>
      <w:tr>
        <w:trPr>
          <w:trHeight w:val="528"/>
        </w:trPr>
        <w:tc>
          <w:tcPr>
            <w:tcW w:w="1200" w:type="dxa"/>
            <w:vAlign w:val="bottom"/>
          </w:tcPr>
          <w:p>
            <w:pPr>
              <w:spacing w:after="0"/>
              <w:rPr>
                <w:sz w:val="20"/>
                <w:szCs w:val="20"/>
                <w:color w:val="auto"/>
              </w:rPr>
            </w:pPr>
            <w:r>
              <w:rPr>
                <w:rFonts w:ascii="Arial" w:cs="Arial" w:eastAsia="Arial" w:hAnsi="Arial"/>
                <w:sz w:val="18"/>
                <w:szCs w:val="18"/>
                <w:color w:val="auto"/>
              </w:rPr>
              <w:t>By:</w:t>
            </w:r>
          </w:p>
        </w:tc>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K. Charles Janac</w:t>
            </w:r>
          </w:p>
        </w:tc>
      </w:tr>
      <w:tr>
        <w:trPr>
          <w:trHeight w:val="254"/>
        </w:trPr>
        <w:tc>
          <w:tcPr>
            <w:tcW w:w="1200" w:type="dxa"/>
            <w:vAlign w:val="bottom"/>
          </w:tcPr>
          <w:p>
            <w:pPr>
              <w:spacing w:after="0"/>
              <w:rPr>
                <w:sz w:val="20"/>
                <w:szCs w:val="20"/>
                <w:color w:val="auto"/>
              </w:rPr>
            </w:pPr>
            <w:r>
              <w:rPr>
                <w:rFonts w:ascii="Arial" w:cs="Arial" w:eastAsia="Arial" w:hAnsi="Arial"/>
                <w:sz w:val="18"/>
                <w:szCs w:val="18"/>
                <w:color w:val="auto"/>
              </w:rPr>
              <w:t>Name:</w:t>
            </w:r>
          </w:p>
        </w:tc>
        <w:tc>
          <w:tcPr>
            <w:tcW w:w="3940" w:type="dxa"/>
            <w:vAlign w:val="bottom"/>
          </w:tcPr>
          <w:p>
            <w:pPr>
              <w:ind w:left="20"/>
              <w:spacing w:after="0"/>
              <w:rPr>
                <w:sz w:val="20"/>
                <w:szCs w:val="20"/>
                <w:color w:val="auto"/>
              </w:rPr>
            </w:pPr>
            <w:r>
              <w:rPr>
                <w:rFonts w:ascii="Arial" w:cs="Arial" w:eastAsia="Arial" w:hAnsi="Arial"/>
                <w:sz w:val="18"/>
                <w:szCs w:val="18"/>
                <w:color w:val="auto"/>
              </w:rPr>
              <w:t>K. Charles Janac</w:t>
            </w:r>
          </w:p>
        </w:tc>
      </w:tr>
      <w:tr>
        <w:trPr>
          <w:trHeight w:val="270"/>
        </w:trPr>
        <w:tc>
          <w:tcPr>
            <w:tcW w:w="1200" w:type="dxa"/>
            <w:vAlign w:val="bottom"/>
          </w:tcPr>
          <w:p>
            <w:pPr>
              <w:spacing w:after="0"/>
              <w:rPr>
                <w:sz w:val="20"/>
                <w:szCs w:val="20"/>
                <w:color w:val="auto"/>
              </w:rPr>
            </w:pPr>
            <w:r>
              <w:rPr>
                <w:rFonts w:ascii="Arial" w:cs="Arial" w:eastAsia="Arial" w:hAnsi="Arial"/>
                <w:sz w:val="18"/>
                <w:szCs w:val="18"/>
                <w:color w:val="auto"/>
              </w:rPr>
              <w:t>Title:</w:t>
            </w:r>
          </w:p>
        </w:tc>
        <w:tc>
          <w:tcPr>
            <w:tcW w:w="394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270"/>
        </w:trPr>
        <w:tc>
          <w:tcPr>
            <w:tcW w:w="1200" w:type="dxa"/>
            <w:vAlign w:val="bottom"/>
          </w:tcPr>
          <w:p>
            <w:pPr>
              <w:spacing w:after="0"/>
              <w:rPr>
                <w:sz w:val="23"/>
                <w:szCs w:val="23"/>
                <w:color w:val="auto"/>
              </w:rPr>
            </w:pPr>
          </w:p>
        </w:tc>
        <w:tc>
          <w:tcPr>
            <w:tcW w:w="3940" w:type="dxa"/>
            <w:vAlign w:val="bottom"/>
          </w:tcPr>
          <w:p>
            <w:pPr>
              <w:ind w:left="20"/>
              <w:spacing w:after="0"/>
              <w:rPr>
                <w:sz w:val="20"/>
                <w:szCs w:val="20"/>
                <w:color w:val="auto"/>
              </w:rPr>
            </w:pPr>
            <w:r>
              <w:rPr>
                <w:rFonts w:ascii="Arial" w:cs="Arial" w:eastAsia="Arial" w:hAnsi="Arial"/>
                <w:sz w:val="18"/>
                <w:szCs w:val="18"/>
                <w:i w:val="1"/>
                <w:iCs w:val="1"/>
                <w:color w:val="auto"/>
              </w:rPr>
              <w:t>(Principal Executive Officer)</w:t>
            </w:r>
          </w:p>
        </w:tc>
      </w:tr>
      <w:tr>
        <w:trPr>
          <w:trHeight w:val="536"/>
        </w:trPr>
        <w:tc>
          <w:tcPr>
            <w:tcW w:w="1200" w:type="dxa"/>
            <w:vAlign w:val="bottom"/>
          </w:tcPr>
          <w:p>
            <w:pPr>
              <w:spacing w:after="0"/>
              <w:rPr>
                <w:sz w:val="20"/>
                <w:szCs w:val="20"/>
                <w:color w:val="auto"/>
              </w:rPr>
            </w:pPr>
            <w:r>
              <w:rPr>
                <w:rFonts w:ascii="Arial" w:cs="Arial" w:eastAsia="Arial" w:hAnsi="Arial"/>
                <w:sz w:val="18"/>
                <w:szCs w:val="18"/>
                <w:color w:val="auto"/>
              </w:rPr>
              <w:t>By:</w:t>
            </w:r>
          </w:p>
        </w:tc>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Nicholas B. Hawkins</w:t>
            </w:r>
          </w:p>
        </w:tc>
      </w:tr>
      <w:tr>
        <w:trPr>
          <w:trHeight w:val="254"/>
        </w:trPr>
        <w:tc>
          <w:tcPr>
            <w:tcW w:w="1200" w:type="dxa"/>
            <w:vAlign w:val="bottom"/>
          </w:tcPr>
          <w:p>
            <w:pPr>
              <w:spacing w:after="0"/>
              <w:rPr>
                <w:sz w:val="20"/>
                <w:szCs w:val="20"/>
                <w:color w:val="auto"/>
              </w:rPr>
            </w:pPr>
            <w:r>
              <w:rPr>
                <w:rFonts w:ascii="Arial" w:cs="Arial" w:eastAsia="Arial" w:hAnsi="Arial"/>
                <w:sz w:val="18"/>
                <w:szCs w:val="18"/>
                <w:color w:val="auto"/>
              </w:rPr>
              <w:t>Name:</w:t>
            </w:r>
          </w:p>
        </w:tc>
        <w:tc>
          <w:tcPr>
            <w:tcW w:w="3940" w:type="dxa"/>
            <w:vAlign w:val="bottom"/>
          </w:tcPr>
          <w:p>
            <w:pPr>
              <w:ind w:left="20"/>
              <w:spacing w:after="0"/>
              <w:rPr>
                <w:sz w:val="20"/>
                <w:szCs w:val="20"/>
                <w:color w:val="auto"/>
              </w:rPr>
            </w:pPr>
            <w:r>
              <w:rPr>
                <w:rFonts w:ascii="Arial" w:cs="Arial" w:eastAsia="Arial" w:hAnsi="Arial"/>
                <w:sz w:val="18"/>
                <w:szCs w:val="18"/>
                <w:color w:val="auto"/>
              </w:rPr>
              <w:t>Nicholas B. Hawkins</w:t>
            </w:r>
          </w:p>
        </w:tc>
      </w:tr>
      <w:tr>
        <w:trPr>
          <w:trHeight w:val="270"/>
        </w:trPr>
        <w:tc>
          <w:tcPr>
            <w:tcW w:w="1200" w:type="dxa"/>
            <w:vAlign w:val="bottom"/>
          </w:tcPr>
          <w:p>
            <w:pPr>
              <w:spacing w:after="0"/>
              <w:rPr>
                <w:sz w:val="20"/>
                <w:szCs w:val="20"/>
                <w:color w:val="auto"/>
              </w:rPr>
            </w:pPr>
            <w:r>
              <w:rPr>
                <w:rFonts w:ascii="Arial" w:cs="Arial" w:eastAsia="Arial" w:hAnsi="Arial"/>
                <w:sz w:val="18"/>
                <w:szCs w:val="18"/>
                <w:color w:val="auto"/>
              </w:rPr>
              <w:t>Title:</w:t>
            </w:r>
          </w:p>
        </w:tc>
        <w:tc>
          <w:tcPr>
            <w:tcW w:w="3940" w:type="dxa"/>
            <w:vAlign w:val="bottom"/>
          </w:tcPr>
          <w:p>
            <w:pPr>
              <w:ind w:left="20"/>
              <w:spacing w:after="0"/>
              <w:rPr>
                <w:sz w:val="20"/>
                <w:szCs w:val="20"/>
                <w:color w:val="auto"/>
              </w:rPr>
            </w:pPr>
            <w:r>
              <w:rPr>
                <w:rFonts w:ascii="Arial" w:cs="Arial" w:eastAsia="Arial" w:hAnsi="Arial"/>
                <w:sz w:val="18"/>
                <w:szCs w:val="18"/>
                <w:color w:val="auto"/>
              </w:rPr>
              <w:t>Vice President and Chief Financial Officer</w:t>
            </w:r>
          </w:p>
        </w:tc>
      </w:tr>
      <w:tr>
        <w:trPr>
          <w:trHeight w:val="270"/>
        </w:trPr>
        <w:tc>
          <w:tcPr>
            <w:tcW w:w="1200" w:type="dxa"/>
            <w:vAlign w:val="bottom"/>
          </w:tcPr>
          <w:p>
            <w:pPr>
              <w:spacing w:after="0"/>
              <w:rPr>
                <w:sz w:val="23"/>
                <w:szCs w:val="23"/>
                <w:color w:val="auto"/>
              </w:rPr>
            </w:pPr>
          </w:p>
        </w:tc>
        <w:tc>
          <w:tcPr>
            <w:tcW w:w="3940" w:type="dxa"/>
            <w:vAlign w:val="bottom"/>
          </w:tcPr>
          <w:p>
            <w:pPr>
              <w:ind w:left="20"/>
              <w:spacing w:after="0"/>
              <w:rPr>
                <w:sz w:val="20"/>
                <w:szCs w:val="20"/>
                <w:color w:val="auto"/>
              </w:rPr>
            </w:pPr>
            <w:r>
              <w:rPr>
                <w:rFonts w:ascii="Arial" w:cs="Arial" w:eastAsia="Arial" w:hAnsi="Arial"/>
                <w:sz w:val="18"/>
                <w:szCs w:val="18"/>
                <w:i w:val="1"/>
                <w:iCs w:val="1"/>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40"/>
          </w:cols>
          <w:pgMar w:left="320" w:top="136" w:right="339" w:bottom="1440" w:gutter="0" w:footer="0" w:header="0"/>
        </w:sectPr>
      </w:pPr>
    </w:p>
    <w:bookmarkStart w:id="74" w:name="page75"/>
    <w:bookmarkEnd w:id="74"/>
    <w:p>
      <w:pPr>
        <w:jc w:val="right"/>
        <w:spacing w:after="0"/>
        <w:rPr>
          <w:sz w:val="20"/>
          <w:szCs w:val="20"/>
          <w:color w:val="auto"/>
        </w:rPr>
      </w:pPr>
      <w:r>
        <w:rPr>
          <w:rFonts w:ascii="Arial" w:cs="Arial" w:eastAsia="Arial" w:hAnsi="Arial"/>
          <w:sz w:val="16"/>
          <w:szCs w:val="16"/>
          <w:b w:val="1"/>
          <w:bCs w:val="1"/>
          <w:color w:val="auto"/>
        </w:rPr>
        <w:t>Exhibit 31.1</w:t>
      </w:r>
    </w:p>
    <w:p>
      <w:pPr>
        <w:spacing w:after="0" w:line="329" w:lineRule="exact"/>
        <w:rPr>
          <w:sz w:val="20"/>
          <w:szCs w:val="20"/>
          <w:color w:val="auto"/>
        </w:rPr>
      </w:pPr>
    </w:p>
    <w:p>
      <w:pPr>
        <w:ind w:left="2960"/>
        <w:spacing w:after="0"/>
        <w:rPr>
          <w:sz w:val="20"/>
          <w:szCs w:val="20"/>
          <w:color w:val="auto"/>
        </w:rPr>
      </w:pPr>
      <w:r>
        <w:rPr>
          <w:rFonts w:ascii="Arial" w:cs="Arial" w:eastAsia="Arial" w:hAnsi="Arial"/>
          <w:sz w:val="16"/>
          <w:szCs w:val="16"/>
          <w:b w:val="1"/>
          <w:bCs w:val="1"/>
          <w:color w:val="auto"/>
        </w:rPr>
        <w:t>CERTIFICATION OF PRINCIPAL EXECUTIVE OFFICER PURSUANT TO</w:t>
      </w:r>
    </w:p>
    <w:p>
      <w:pPr>
        <w:spacing w:after="0" w:line="13" w:lineRule="exact"/>
        <w:rPr>
          <w:sz w:val="20"/>
          <w:szCs w:val="20"/>
          <w:color w:val="auto"/>
        </w:rPr>
      </w:pPr>
    </w:p>
    <w:p>
      <w:pPr>
        <w:ind w:left="2360"/>
        <w:spacing w:after="0"/>
        <w:rPr>
          <w:sz w:val="20"/>
          <w:szCs w:val="20"/>
          <w:color w:val="auto"/>
        </w:rPr>
      </w:pPr>
      <w:r>
        <w:rPr>
          <w:rFonts w:ascii="Arial" w:cs="Arial" w:eastAsia="Arial" w:hAnsi="Arial"/>
          <w:sz w:val="16"/>
          <w:szCs w:val="16"/>
          <w:b w:val="1"/>
          <w:bCs w:val="1"/>
          <w:color w:val="auto"/>
        </w:rPr>
        <w:t>RULES 13a-14(a) AND 15d-14(a) UNDER THE SECURITIES EXCHANGE ACT OF 1934,</w:t>
      </w:r>
    </w:p>
    <w:p>
      <w:pPr>
        <w:jc w:val="center"/>
        <w:spacing w:after="0"/>
        <w:rPr>
          <w:sz w:val="20"/>
          <w:szCs w:val="20"/>
          <w:color w:val="auto"/>
        </w:rPr>
      </w:pPr>
      <w:r>
        <w:rPr>
          <w:rFonts w:ascii="Arial" w:cs="Arial" w:eastAsia="Arial" w:hAnsi="Arial"/>
          <w:sz w:val="16"/>
          <w:szCs w:val="16"/>
          <w:b w:val="1"/>
          <w:bCs w:val="1"/>
          <w:color w:val="auto"/>
        </w:rPr>
        <w:t>AS ADOPTED PURSUANT TO SECTION 302 OF THE SARBANES-OXLEY ACT OF 2002</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I, K. Charles Janac, certify that:</w:t>
      </w:r>
    </w:p>
    <w:p>
      <w:pPr>
        <w:spacing w:after="0" w:line="248" w:lineRule="exact"/>
        <w:rPr>
          <w:sz w:val="20"/>
          <w:szCs w:val="20"/>
          <w:color w:val="auto"/>
        </w:rPr>
      </w:pPr>
    </w:p>
    <w:p>
      <w:pPr>
        <w:ind w:left="180" w:hanging="172"/>
        <w:spacing w:after="0"/>
        <w:tabs>
          <w:tab w:leader="none" w:pos="1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Arteris, Inc;</w:t>
      </w:r>
    </w:p>
    <w:p>
      <w:pPr>
        <w:spacing w:after="0" w:line="248" w:lineRule="exact"/>
        <w:rPr>
          <w:rFonts w:ascii="Arial" w:cs="Arial" w:eastAsia="Arial" w:hAnsi="Arial"/>
          <w:sz w:val="16"/>
          <w:szCs w:val="16"/>
          <w:color w:val="auto"/>
        </w:rPr>
      </w:pPr>
    </w:p>
    <w:p>
      <w:pPr>
        <w:ind w:right="20" w:firstLine="8"/>
        <w:spacing w:after="0" w:line="286" w:lineRule="auto"/>
        <w:tabs>
          <w:tab w:leader="none" w:pos="201" w:val="left"/>
        </w:tabs>
        <w:numPr>
          <w:ilvl w:val="0"/>
          <w:numId w:val="3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9" w:lineRule="exact"/>
        <w:rPr>
          <w:rFonts w:ascii="Arial" w:cs="Arial" w:eastAsia="Arial" w:hAnsi="Arial"/>
          <w:sz w:val="16"/>
          <w:szCs w:val="16"/>
          <w:color w:val="auto"/>
        </w:rPr>
      </w:pPr>
    </w:p>
    <w:p>
      <w:pPr>
        <w:ind w:right="20" w:firstLine="8"/>
        <w:spacing w:after="0" w:line="286" w:lineRule="auto"/>
        <w:tabs>
          <w:tab w:leader="none" w:pos="182" w:val="left"/>
        </w:tabs>
        <w:numPr>
          <w:ilvl w:val="0"/>
          <w:numId w:val="3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6" w:lineRule="exact"/>
        <w:rPr>
          <w:rFonts w:ascii="Arial" w:cs="Arial" w:eastAsia="Arial" w:hAnsi="Arial"/>
          <w:sz w:val="16"/>
          <w:szCs w:val="16"/>
          <w:color w:val="auto"/>
        </w:rPr>
      </w:pPr>
    </w:p>
    <w:p>
      <w:pPr>
        <w:jc w:val="both"/>
        <w:ind w:firstLine="8"/>
        <w:spacing w:after="0" w:line="284" w:lineRule="auto"/>
        <w:tabs>
          <w:tab w:leader="none" w:pos="186"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6" w:lineRule="exact"/>
        <w:rPr>
          <w:rFonts w:ascii="Arial" w:cs="Arial" w:eastAsia="Arial" w:hAnsi="Arial"/>
          <w:sz w:val="16"/>
          <w:szCs w:val="16"/>
          <w:color w:val="auto"/>
        </w:rPr>
      </w:pPr>
    </w:p>
    <w:p>
      <w:pPr>
        <w:jc w:val="both"/>
        <w:ind w:left="1040" w:firstLine="5"/>
        <w:spacing w:after="0" w:line="266" w:lineRule="auto"/>
        <w:tabs>
          <w:tab w:leader="none" w:pos="1323" w:val="left"/>
        </w:tabs>
        <w:numPr>
          <w:ilvl w:val="1"/>
          <w:numId w:val="3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7" w:lineRule="exact"/>
        <w:rPr>
          <w:rFonts w:ascii="Arial" w:cs="Arial" w:eastAsia="Arial" w:hAnsi="Arial"/>
          <w:sz w:val="16"/>
          <w:szCs w:val="16"/>
          <w:color w:val="auto"/>
        </w:rPr>
      </w:pPr>
    </w:p>
    <w:p>
      <w:pPr>
        <w:jc w:val="both"/>
        <w:ind w:left="1040" w:firstLine="5"/>
        <w:spacing w:after="0" w:line="266" w:lineRule="auto"/>
        <w:tabs>
          <w:tab w:leader="none" w:pos="1296" w:val="left"/>
        </w:tabs>
        <w:numPr>
          <w:ilvl w:val="1"/>
          <w:numId w:val="35"/>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1" w:lineRule="exact"/>
        <w:rPr>
          <w:rFonts w:ascii="Arial" w:cs="Arial" w:eastAsia="Arial" w:hAnsi="Arial"/>
          <w:sz w:val="16"/>
          <w:szCs w:val="16"/>
          <w:color w:val="auto"/>
        </w:rPr>
      </w:pPr>
    </w:p>
    <w:p>
      <w:pPr>
        <w:ind w:left="1040" w:firstLine="5"/>
        <w:spacing w:after="0" w:line="286" w:lineRule="auto"/>
        <w:tabs>
          <w:tab w:leader="none" w:pos="1286" w:val="left"/>
        </w:tabs>
        <w:numPr>
          <w:ilvl w:val="1"/>
          <w:numId w:val="3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2" w:lineRule="exact"/>
        <w:rPr>
          <w:rFonts w:ascii="Arial" w:cs="Arial" w:eastAsia="Arial" w:hAnsi="Arial"/>
          <w:sz w:val="16"/>
          <w:szCs w:val="16"/>
          <w:color w:val="auto"/>
        </w:rPr>
      </w:pPr>
    </w:p>
    <w:p>
      <w:pPr>
        <w:jc w:val="both"/>
        <w:ind w:left="1040" w:firstLine="5"/>
        <w:spacing w:after="0" w:line="266" w:lineRule="auto"/>
        <w:tabs>
          <w:tab w:leader="none" w:pos="1302" w:val="left"/>
        </w:tabs>
        <w:numPr>
          <w:ilvl w:val="1"/>
          <w:numId w:val="3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8" w:lineRule="exact"/>
        <w:rPr>
          <w:rFonts w:ascii="Arial" w:cs="Arial" w:eastAsia="Arial" w:hAnsi="Arial"/>
          <w:sz w:val="16"/>
          <w:szCs w:val="16"/>
          <w:color w:val="auto"/>
        </w:rPr>
      </w:pPr>
    </w:p>
    <w:p>
      <w:pPr>
        <w:ind w:firstLine="8"/>
        <w:spacing w:after="0" w:line="286" w:lineRule="auto"/>
        <w:tabs>
          <w:tab w:leader="none" w:pos="208"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2" w:lineRule="exact"/>
        <w:rPr>
          <w:rFonts w:ascii="Arial" w:cs="Arial" w:eastAsia="Arial" w:hAnsi="Arial"/>
          <w:sz w:val="16"/>
          <w:szCs w:val="16"/>
          <w:color w:val="auto"/>
        </w:rPr>
      </w:pPr>
    </w:p>
    <w:p>
      <w:pPr>
        <w:ind w:left="1040" w:right="20" w:firstLine="5"/>
        <w:spacing w:after="0" w:line="286" w:lineRule="auto"/>
        <w:tabs>
          <w:tab w:leader="none" w:pos="1317" w:val="left"/>
        </w:tabs>
        <w:numPr>
          <w:ilvl w:val="1"/>
          <w:numId w:val="3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5" w:lineRule="exact"/>
        <w:rPr>
          <w:rFonts w:ascii="Arial" w:cs="Arial" w:eastAsia="Arial" w:hAnsi="Arial"/>
          <w:sz w:val="16"/>
          <w:szCs w:val="16"/>
          <w:color w:val="auto"/>
        </w:rPr>
      </w:pPr>
    </w:p>
    <w:p>
      <w:pPr>
        <w:ind w:left="1040" w:right="20" w:firstLine="5"/>
        <w:spacing w:after="0" w:line="286" w:lineRule="auto"/>
        <w:tabs>
          <w:tab w:leader="none" w:pos="1296" w:val="left"/>
        </w:tabs>
        <w:numPr>
          <w:ilvl w:val="1"/>
          <w:numId w:val="35"/>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96"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3400" w:type="dxa"/>
            <w:vAlign w:val="bottom"/>
          </w:tcPr>
          <w:p>
            <w:pPr>
              <w:spacing w:after="0"/>
              <w:rPr>
                <w:sz w:val="20"/>
                <w:szCs w:val="20"/>
                <w:color w:val="auto"/>
              </w:rPr>
            </w:pPr>
            <w:r>
              <w:rPr>
                <w:rFonts w:ascii="Arial" w:cs="Arial" w:eastAsia="Arial" w:hAnsi="Arial"/>
                <w:sz w:val="16"/>
                <w:szCs w:val="16"/>
                <w:color w:val="auto"/>
              </w:rPr>
              <w:t>Date: November 5, 2024</w:t>
            </w:r>
          </w:p>
        </w:tc>
        <w:tc>
          <w:tcPr>
            <w:tcW w:w="2700" w:type="dxa"/>
            <w:vAlign w:val="bottom"/>
          </w:tcPr>
          <w:p>
            <w:pPr>
              <w:ind w:left="1620"/>
              <w:spacing w:after="0"/>
              <w:rPr>
                <w:sz w:val="20"/>
                <w:szCs w:val="20"/>
                <w:color w:val="auto"/>
              </w:rPr>
            </w:pPr>
            <w:r>
              <w:rPr>
                <w:rFonts w:ascii="Arial" w:cs="Arial" w:eastAsia="Arial" w:hAnsi="Arial"/>
                <w:sz w:val="16"/>
                <w:szCs w:val="16"/>
                <w:color w:val="auto"/>
              </w:rPr>
              <w:t>By:</w:t>
            </w:r>
          </w:p>
        </w:tc>
        <w:tc>
          <w:tcPr>
            <w:tcW w:w="4760" w:type="dxa"/>
            <w:vAlign w:val="bottom"/>
          </w:tcPr>
          <w:p>
            <w:pPr>
              <w:jc w:val="center"/>
              <w:spacing w:after="0"/>
              <w:rPr>
                <w:sz w:val="20"/>
                <w:szCs w:val="20"/>
                <w:color w:val="auto"/>
              </w:rPr>
            </w:pPr>
            <w:r>
              <w:rPr>
                <w:rFonts w:ascii="Arial" w:cs="Arial" w:eastAsia="Arial" w:hAnsi="Arial"/>
                <w:sz w:val="16"/>
                <w:szCs w:val="16"/>
                <w:color w:val="auto"/>
              </w:rPr>
              <w:t>/s/ K. Charles Janac</w:t>
            </w:r>
          </w:p>
        </w:tc>
        <w:tc>
          <w:tcPr>
            <w:tcW w:w="0" w:type="dxa"/>
            <w:vAlign w:val="bottom"/>
          </w:tcPr>
          <w:p>
            <w:pPr>
              <w:spacing w:after="0"/>
              <w:rPr>
                <w:sz w:val="1"/>
                <w:szCs w:val="1"/>
                <w:color w:val="auto"/>
              </w:rPr>
            </w:pPr>
          </w:p>
        </w:tc>
      </w:tr>
      <w:tr>
        <w:trPr>
          <w:trHeight w:val="29"/>
        </w:trPr>
        <w:tc>
          <w:tcPr>
            <w:tcW w:w="3400" w:type="dxa"/>
            <w:vAlign w:val="bottom"/>
          </w:tcPr>
          <w:p>
            <w:pPr>
              <w:spacing w:after="0"/>
              <w:rPr>
                <w:sz w:val="2"/>
                <w:szCs w:val="2"/>
                <w:color w:val="auto"/>
              </w:rPr>
            </w:pPr>
          </w:p>
        </w:tc>
        <w:tc>
          <w:tcPr>
            <w:tcW w:w="2700" w:type="dxa"/>
            <w:vAlign w:val="bottom"/>
            <w:vMerge w:val="restart"/>
          </w:tcPr>
          <w:p>
            <w:pPr>
              <w:ind w:left="1620"/>
              <w:spacing w:after="0"/>
              <w:rPr>
                <w:sz w:val="20"/>
                <w:szCs w:val="20"/>
                <w:color w:val="auto"/>
              </w:rPr>
            </w:pPr>
            <w:r>
              <w:rPr>
                <w:rFonts w:ascii="Arial" w:cs="Arial" w:eastAsia="Arial" w:hAnsi="Arial"/>
                <w:sz w:val="16"/>
                <w:szCs w:val="16"/>
                <w:color w:val="auto"/>
              </w:rPr>
              <w:t>Name:</w:t>
            </w:r>
          </w:p>
        </w:tc>
        <w:tc>
          <w:tcPr>
            <w:tcW w:w="4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3400" w:type="dxa"/>
            <w:vAlign w:val="bottom"/>
          </w:tcPr>
          <w:p>
            <w:pPr>
              <w:spacing w:after="0"/>
              <w:rPr>
                <w:sz w:val="19"/>
                <w:szCs w:val="19"/>
                <w:color w:val="auto"/>
              </w:rPr>
            </w:pPr>
          </w:p>
        </w:tc>
        <w:tc>
          <w:tcPr>
            <w:tcW w:w="2700" w:type="dxa"/>
            <w:vAlign w:val="bottom"/>
            <w:vMerge w:val="continue"/>
          </w:tcPr>
          <w:p>
            <w:pPr>
              <w:spacing w:after="0"/>
              <w:rPr>
                <w:sz w:val="19"/>
                <w:szCs w:val="19"/>
                <w:color w:val="auto"/>
              </w:rPr>
            </w:pPr>
          </w:p>
        </w:tc>
        <w:tc>
          <w:tcPr>
            <w:tcW w:w="4760" w:type="dxa"/>
            <w:vAlign w:val="bottom"/>
          </w:tcPr>
          <w:p>
            <w:pPr>
              <w:jc w:val="center"/>
              <w:spacing w:after="0"/>
              <w:rPr>
                <w:sz w:val="20"/>
                <w:szCs w:val="20"/>
                <w:color w:val="auto"/>
              </w:rPr>
            </w:pPr>
            <w:r>
              <w:rPr>
                <w:rFonts w:ascii="Arial" w:cs="Arial" w:eastAsia="Arial" w:hAnsi="Arial"/>
                <w:sz w:val="16"/>
                <w:szCs w:val="16"/>
                <w:color w:val="auto"/>
              </w:rPr>
              <w:t>K. Charles Janac</w:t>
            </w:r>
          </w:p>
        </w:tc>
        <w:tc>
          <w:tcPr>
            <w:tcW w:w="0" w:type="dxa"/>
            <w:vAlign w:val="bottom"/>
          </w:tcPr>
          <w:p>
            <w:pPr>
              <w:spacing w:after="0"/>
              <w:rPr>
                <w:sz w:val="1"/>
                <w:szCs w:val="1"/>
                <w:color w:val="auto"/>
              </w:rPr>
            </w:pPr>
          </w:p>
        </w:tc>
      </w:tr>
      <w:tr>
        <w:trPr>
          <w:trHeight w:val="257"/>
        </w:trPr>
        <w:tc>
          <w:tcPr>
            <w:tcW w:w="3400" w:type="dxa"/>
            <w:vAlign w:val="bottom"/>
          </w:tcPr>
          <w:p>
            <w:pPr>
              <w:spacing w:after="0"/>
              <w:rPr>
                <w:sz w:val="22"/>
                <w:szCs w:val="22"/>
                <w:color w:val="auto"/>
              </w:rPr>
            </w:pPr>
          </w:p>
        </w:tc>
        <w:tc>
          <w:tcPr>
            <w:tcW w:w="2700" w:type="dxa"/>
            <w:vAlign w:val="bottom"/>
          </w:tcPr>
          <w:p>
            <w:pPr>
              <w:ind w:left="1620"/>
              <w:spacing w:after="0"/>
              <w:rPr>
                <w:sz w:val="20"/>
                <w:szCs w:val="20"/>
                <w:color w:val="auto"/>
              </w:rPr>
            </w:pPr>
            <w:r>
              <w:rPr>
                <w:rFonts w:ascii="Arial" w:cs="Arial" w:eastAsia="Arial" w:hAnsi="Arial"/>
                <w:sz w:val="16"/>
                <w:szCs w:val="16"/>
                <w:color w:val="auto"/>
              </w:rPr>
              <w:t>Title:</w:t>
            </w:r>
          </w:p>
        </w:tc>
        <w:tc>
          <w:tcPr>
            <w:tcW w:w="4760" w:type="dxa"/>
            <w:vAlign w:val="bottom"/>
          </w:tcPr>
          <w:p>
            <w:pPr>
              <w:jc w:val="center"/>
              <w:spacing w:after="0"/>
              <w:rPr>
                <w:sz w:val="20"/>
                <w:szCs w:val="20"/>
                <w:color w:val="auto"/>
              </w:rPr>
            </w:pPr>
            <w:r>
              <w:rPr>
                <w:rFonts w:ascii="Arial" w:cs="Arial" w:eastAsia="Arial" w:hAnsi="Arial"/>
                <w:sz w:val="16"/>
                <w:szCs w:val="16"/>
                <w:color w:val="auto"/>
              </w:rPr>
              <w:t>President and Chief Executive Officer</w:t>
            </w:r>
          </w:p>
        </w:tc>
        <w:tc>
          <w:tcPr>
            <w:tcW w:w="0" w:type="dxa"/>
            <w:vAlign w:val="bottom"/>
          </w:tcPr>
          <w:p>
            <w:pPr>
              <w:spacing w:after="0"/>
              <w:rPr>
                <w:sz w:val="1"/>
                <w:szCs w:val="1"/>
                <w:color w:val="auto"/>
              </w:rPr>
            </w:pPr>
          </w:p>
        </w:tc>
      </w:tr>
      <w:tr>
        <w:trPr>
          <w:trHeight w:val="243"/>
        </w:trPr>
        <w:tc>
          <w:tcPr>
            <w:tcW w:w="340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4760" w:type="dxa"/>
            <w:vAlign w:val="bottom"/>
          </w:tcPr>
          <w:p>
            <w:pPr>
              <w:jc w:val="center"/>
              <w:spacing w:after="0"/>
              <w:rPr>
                <w:sz w:val="20"/>
                <w:szCs w:val="20"/>
                <w:color w:val="auto"/>
              </w:rPr>
            </w:pPr>
            <w:r>
              <w:rPr>
                <w:rFonts w:ascii="Arial" w:cs="Arial" w:eastAsia="Arial" w:hAnsi="Arial"/>
                <w:sz w:val="16"/>
                <w:szCs w:val="16"/>
                <w:i w:val="1"/>
                <w:iCs w:val="1"/>
                <w:color w:val="auto"/>
              </w:rPr>
              <w:t>(Principal Executive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408" w:right="339" w:bottom="1440" w:gutter="0" w:footer="0" w:header="0"/>
        </w:sectPr>
      </w:pPr>
    </w:p>
    <w:bookmarkStart w:id="75" w:name="page76"/>
    <w:bookmarkEnd w:id="75"/>
    <w:p>
      <w:pPr>
        <w:jc w:val="right"/>
        <w:spacing w:after="0"/>
        <w:rPr>
          <w:sz w:val="20"/>
          <w:szCs w:val="20"/>
          <w:color w:val="auto"/>
        </w:rPr>
      </w:pPr>
      <w:r>
        <w:rPr>
          <w:rFonts w:ascii="Arial" w:cs="Arial" w:eastAsia="Arial" w:hAnsi="Arial"/>
          <w:sz w:val="16"/>
          <w:szCs w:val="16"/>
          <w:b w:val="1"/>
          <w:bCs w:val="1"/>
          <w:color w:val="auto"/>
        </w:rPr>
        <w:t>Exhibit 31.2</w:t>
      </w:r>
    </w:p>
    <w:p>
      <w:pPr>
        <w:spacing w:after="0" w:line="329" w:lineRule="exact"/>
        <w:rPr>
          <w:sz w:val="20"/>
          <w:szCs w:val="20"/>
          <w:color w:val="auto"/>
        </w:rPr>
      </w:pPr>
    </w:p>
    <w:p>
      <w:pPr>
        <w:ind w:left="2980"/>
        <w:spacing w:after="0"/>
        <w:rPr>
          <w:sz w:val="20"/>
          <w:szCs w:val="20"/>
          <w:color w:val="auto"/>
        </w:rPr>
      </w:pPr>
      <w:r>
        <w:rPr>
          <w:rFonts w:ascii="Arial" w:cs="Arial" w:eastAsia="Arial" w:hAnsi="Arial"/>
          <w:sz w:val="16"/>
          <w:szCs w:val="16"/>
          <w:b w:val="1"/>
          <w:bCs w:val="1"/>
          <w:color w:val="auto"/>
        </w:rPr>
        <w:t>CERTIFICATION OF PRINCIPAL FINANCIAL OFFICER PURSUANT TO</w:t>
      </w:r>
    </w:p>
    <w:p>
      <w:pPr>
        <w:spacing w:after="0" w:line="13" w:lineRule="exact"/>
        <w:rPr>
          <w:sz w:val="20"/>
          <w:szCs w:val="20"/>
          <w:color w:val="auto"/>
        </w:rPr>
      </w:pPr>
    </w:p>
    <w:p>
      <w:pPr>
        <w:ind w:left="2360"/>
        <w:spacing w:after="0"/>
        <w:rPr>
          <w:sz w:val="20"/>
          <w:szCs w:val="20"/>
          <w:color w:val="auto"/>
        </w:rPr>
      </w:pPr>
      <w:r>
        <w:rPr>
          <w:rFonts w:ascii="Arial" w:cs="Arial" w:eastAsia="Arial" w:hAnsi="Arial"/>
          <w:sz w:val="16"/>
          <w:szCs w:val="16"/>
          <w:b w:val="1"/>
          <w:bCs w:val="1"/>
          <w:color w:val="auto"/>
        </w:rPr>
        <w:t>RULES 13a-14(a) AND 15d-14(a) UNDER THE SECURITIES EXCHANGE ACT OF 1934,</w:t>
      </w:r>
    </w:p>
    <w:p>
      <w:pPr>
        <w:ind w:left="2320"/>
        <w:spacing w:after="0"/>
        <w:rPr>
          <w:sz w:val="20"/>
          <w:szCs w:val="20"/>
          <w:color w:val="auto"/>
        </w:rPr>
      </w:pPr>
      <w:r>
        <w:rPr>
          <w:rFonts w:ascii="Arial" w:cs="Arial" w:eastAsia="Arial" w:hAnsi="Arial"/>
          <w:sz w:val="16"/>
          <w:szCs w:val="16"/>
          <w:b w:val="1"/>
          <w:bCs w:val="1"/>
          <w:color w:val="auto"/>
        </w:rPr>
        <w:t>AS ADOPTED PURSUANT TO SECTION 302 OF THE SARBANES-OXLEY ACT OF 2002</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I, Nicholas B. Hawkins, certify that:</w:t>
      </w:r>
    </w:p>
    <w:p>
      <w:pPr>
        <w:spacing w:after="0" w:line="248" w:lineRule="exact"/>
        <w:rPr>
          <w:sz w:val="20"/>
          <w:szCs w:val="20"/>
          <w:color w:val="auto"/>
        </w:rPr>
      </w:pPr>
    </w:p>
    <w:p>
      <w:pPr>
        <w:ind w:left="180" w:hanging="172"/>
        <w:spacing w:after="0"/>
        <w:tabs>
          <w:tab w:leader="none" w:pos="1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Arteris, Inc;</w:t>
      </w:r>
    </w:p>
    <w:p>
      <w:pPr>
        <w:spacing w:after="0" w:line="248" w:lineRule="exact"/>
        <w:rPr>
          <w:rFonts w:ascii="Arial" w:cs="Arial" w:eastAsia="Arial" w:hAnsi="Arial"/>
          <w:sz w:val="16"/>
          <w:szCs w:val="16"/>
          <w:color w:val="auto"/>
        </w:rPr>
      </w:pPr>
    </w:p>
    <w:p>
      <w:pPr>
        <w:ind w:right="20" w:firstLine="8"/>
        <w:spacing w:after="0" w:line="286" w:lineRule="auto"/>
        <w:tabs>
          <w:tab w:leader="none" w:pos="201" w:val="left"/>
        </w:tabs>
        <w:numPr>
          <w:ilvl w:val="0"/>
          <w:numId w:val="3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9" w:lineRule="exact"/>
        <w:rPr>
          <w:rFonts w:ascii="Arial" w:cs="Arial" w:eastAsia="Arial" w:hAnsi="Arial"/>
          <w:sz w:val="16"/>
          <w:szCs w:val="16"/>
          <w:color w:val="auto"/>
        </w:rPr>
      </w:pPr>
    </w:p>
    <w:p>
      <w:pPr>
        <w:ind w:right="20" w:firstLine="8"/>
        <w:spacing w:after="0" w:line="286" w:lineRule="auto"/>
        <w:tabs>
          <w:tab w:leader="none" w:pos="182" w:val="left"/>
        </w:tabs>
        <w:numPr>
          <w:ilvl w:val="0"/>
          <w:numId w:val="3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6" w:lineRule="exact"/>
        <w:rPr>
          <w:rFonts w:ascii="Arial" w:cs="Arial" w:eastAsia="Arial" w:hAnsi="Arial"/>
          <w:sz w:val="16"/>
          <w:szCs w:val="16"/>
          <w:color w:val="auto"/>
        </w:rPr>
      </w:pPr>
    </w:p>
    <w:p>
      <w:pPr>
        <w:jc w:val="both"/>
        <w:ind w:firstLine="8"/>
        <w:spacing w:after="0" w:line="284" w:lineRule="auto"/>
        <w:tabs>
          <w:tab w:leader="none" w:pos="186"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6" w:lineRule="exact"/>
        <w:rPr>
          <w:rFonts w:ascii="Arial" w:cs="Arial" w:eastAsia="Arial" w:hAnsi="Arial"/>
          <w:sz w:val="16"/>
          <w:szCs w:val="16"/>
          <w:color w:val="auto"/>
        </w:rPr>
      </w:pPr>
    </w:p>
    <w:p>
      <w:pPr>
        <w:jc w:val="both"/>
        <w:ind w:left="1040" w:firstLine="5"/>
        <w:spacing w:after="0" w:line="266" w:lineRule="auto"/>
        <w:tabs>
          <w:tab w:leader="none" w:pos="1323" w:val="left"/>
        </w:tabs>
        <w:numPr>
          <w:ilvl w:val="1"/>
          <w:numId w:val="3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7" w:lineRule="exact"/>
        <w:rPr>
          <w:rFonts w:ascii="Arial" w:cs="Arial" w:eastAsia="Arial" w:hAnsi="Arial"/>
          <w:sz w:val="16"/>
          <w:szCs w:val="16"/>
          <w:color w:val="auto"/>
        </w:rPr>
      </w:pPr>
    </w:p>
    <w:p>
      <w:pPr>
        <w:jc w:val="both"/>
        <w:ind w:left="1040" w:firstLine="5"/>
        <w:spacing w:after="0" w:line="266" w:lineRule="auto"/>
        <w:tabs>
          <w:tab w:leader="none" w:pos="1296" w:val="left"/>
        </w:tabs>
        <w:numPr>
          <w:ilvl w:val="1"/>
          <w:numId w:val="36"/>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1" w:lineRule="exact"/>
        <w:rPr>
          <w:rFonts w:ascii="Arial" w:cs="Arial" w:eastAsia="Arial" w:hAnsi="Arial"/>
          <w:sz w:val="16"/>
          <w:szCs w:val="16"/>
          <w:color w:val="auto"/>
        </w:rPr>
      </w:pPr>
    </w:p>
    <w:p>
      <w:pPr>
        <w:ind w:left="1040" w:firstLine="5"/>
        <w:spacing w:after="0" w:line="286" w:lineRule="auto"/>
        <w:tabs>
          <w:tab w:leader="none" w:pos="1286" w:val="left"/>
        </w:tabs>
        <w:numPr>
          <w:ilvl w:val="1"/>
          <w:numId w:val="3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2" w:lineRule="exact"/>
        <w:rPr>
          <w:rFonts w:ascii="Arial" w:cs="Arial" w:eastAsia="Arial" w:hAnsi="Arial"/>
          <w:sz w:val="16"/>
          <w:szCs w:val="16"/>
          <w:color w:val="auto"/>
        </w:rPr>
      </w:pPr>
    </w:p>
    <w:p>
      <w:pPr>
        <w:jc w:val="both"/>
        <w:ind w:left="1040" w:firstLine="5"/>
        <w:spacing w:after="0" w:line="266" w:lineRule="auto"/>
        <w:tabs>
          <w:tab w:leader="none" w:pos="1302" w:val="left"/>
        </w:tabs>
        <w:numPr>
          <w:ilvl w:val="1"/>
          <w:numId w:val="3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8" w:lineRule="exact"/>
        <w:rPr>
          <w:rFonts w:ascii="Arial" w:cs="Arial" w:eastAsia="Arial" w:hAnsi="Arial"/>
          <w:sz w:val="16"/>
          <w:szCs w:val="16"/>
          <w:color w:val="auto"/>
        </w:rPr>
      </w:pPr>
    </w:p>
    <w:p>
      <w:pPr>
        <w:ind w:firstLine="8"/>
        <w:spacing w:after="0" w:line="286" w:lineRule="auto"/>
        <w:tabs>
          <w:tab w:leader="none" w:pos="208"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2" w:lineRule="exact"/>
        <w:rPr>
          <w:rFonts w:ascii="Arial" w:cs="Arial" w:eastAsia="Arial" w:hAnsi="Arial"/>
          <w:sz w:val="16"/>
          <w:szCs w:val="16"/>
          <w:color w:val="auto"/>
        </w:rPr>
      </w:pPr>
    </w:p>
    <w:p>
      <w:pPr>
        <w:ind w:left="1040" w:right="20" w:firstLine="5"/>
        <w:spacing w:after="0" w:line="286" w:lineRule="auto"/>
        <w:tabs>
          <w:tab w:leader="none" w:pos="1317" w:val="left"/>
        </w:tabs>
        <w:numPr>
          <w:ilvl w:val="1"/>
          <w:numId w:val="3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5" w:lineRule="exact"/>
        <w:rPr>
          <w:rFonts w:ascii="Arial" w:cs="Arial" w:eastAsia="Arial" w:hAnsi="Arial"/>
          <w:sz w:val="16"/>
          <w:szCs w:val="16"/>
          <w:color w:val="auto"/>
        </w:rPr>
      </w:pPr>
    </w:p>
    <w:p>
      <w:pPr>
        <w:ind w:left="1040" w:right="20" w:firstLine="5"/>
        <w:spacing w:after="0" w:line="286" w:lineRule="auto"/>
        <w:tabs>
          <w:tab w:leader="none" w:pos="1296" w:val="left"/>
        </w:tabs>
        <w:numPr>
          <w:ilvl w:val="1"/>
          <w:numId w:val="36"/>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96"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3520" w:type="dxa"/>
            <w:vAlign w:val="bottom"/>
          </w:tcPr>
          <w:p>
            <w:pPr>
              <w:spacing w:after="0"/>
              <w:rPr>
                <w:sz w:val="20"/>
                <w:szCs w:val="20"/>
                <w:color w:val="auto"/>
              </w:rPr>
            </w:pPr>
            <w:r>
              <w:rPr>
                <w:rFonts w:ascii="Arial" w:cs="Arial" w:eastAsia="Arial" w:hAnsi="Arial"/>
                <w:sz w:val="16"/>
                <w:szCs w:val="16"/>
                <w:color w:val="auto"/>
              </w:rPr>
              <w:t>Date: November 5, 2024</w:t>
            </w:r>
          </w:p>
        </w:tc>
        <w:tc>
          <w:tcPr>
            <w:tcW w:w="2840" w:type="dxa"/>
            <w:vAlign w:val="bottom"/>
          </w:tcPr>
          <w:p>
            <w:pPr>
              <w:ind w:left="1780"/>
              <w:spacing w:after="0"/>
              <w:rPr>
                <w:sz w:val="20"/>
                <w:szCs w:val="20"/>
                <w:color w:val="auto"/>
              </w:rPr>
            </w:pPr>
            <w:r>
              <w:rPr>
                <w:rFonts w:ascii="Arial" w:cs="Arial" w:eastAsia="Arial" w:hAnsi="Arial"/>
                <w:sz w:val="16"/>
                <w:szCs w:val="16"/>
                <w:color w:val="auto"/>
              </w:rPr>
              <w:t>By:</w:t>
            </w:r>
          </w:p>
        </w:tc>
        <w:tc>
          <w:tcPr>
            <w:tcW w:w="4840" w:type="dxa"/>
            <w:vAlign w:val="bottom"/>
          </w:tcPr>
          <w:p>
            <w:pPr>
              <w:jc w:val="center"/>
              <w:spacing w:after="0"/>
              <w:rPr>
                <w:sz w:val="20"/>
                <w:szCs w:val="20"/>
                <w:color w:val="auto"/>
              </w:rPr>
            </w:pPr>
            <w:r>
              <w:rPr>
                <w:rFonts w:ascii="Arial" w:cs="Arial" w:eastAsia="Arial" w:hAnsi="Arial"/>
                <w:sz w:val="16"/>
                <w:szCs w:val="16"/>
                <w:color w:val="auto"/>
              </w:rPr>
              <w:t>/s/ Nicholas B. Hawkins</w:t>
            </w:r>
          </w:p>
        </w:tc>
        <w:tc>
          <w:tcPr>
            <w:tcW w:w="0" w:type="dxa"/>
            <w:vAlign w:val="bottom"/>
          </w:tcPr>
          <w:p>
            <w:pPr>
              <w:spacing w:after="0"/>
              <w:rPr>
                <w:sz w:val="1"/>
                <w:szCs w:val="1"/>
                <w:color w:val="auto"/>
              </w:rPr>
            </w:pPr>
          </w:p>
        </w:tc>
      </w:tr>
      <w:tr>
        <w:trPr>
          <w:trHeight w:val="29"/>
        </w:trPr>
        <w:tc>
          <w:tcPr>
            <w:tcW w:w="3520" w:type="dxa"/>
            <w:vAlign w:val="bottom"/>
          </w:tcPr>
          <w:p>
            <w:pPr>
              <w:spacing w:after="0"/>
              <w:rPr>
                <w:sz w:val="2"/>
                <w:szCs w:val="2"/>
                <w:color w:val="auto"/>
              </w:rPr>
            </w:pPr>
          </w:p>
        </w:tc>
        <w:tc>
          <w:tcPr>
            <w:tcW w:w="2840" w:type="dxa"/>
            <w:vAlign w:val="bottom"/>
            <w:vMerge w:val="restart"/>
          </w:tcPr>
          <w:p>
            <w:pPr>
              <w:ind w:left="1780"/>
              <w:spacing w:after="0"/>
              <w:rPr>
                <w:sz w:val="20"/>
                <w:szCs w:val="20"/>
                <w:color w:val="auto"/>
              </w:rPr>
            </w:pPr>
            <w:r>
              <w:rPr>
                <w:rFonts w:ascii="Arial" w:cs="Arial" w:eastAsia="Arial" w:hAnsi="Arial"/>
                <w:sz w:val="16"/>
                <w:szCs w:val="16"/>
                <w:color w:val="auto"/>
              </w:rPr>
              <w:t>Name:</w:t>
            </w:r>
          </w:p>
        </w:tc>
        <w:tc>
          <w:tcPr>
            <w:tcW w:w="4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3520" w:type="dxa"/>
            <w:vAlign w:val="bottom"/>
          </w:tcPr>
          <w:p>
            <w:pPr>
              <w:spacing w:after="0"/>
              <w:rPr>
                <w:sz w:val="19"/>
                <w:szCs w:val="19"/>
                <w:color w:val="auto"/>
              </w:rPr>
            </w:pPr>
          </w:p>
        </w:tc>
        <w:tc>
          <w:tcPr>
            <w:tcW w:w="2840" w:type="dxa"/>
            <w:vAlign w:val="bottom"/>
            <w:vMerge w:val="continue"/>
          </w:tcPr>
          <w:p>
            <w:pPr>
              <w:spacing w:after="0"/>
              <w:rPr>
                <w:sz w:val="19"/>
                <w:szCs w:val="19"/>
                <w:color w:val="auto"/>
              </w:rPr>
            </w:pPr>
          </w:p>
        </w:tc>
        <w:tc>
          <w:tcPr>
            <w:tcW w:w="4840" w:type="dxa"/>
            <w:vAlign w:val="bottom"/>
          </w:tcPr>
          <w:p>
            <w:pPr>
              <w:jc w:val="center"/>
              <w:spacing w:after="0"/>
              <w:rPr>
                <w:sz w:val="20"/>
                <w:szCs w:val="20"/>
                <w:color w:val="auto"/>
              </w:rPr>
            </w:pPr>
            <w:r>
              <w:rPr>
                <w:rFonts w:ascii="Arial" w:cs="Arial" w:eastAsia="Arial" w:hAnsi="Arial"/>
                <w:sz w:val="16"/>
                <w:szCs w:val="16"/>
                <w:color w:val="auto"/>
              </w:rPr>
              <w:t>Nicholas B. Hawkins</w:t>
            </w:r>
          </w:p>
        </w:tc>
        <w:tc>
          <w:tcPr>
            <w:tcW w:w="0" w:type="dxa"/>
            <w:vAlign w:val="bottom"/>
          </w:tcPr>
          <w:p>
            <w:pPr>
              <w:spacing w:after="0"/>
              <w:rPr>
                <w:sz w:val="1"/>
                <w:szCs w:val="1"/>
                <w:color w:val="auto"/>
              </w:rPr>
            </w:pPr>
          </w:p>
        </w:tc>
      </w:tr>
      <w:tr>
        <w:trPr>
          <w:trHeight w:val="257"/>
        </w:trPr>
        <w:tc>
          <w:tcPr>
            <w:tcW w:w="3520" w:type="dxa"/>
            <w:vAlign w:val="bottom"/>
          </w:tcPr>
          <w:p>
            <w:pPr>
              <w:spacing w:after="0"/>
              <w:rPr>
                <w:sz w:val="22"/>
                <w:szCs w:val="22"/>
                <w:color w:val="auto"/>
              </w:rPr>
            </w:pPr>
          </w:p>
        </w:tc>
        <w:tc>
          <w:tcPr>
            <w:tcW w:w="2840" w:type="dxa"/>
            <w:vAlign w:val="bottom"/>
          </w:tcPr>
          <w:p>
            <w:pPr>
              <w:ind w:left="1780"/>
              <w:spacing w:after="0"/>
              <w:rPr>
                <w:sz w:val="20"/>
                <w:szCs w:val="20"/>
                <w:color w:val="auto"/>
              </w:rPr>
            </w:pPr>
            <w:r>
              <w:rPr>
                <w:rFonts w:ascii="Arial" w:cs="Arial" w:eastAsia="Arial" w:hAnsi="Arial"/>
                <w:sz w:val="16"/>
                <w:szCs w:val="16"/>
                <w:color w:val="auto"/>
              </w:rPr>
              <w:t>Title:</w:t>
            </w:r>
          </w:p>
        </w:tc>
        <w:tc>
          <w:tcPr>
            <w:tcW w:w="4840" w:type="dxa"/>
            <w:vAlign w:val="bottom"/>
          </w:tcPr>
          <w:p>
            <w:pPr>
              <w:jc w:val="center"/>
              <w:spacing w:after="0"/>
              <w:rPr>
                <w:sz w:val="20"/>
                <w:szCs w:val="20"/>
                <w:color w:val="auto"/>
              </w:rPr>
            </w:pPr>
            <w:r>
              <w:rPr>
                <w:rFonts w:ascii="Arial" w:cs="Arial" w:eastAsia="Arial" w:hAnsi="Arial"/>
                <w:sz w:val="16"/>
                <w:szCs w:val="16"/>
                <w:color w:val="auto"/>
              </w:rPr>
              <w:t>Vice President and Chief Financial Officer</w:t>
            </w:r>
          </w:p>
        </w:tc>
        <w:tc>
          <w:tcPr>
            <w:tcW w:w="0" w:type="dxa"/>
            <w:vAlign w:val="bottom"/>
          </w:tcPr>
          <w:p>
            <w:pPr>
              <w:spacing w:after="0"/>
              <w:rPr>
                <w:sz w:val="1"/>
                <w:szCs w:val="1"/>
                <w:color w:val="auto"/>
              </w:rPr>
            </w:pPr>
          </w:p>
        </w:tc>
      </w:tr>
      <w:tr>
        <w:trPr>
          <w:trHeight w:val="243"/>
        </w:trPr>
        <w:tc>
          <w:tcPr>
            <w:tcW w:w="3520" w:type="dxa"/>
            <w:vAlign w:val="bottom"/>
          </w:tcPr>
          <w:p>
            <w:pPr>
              <w:spacing w:after="0"/>
              <w:rPr>
                <w:sz w:val="21"/>
                <w:szCs w:val="21"/>
                <w:color w:val="auto"/>
              </w:rPr>
            </w:pPr>
          </w:p>
        </w:tc>
        <w:tc>
          <w:tcPr>
            <w:tcW w:w="2840" w:type="dxa"/>
            <w:vAlign w:val="bottom"/>
          </w:tcPr>
          <w:p>
            <w:pPr>
              <w:spacing w:after="0"/>
              <w:rPr>
                <w:sz w:val="21"/>
                <w:szCs w:val="21"/>
                <w:color w:val="auto"/>
              </w:rPr>
            </w:pPr>
          </w:p>
        </w:tc>
        <w:tc>
          <w:tcPr>
            <w:tcW w:w="4840" w:type="dxa"/>
            <w:vAlign w:val="bottom"/>
          </w:tcPr>
          <w:p>
            <w:pPr>
              <w:jc w:val="center"/>
              <w:spacing w:after="0"/>
              <w:rPr>
                <w:sz w:val="20"/>
                <w:szCs w:val="20"/>
                <w:color w:val="auto"/>
              </w:rPr>
            </w:pPr>
            <w:r>
              <w:rPr>
                <w:rFonts w:ascii="Arial" w:cs="Arial" w:eastAsia="Arial" w:hAnsi="Arial"/>
                <w:sz w:val="16"/>
                <w:szCs w:val="16"/>
                <w:i w:val="1"/>
                <w:iCs w:val="1"/>
                <w:color w:val="auto"/>
              </w:rPr>
              <w:t>(Principal Financial and Accounting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408" w:right="339" w:bottom="1440" w:gutter="0" w:footer="0" w:header="0"/>
        </w:sectPr>
      </w:pPr>
    </w:p>
    <w:bookmarkStart w:id="76" w:name="page77"/>
    <w:bookmarkEnd w:id="76"/>
    <w:p>
      <w:pPr>
        <w:jc w:val="right"/>
        <w:spacing w:after="0"/>
        <w:rPr>
          <w:sz w:val="20"/>
          <w:szCs w:val="20"/>
          <w:color w:val="auto"/>
        </w:rPr>
      </w:pPr>
      <w:r>
        <w:rPr>
          <w:rFonts w:ascii="Arial" w:cs="Arial" w:eastAsia="Arial" w:hAnsi="Arial"/>
          <w:sz w:val="16"/>
          <w:szCs w:val="16"/>
          <w:b w:val="1"/>
          <w:bCs w:val="1"/>
          <w:color w:val="auto"/>
        </w:rPr>
        <w:t>Exhibit 32.1</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PRINCIPAL EXECUTIVE OFFICER PURSUANT TO</w:t>
      </w:r>
    </w:p>
    <w:p>
      <w:pPr>
        <w:spacing w:after="0" w:line="13" w:lineRule="exact"/>
        <w:rPr>
          <w:sz w:val="20"/>
          <w:szCs w:val="20"/>
          <w:color w:val="auto"/>
        </w:rPr>
      </w:pPr>
    </w:p>
    <w:p>
      <w:pPr>
        <w:ind w:left="3500"/>
        <w:spacing w:after="0"/>
        <w:rPr>
          <w:sz w:val="20"/>
          <w:szCs w:val="20"/>
          <w:color w:val="auto"/>
        </w:rPr>
      </w:pPr>
      <w:r>
        <w:rPr>
          <w:rFonts w:ascii="Arial" w:cs="Arial" w:eastAsia="Arial" w:hAnsi="Arial"/>
          <w:sz w:val="16"/>
          <w:szCs w:val="16"/>
          <w:b w:val="1"/>
          <w:bCs w:val="1"/>
          <w:color w:val="auto"/>
        </w:rPr>
        <w:t>18 U.S.C. SECTION 1350, AS ADOPTED PURSUANT TO</w:t>
      </w:r>
    </w:p>
    <w:p>
      <w:pPr>
        <w:ind w:left="3480"/>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05"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In connection with the Quarterly Report of Arteris, Inc. (the “Company”) on Form 10-Q for the quarter ended September 30, 2024 as filed with the Securities and Exchange Commission on the date hereof (the “Report”), I certify, pursuant to 18 U.S.C. § 1350, as adopted pursuant to § 906 of the Sarbanes-Oxley Act of 2002, that:</w:t>
      </w:r>
    </w:p>
    <w:p>
      <w:pPr>
        <w:spacing w:after="0" w:line="171" w:lineRule="exact"/>
        <w:rPr>
          <w:sz w:val="20"/>
          <w:szCs w:val="20"/>
          <w:color w:val="auto"/>
        </w:rPr>
      </w:pPr>
    </w:p>
    <w:p>
      <w:pPr>
        <w:ind w:left="1040" w:firstLine="5"/>
        <w:spacing w:after="0" w:line="268" w:lineRule="auto"/>
        <w:tabs>
          <w:tab w:leader="none" w:pos="1311"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(the “Exchange Act”); and</w:t>
      </w:r>
    </w:p>
    <w:p>
      <w:pPr>
        <w:spacing w:after="0" w:line="169" w:lineRule="exact"/>
        <w:rPr>
          <w:rFonts w:ascii="Arial" w:cs="Arial" w:eastAsia="Arial" w:hAnsi="Arial"/>
          <w:sz w:val="16"/>
          <w:szCs w:val="16"/>
          <w:color w:val="auto"/>
        </w:rPr>
      </w:pPr>
    </w:p>
    <w:p>
      <w:pPr>
        <w:ind w:left="1040" w:firstLine="5"/>
        <w:spacing w:after="0" w:line="286" w:lineRule="auto"/>
        <w:tabs>
          <w:tab w:leader="none" w:pos="1304"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10"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3140" w:type="dxa"/>
            <w:vAlign w:val="bottom"/>
          </w:tcPr>
          <w:p>
            <w:pPr>
              <w:spacing w:after="0"/>
              <w:rPr>
                <w:sz w:val="20"/>
                <w:szCs w:val="20"/>
                <w:color w:val="auto"/>
              </w:rPr>
            </w:pPr>
            <w:r>
              <w:rPr>
                <w:rFonts w:ascii="Arial" w:cs="Arial" w:eastAsia="Arial" w:hAnsi="Arial"/>
                <w:sz w:val="16"/>
                <w:szCs w:val="16"/>
                <w:color w:val="auto"/>
              </w:rPr>
              <w:t>Date: November 5, 2024</w:t>
            </w:r>
          </w:p>
        </w:tc>
        <w:tc>
          <w:tcPr>
            <w:tcW w:w="2600" w:type="dxa"/>
            <w:vAlign w:val="bottom"/>
          </w:tcPr>
          <w:p>
            <w:pPr>
              <w:ind w:left="1380"/>
              <w:spacing w:after="0"/>
              <w:rPr>
                <w:sz w:val="20"/>
                <w:szCs w:val="20"/>
                <w:color w:val="auto"/>
              </w:rPr>
            </w:pPr>
            <w:r>
              <w:rPr>
                <w:rFonts w:ascii="Arial" w:cs="Arial" w:eastAsia="Arial" w:hAnsi="Arial"/>
                <w:sz w:val="16"/>
                <w:szCs w:val="16"/>
                <w:color w:val="auto"/>
              </w:rPr>
              <w:t>By:</w:t>
            </w:r>
          </w:p>
        </w:tc>
        <w:tc>
          <w:tcPr>
            <w:tcW w:w="4700" w:type="dxa"/>
            <w:vAlign w:val="bottom"/>
          </w:tcPr>
          <w:p>
            <w:pPr>
              <w:jc w:val="center"/>
              <w:spacing w:after="0"/>
              <w:rPr>
                <w:sz w:val="20"/>
                <w:szCs w:val="20"/>
                <w:color w:val="auto"/>
              </w:rPr>
            </w:pPr>
            <w:r>
              <w:rPr>
                <w:rFonts w:ascii="Arial" w:cs="Arial" w:eastAsia="Arial" w:hAnsi="Arial"/>
                <w:sz w:val="16"/>
                <w:szCs w:val="16"/>
                <w:color w:val="auto"/>
              </w:rPr>
              <w:t>/s/ K. Charles Janac</w:t>
            </w:r>
          </w:p>
        </w:tc>
        <w:tc>
          <w:tcPr>
            <w:tcW w:w="0" w:type="dxa"/>
            <w:vAlign w:val="bottom"/>
          </w:tcPr>
          <w:p>
            <w:pPr>
              <w:spacing w:after="0"/>
              <w:rPr>
                <w:sz w:val="1"/>
                <w:szCs w:val="1"/>
                <w:color w:val="auto"/>
              </w:rPr>
            </w:pPr>
          </w:p>
        </w:tc>
      </w:tr>
      <w:tr>
        <w:trPr>
          <w:trHeight w:val="29"/>
        </w:trPr>
        <w:tc>
          <w:tcPr>
            <w:tcW w:w="3140" w:type="dxa"/>
            <w:vAlign w:val="bottom"/>
          </w:tcPr>
          <w:p>
            <w:pPr>
              <w:spacing w:after="0"/>
              <w:rPr>
                <w:sz w:val="2"/>
                <w:szCs w:val="2"/>
                <w:color w:val="auto"/>
              </w:rPr>
            </w:pPr>
          </w:p>
        </w:tc>
        <w:tc>
          <w:tcPr>
            <w:tcW w:w="2600" w:type="dxa"/>
            <w:vAlign w:val="bottom"/>
            <w:vMerge w:val="restart"/>
          </w:tcPr>
          <w:p>
            <w:pPr>
              <w:ind w:left="1380"/>
              <w:spacing w:after="0"/>
              <w:rPr>
                <w:sz w:val="20"/>
                <w:szCs w:val="20"/>
                <w:color w:val="auto"/>
              </w:rPr>
            </w:pPr>
            <w:r>
              <w:rPr>
                <w:rFonts w:ascii="Arial" w:cs="Arial" w:eastAsia="Arial" w:hAnsi="Arial"/>
                <w:sz w:val="16"/>
                <w:szCs w:val="16"/>
                <w:color w:val="auto"/>
              </w:rPr>
              <w:t>Name:</w:t>
            </w:r>
          </w:p>
        </w:tc>
        <w:tc>
          <w:tcPr>
            <w:tcW w:w="4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3140" w:type="dxa"/>
            <w:vAlign w:val="bottom"/>
          </w:tcPr>
          <w:p>
            <w:pPr>
              <w:spacing w:after="0"/>
              <w:rPr>
                <w:sz w:val="19"/>
                <w:szCs w:val="19"/>
                <w:color w:val="auto"/>
              </w:rPr>
            </w:pPr>
          </w:p>
        </w:tc>
        <w:tc>
          <w:tcPr>
            <w:tcW w:w="2600" w:type="dxa"/>
            <w:vAlign w:val="bottom"/>
            <w:vMerge w:val="continue"/>
          </w:tcPr>
          <w:p>
            <w:pPr>
              <w:spacing w:after="0"/>
              <w:rPr>
                <w:sz w:val="19"/>
                <w:szCs w:val="19"/>
                <w:color w:val="auto"/>
              </w:rPr>
            </w:pPr>
          </w:p>
        </w:tc>
        <w:tc>
          <w:tcPr>
            <w:tcW w:w="4700" w:type="dxa"/>
            <w:vAlign w:val="bottom"/>
          </w:tcPr>
          <w:p>
            <w:pPr>
              <w:jc w:val="center"/>
              <w:spacing w:after="0"/>
              <w:rPr>
                <w:sz w:val="20"/>
                <w:szCs w:val="20"/>
                <w:color w:val="auto"/>
              </w:rPr>
            </w:pPr>
            <w:r>
              <w:rPr>
                <w:rFonts w:ascii="Arial" w:cs="Arial" w:eastAsia="Arial" w:hAnsi="Arial"/>
                <w:sz w:val="16"/>
                <w:szCs w:val="16"/>
                <w:color w:val="auto"/>
              </w:rPr>
              <w:t>K. Charles Janac</w:t>
            </w:r>
          </w:p>
        </w:tc>
        <w:tc>
          <w:tcPr>
            <w:tcW w:w="0" w:type="dxa"/>
            <w:vAlign w:val="bottom"/>
          </w:tcPr>
          <w:p>
            <w:pPr>
              <w:spacing w:after="0"/>
              <w:rPr>
                <w:sz w:val="1"/>
                <w:szCs w:val="1"/>
                <w:color w:val="auto"/>
              </w:rPr>
            </w:pPr>
          </w:p>
        </w:tc>
      </w:tr>
      <w:tr>
        <w:trPr>
          <w:trHeight w:val="243"/>
        </w:trPr>
        <w:tc>
          <w:tcPr>
            <w:tcW w:w="3140" w:type="dxa"/>
            <w:vAlign w:val="bottom"/>
          </w:tcPr>
          <w:p>
            <w:pPr>
              <w:spacing w:after="0"/>
              <w:rPr>
                <w:sz w:val="21"/>
                <w:szCs w:val="21"/>
                <w:color w:val="auto"/>
              </w:rPr>
            </w:pPr>
          </w:p>
        </w:tc>
        <w:tc>
          <w:tcPr>
            <w:tcW w:w="2600" w:type="dxa"/>
            <w:vAlign w:val="bottom"/>
          </w:tcPr>
          <w:p>
            <w:pPr>
              <w:ind w:left="1380"/>
              <w:spacing w:after="0"/>
              <w:rPr>
                <w:sz w:val="20"/>
                <w:szCs w:val="20"/>
                <w:color w:val="auto"/>
              </w:rPr>
            </w:pPr>
            <w:r>
              <w:rPr>
                <w:rFonts w:ascii="Arial" w:cs="Arial" w:eastAsia="Arial" w:hAnsi="Arial"/>
                <w:sz w:val="16"/>
                <w:szCs w:val="16"/>
                <w:color w:val="auto"/>
              </w:rPr>
              <w:t>Title:</w:t>
            </w:r>
          </w:p>
        </w:tc>
        <w:tc>
          <w:tcPr>
            <w:tcW w:w="4700" w:type="dxa"/>
            <w:vAlign w:val="bottom"/>
          </w:tcPr>
          <w:p>
            <w:pPr>
              <w:jc w:val="center"/>
              <w:spacing w:after="0"/>
              <w:rPr>
                <w:sz w:val="20"/>
                <w:szCs w:val="20"/>
                <w:color w:val="auto"/>
              </w:rPr>
            </w:pPr>
            <w:r>
              <w:rPr>
                <w:rFonts w:ascii="Arial" w:cs="Arial" w:eastAsia="Arial" w:hAnsi="Arial"/>
                <w:sz w:val="16"/>
                <w:szCs w:val="16"/>
                <w:color w:val="auto"/>
              </w:rPr>
              <w:t>President and Chief Executive Officer</w:t>
            </w:r>
          </w:p>
        </w:tc>
        <w:tc>
          <w:tcPr>
            <w:tcW w:w="0" w:type="dxa"/>
            <w:vAlign w:val="bottom"/>
          </w:tcPr>
          <w:p>
            <w:pPr>
              <w:spacing w:after="0"/>
              <w:rPr>
                <w:sz w:val="1"/>
                <w:szCs w:val="1"/>
                <w:color w:val="auto"/>
              </w:rPr>
            </w:pPr>
          </w:p>
        </w:tc>
      </w:tr>
      <w:tr>
        <w:trPr>
          <w:trHeight w:val="243"/>
        </w:trPr>
        <w:tc>
          <w:tcPr>
            <w:tcW w:w="3140" w:type="dxa"/>
            <w:vAlign w:val="bottom"/>
          </w:tcPr>
          <w:p>
            <w:pPr>
              <w:spacing w:after="0"/>
              <w:rPr>
                <w:sz w:val="21"/>
                <w:szCs w:val="21"/>
                <w:color w:val="auto"/>
              </w:rPr>
            </w:pPr>
          </w:p>
        </w:tc>
        <w:tc>
          <w:tcPr>
            <w:tcW w:w="2600" w:type="dxa"/>
            <w:vAlign w:val="bottom"/>
          </w:tcPr>
          <w:p>
            <w:pPr>
              <w:spacing w:after="0"/>
              <w:rPr>
                <w:sz w:val="21"/>
                <w:szCs w:val="21"/>
                <w:color w:val="auto"/>
              </w:rPr>
            </w:pPr>
          </w:p>
        </w:tc>
        <w:tc>
          <w:tcPr>
            <w:tcW w:w="4700" w:type="dxa"/>
            <w:vAlign w:val="bottom"/>
          </w:tcPr>
          <w:p>
            <w:pPr>
              <w:jc w:val="center"/>
              <w:spacing w:after="0"/>
              <w:rPr>
                <w:sz w:val="20"/>
                <w:szCs w:val="20"/>
                <w:color w:val="auto"/>
              </w:rPr>
            </w:pPr>
            <w:r>
              <w:rPr>
                <w:rFonts w:ascii="Arial" w:cs="Arial" w:eastAsia="Arial" w:hAnsi="Arial"/>
                <w:sz w:val="16"/>
                <w:szCs w:val="16"/>
                <w:i w:val="1"/>
                <w:iCs w:val="1"/>
                <w:color w:val="auto"/>
              </w:rPr>
              <w:t>(Principal Executive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1"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This certification accompanies the Form 10-Q to which it relates, is not deemed filed with the Securities and Exchange Commission and is not to be incorporated by reference into any filing of the Company under the Securities Act of 1933, as amended, or the Exchange Act (whether made before or after the date of the Form 10-Q), irrespective of any general incorporation language contained in such filing.</w:t>
      </w:r>
    </w:p>
    <w:p>
      <w:pPr>
        <w:sectPr>
          <w:pgSz w:w="11900" w:h="16838" w:orient="portrait"/>
          <w:cols w:equalWidth="0" w:num="1">
            <w:col w:w="11240"/>
          </w:cols>
          <w:pgMar w:left="320" w:top="1408" w:right="339" w:bottom="1440" w:gutter="0" w:footer="0" w:header="0"/>
        </w:sectPr>
      </w:pPr>
    </w:p>
    <w:bookmarkStart w:id="77" w:name="page78"/>
    <w:bookmarkEnd w:id="77"/>
    <w:p>
      <w:pPr>
        <w:jc w:val="right"/>
        <w:spacing w:after="0"/>
        <w:rPr>
          <w:sz w:val="20"/>
          <w:szCs w:val="20"/>
          <w:color w:val="auto"/>
        </w:rPr>
      </w:pPr>
      <w:r>
        <w:rPr>
          <w:rFonts w:ascii="Arial" w:cs="Arial" w:eastAsia="Arial" w:hAnsi="Arial"/>
          <w:sz w:val="16"/>
          <w:szCs w:val="16"/>
          <w:b w:val="1"/>
          <w:bCs w:val="1"/>
          <w:color w:val="auto"/>
        </w:rPr>
        <w:t>Exhibit 32.2</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PRINCIPAL FINANCIAL OFFICER PURSUANT TO</w:t>
      </w:r>
    </w:p>
    <w:p>
      <w:pPr>
        <w:spacing w:after="0" w:line="13" w:lineRule="exact"/>
        <w:rPr>
          <w:sz w:val="20"/>
          <w:szCs w:val="20"/>
          <w:color w:val="auto"/>
        </w:rPr>
      </w:pPr>
    </w:p>
    <w:p>
      <w:pPr>
        <w:ind w:left="3500"/>
        <w:spacing w:after="0"/>
        <w:rPr>
          <w:sz w:val="20"/>
          <w:szCs w:val="20"/>
          <w:color w:val="auto"/>
        </w:rPr>
      </w:pPr>
      <w:r>
        <w:rPr>
          <w:rFonts w:ascii="Arial" w:cs="Arial" w:eastAsia="Arial" w:hAnsi="Arial"/>
          <w:sz w:val="16"/>
          <w:szCs w:val="16"/>
          <w:b w:val="1"/>
          <w:bCs w:val="1"/>
          <w:color w:val="auto"/>
        </w:rPr>
        <w:t>18 U.S.C. SECTION 1350, AS ADOPTED PURSUANT TO</w:t>
      </w:r>
    </w:p>
    <w:p>
      <w:pPr>
        <w:ind w:left="3480"/>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05"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In connection with the Quarterly Report of Arteris, Inc. (the “Company”) on Form 10-Q for the quarter ended September 30, 2024 as filed with the Securities and Exchange Commission on the date hereof (the “Report”), I certify, pursuant to 18 U.S.C. § 1350, as adopted pursuant to § 906 of the Sarbanes-Oxley Act of 2002, that:</w:t>
      </w:r>
    </w:p>
    <w:p>
      <w:pPr>
        <w:spacing w:after="0" w:line="171" w:lineRule="exact"/>
        <w:rPr>
          <w:sz w:val="20"/>
          <w:szCs w:val="20"/>
          <w:color w:val="auto"/>
        </w:rPr>
      </w:pPr>
    </w:p>
    <w:p>
      <w:pPr>
        <w:ind w:left="1040" w:firstLine="5"/>
        <w:spacing w:after="0" w:line="268" w:lineRule="auto"/>
        <w:tabs>
          <w:tab w:leader="none" w:pos="1311"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(the “Exchange Act”); and</w:t>
      </w:r>
    </w:p>
    <w:p>
      <w:pPr>
        <w:spacing w:after="0" w:line="169" w:lineRule="exact"/>
        <w:rPr>
          <w:rFonts w:ascii="Arial" w:cs="Arial" w:eastAsia="Arial" w:hAnsi="Arial"/>
          <w:sz w:val="16"/>
          <w:szCs w:val="16"/>
          <w:color w:val="auto"/>
        </w:rPr>
      </w:pPr>
    </w:p>
    <w:p>
      <w:pPr>
        <w:ind w:left="1040" w:firstLine="5"/>
        <w:spacing w:after="0" w:line="286" w:lineRule="auto"/>
        <w:tabs>
          <w:tab w:leader="none" w:pos="1304"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10"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3140" w:type="dxa"/>
            <w:vAlign w:val="bottom"/>
          </w:tcPr>
          <w:p>
            <w:pPr>
              <w:spacing w:after="0"/>
              <w:rPr>
                <w:sz w:val="20"/>
                <w:szCs w:val="20"/>
                <w:color w:val="auto"/>
              </w:rPr>
            </w:pPr>
            <w:r>
              <w:rPr>
                <w:rFonts w:ascii="Arial" w:cs="Arial" w:eastAsia="Arial" w:hAnsi="Arial"/>
                <w:sz w:val="16"/>
                <w:szCs w:val="16"/>
                <w:color w:val="auto"/>
              </w:rPr>
              <w:t>Date: November 5, 2024</w:t>
            </w:r>
          </w:p>
        </w:tc>
        <w:tc>
          <w:tcPr>
            <w:tcW w:w="2600" w:type="dxa"/>
            <w:vAlign w:val="bottom"/>
          </w:tcPr>
          <w:p>
            <w:pPr>
              <w:ind w:left="1380"/>
              <w:spacing w:after="0"/>
              <w:rPr>
                <w:sz w:val="20"/>
                <w:szCs w:val="20"/>
                <w:color w:val="auto"/>
              </w:rPr>
            </w:pPr>
            <w:r>
              <w:rPr>
                <w:rFonts w:ascii="Arial" w:cs="Arial" w:eastAsia="Arial" w:hAnsi="Arial"/>
                <w:sz w:val="16"/>
                <w:szCs w:val="16"/>
                <w:color w:val="auto"/>
              </w:rPr>
              <w:t>By:</w:t>
            </w:r>
          </w:p>
        </w:tc>
        <w:tc>
          <w:tcPr>
            <w:tcW w:w="5380" w:type="dxa"/>
            <w:vAlign w:val="bottom"/>
          </w:tcPr>
          <w:p>
            <w:pPr>
              <w:jc w:val="center"/>
              <w:spacing w:after="0"/>
              <w:rPr>
                <w:sz w:val="20"/>
                <w:szCs w:val="20"/>
                <w:color w:val="auto"/>
              </w:rPr>
            </w:pPr>
            <w:r>
              <w:rPr>
                <w:rFonts w:ascii="Arial" w:cs="Arial" w:eastAsia="Arial" w:hAnsi="Arial"/>
                <w:sz w:val="16"/>
                <w:szCs w:val="16"/>
                <w:color w:val="auto"/>
              </w:rPr>
              <w:t>/s/ Nicholas B. Hawkins</w:t>
            </w:r>
          </w:p>
        </w:tc>
        <w:tc>
          <w:tcPr>
            <w:tcW w:w="0" w:type="dxa"/>
            <w:vAlign w:val="bottom"/>
          </w:tcPr>
          <w:p>
            <w:pPr>
              <w:spacing w:after="0"/>
              <w:rPr>
                <w:sz w:val="1"/>
                <w:szCs w:val="1"/>
                <w:color w:val="auto"/>
              </w:rPr>
            </w:pPr>
          </w:p>
        </w:tc>
      </w:tr>
      <w:tr>
        <w:trPr>
          <w:trHeight w:val="29"/>
        </w:trPr>
        <w:tc>
          <w:tcPr>
            <w:tcW w:w="3140" w:type="dxa"/>
            <w:vAlign w:val="bottom"/>
          </w:tcPr>
          <w:p>
            <w:pPr>
              <w:spacing w:after="0"/>
              <w:rPr>
                <w:sz w:val="2"/>
                <w:szCs w:val="2"/>
                <w:color w:val="auto"/>
              </w:rPr>
            </w:pPr>
          </w:p>
        </w:tc>
        <w:tc>
          <w:tcPr>
            <w:tcW w:w="2600" w:type="dxa"/>
            <w:vAlign w:val="bottom"/>
            <w:vMerge w:val="restart"/>
          </w:tcPr>
          <w:p>
            <w:pPr>
              <w:ind w:left="1380"/>
              <w:spacing w:after="0"/>
              <w:rPr>
                <w:sz w:val="20"/>
                <w:szCs w:val="20"/>
                <w:color w:val="auto"/>
              </w:rPr>
            </w:pPr>
            <w:r>
              <w:rPr>
                <w:rFonts w:ascii="Arial" w:cs="Arial" w:eastAsia="Arial" w:hAnsi="Arial"/>
                <w:sz w:val="16"/>
                <w:szCs w:val="16"/>
                <w:color w:val="auto"/>
              </w:rPr>
              <w:t>Name:</w:t>
            </w:r>
          </w:p>
        </w:tc>
        <w:tc>
          <w:tcPr>
            <w:tcW w:w="5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3140" w:type="dxa"/>
            <w:vAlign w:val="bottom"/>
          </w:tcPr>
          <w:p>
            <w:pPr>
              <w:spacing w:after="0"/>
              <w:rPr>
                <w:sz w:val="19"/>
                <w:szCs w:val="19"/>
                <w:color w:val="auto"/>
              </w:rPr>
            </w:pPr>
          </w:p>
        </w:tc>
        <w:tc>
          <w:tcPr>
            <w:tcW w:w="2600" w:type="dxa"/>
            <w:vAlign w:val="bottom"/>
            <w:vMerge w:val="continue"/>
          </w:tcPr>
          <w:p>
            <w:pPr>
              <w:spacing w:after="0"/>
              <w:rPr>
                <w:sz w:val="19"/>
                <w:szCs w:val="19"/>
                <w:color w:val="auto"/>
              </w:rPr>
            </w:pPr>
          </w:p>
        </w:tc>
        <w:tc>
          <w:tcPr>
            <w:tcW w:w="5380" w:type="dxa"/>
            <w:vAlign w:val="bottom"/>
          </w:tcPr>
          <w:p>
            <w:pPr>
              <w:jc w:val="center"/>
              <w:spacing w:after="0"/>
              <w:rPr>
                <w:sz w:val="20"/>
                <w:szCs w:val="20"/>
                <w:color w:val="auto"/>
              </w:rPr>
            </w:pPr>
            <w:r>
              <w:rPr>
                <w:rFonts w:ascii="Arial" w:cs="Arial" w:eastAsia="Arial" w:hAnsi="Arial"/>
                <w:sz w:val="16"/>
                <w:szCs w:val="16"/>
                <w:color w:val="auto"/>
              </w:rPr>
              <w:t>Nicholas B. Hawkins</w:t>
            </w:r>
          </w:p>
        </w:tc>
        <w:tc>
          <w:tcPr>
            <w:tcW w:w="0" w:type="dxa"/>
            <w:vAlign w:val="bottom"/>
          </w:tcPr>
          <w:p>
            <w:pPr>
              <w:spacing w:after="0"/>
              <w:rPr>
                <w:sz w:val="1"/>
                <w:szCs w:val="1"/>
                <w:color w:val="auto"/>
              </w:rPr>
            </w:pPr>
          </w:p>
        </w:tc>
      </w:tr>
      <w:tr>
        <w:trPr>
          <w:trHeight w:val="257"/>
        </w:trPr>
        <w:tc>
          <w:tcPr>
            <w:tcW w:w="3140" w:type="dxa"/>
            <w:vAlign w:val="bottom"/>
          </w:tcPr>
          <w:p>
            <w:pPr>
              <w:spacing w:after="0"/>
              <w:rPr>
                <w:sz w:val="22"/>
                <w:szCs w:val="22"/>
                <w:color w:val="auto"/>
              </w:rPr>
            </w:pPr>
          </w:p>
        </w:tc>
        <w:tc>
          <w:tcPr>
            <w:tcW w:w="2600" w:type="dxa"/>
            <w:vAlign w:val="bottom"/>
          </w:tcPr>
          <w:p>
            <w:pPr>
              <w:ind w:left="1380"/>
              <w:spacing w:after="0"/>
              <w:rPr>
                <w:sz w:val="20"/>
                <w:szCs w:val="20"/>
                <w:color w:val="auto"/>
              </w:rPr>
            </w:pPr>
            <w:r>
              <w:rPr>
                <w:rFonts w:ascii="Arial" w:cs="Arial" w:eastAsia="Arial" w:hAnsi="Arial"/>
                <w:sz w:val="16"/>
                <w:szCs w:val="16"/>
                <w:color w:val="auto"/>
              </w:rPr>
              <w:t>Title:</w:t>
            </w:r>
          </w:p>
        </w:tc>
        <w:tc>
          <w:tcPr>
            <w:tcW w:w="5380" w:type="dxa"/>
            <w:vAlign w:val="bottom"/>
          </w:tcPr>
          <w:p>
            <w:pPr>
              <w:jc w:val="center"/>
              <w:spacing w:after="0"/>
              <w:rPr>
                <w:sz w:val="20"/>
                <w:szCs w:val="20"/>
                <w:color w:val="auto"/>
              </w:rPr>
            </w:pPr>
            <w:r>
              <w:rPr>
                <w:rFonts w:ascii="Arial" w:cs="Arial" w:eastAsia="Arial" w:hAnsi="Arial"/>
                <w:sz w:val="16"/>
                <w:szCs w:val="16"/>
                <w:color w:val="auto"/>
              </w:rPr>
              <w:t>Vice President and Chief Financial Officer</w:t>
            </w:r>
          </w:p>
        </w:tc>
        <w:tc>
          <w:tcPr>
            <w:tcW w:w="0" w:type="dxa"/>
            <w:vAlign w:val="bottom"/>
          </w:tcPr>
          <w:p>
            <w:pPr>
              <w:spacing w:after="0"/>
              <w:rPr>
                <w:sz w:val="1"/>
                <w:szCs w:val="1"/>
                <w:color w:val="auto"/>
              </w:rPr>
            </w:pPr>
          </w:p>
        </w:tc>
      </w:tr>
      <w:tr>
        <w:trPr>
          <w:trHeight w:val="243"/>
        </w:trPr>
        <w:tc>
          <w:tcPr>
            <w:tcW w:w="3140" w:type="dxa"/>
            <w:vAlign w:val="bottom"/>
          </w:tcPr>
          <w:p>
            <w:pPr>
              <w:spacing w:after="0"/>
              <w:rPr>
                <w:sz w:val="21"/>
                <w:szCs w:val="21"/>
                <w:color w:val="auto"/>
              </w:rPr>
            </w:pPr>
          </w:p>
        </w:tc>
        <w:tc>
          <w:tcPr>
            <w:tcW w:w="2600" w:type="dxa"/>
            <w:vAlign w:val="bottom"/>
          </w:tcPr>
          <w:p>
            <w:pPr>
              <w:spacing w:after="0"/>
              <w:rPr>
                <w:sz w:val="21"/>
                <w:szCs w:val="21"/>
                <w:color w:val="auto"/>
              </w:rPr>
            </w:pPr>
          </w:p>
        </w:tc>
        <w:tc>
          <w:tcPr>
            <w:tcW w:w="5380" w:type="dxa"/>
            <w:vAlign w:val="bottom"/>
          </w:tcPr>
          <w:p>
            <w:pPr>
              <w:jc w:val="center"/>
              <w:spacing w:after="0"/>
              <w:rPr>
                <w:sz w:val="20"/>
                <w:szCs w:val="20"/>
                <w:color w:val="auto"/>
              </w:rPr>
            </w:pPr>
            <w:r>
              <w:rPr>
                <w:rFonts w:ascii="Arial" w:cs="Arial" w:eastAsia="Arial" w:hAnsi="Arial"/>
                <w:sz w:val="16"/>
                <w:szCs w:val="16"/>
                <w:i w:val="1"/>
                <w:iCs w:val="1"/>
                <w:color w:val="auto"/>
              </w:rPr>
              <w:t>(Principal Financial and Accounting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1"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This certification accompanies the Form 10-Q to which it relates, is not deemed filed with the Securities and Exchange Commission and is not to be incorporated by reference into any filing of the Company under the Securities Act of 1933, as amended, or the Exchange Act (whether made before or after the date of the Form 10-Q), irrespective of any general incorporation language contained in such filing.</w:t>
      </w:r>
    </w:p>
    <w:sectPr>
      <w:pgSz w:w="11900" w:h="16838" w:orient="portrait"/>
      <w:cols w:equalWidth="0" w:num="1">
        <w:col w:w="11240"/>
      </w:cols>
      <w:pgMar w:left="320" w:top="14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2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57130A3"/>
    <w:multiLevelType w:val="hybridMultilevel"/>
    <w:lvl w:ilvl="0">
      <w:lvlJc w:val="left"/>
      <w:lvlText w:val="x"/>
      <w:numFmt w:val="bullet"/>
      <w:start w:val="1"/>
    </w:lvl>
  </w:abstractNum>
  <w:abstractNum w:abstractNumId="1">
    <w:nsid w:val="62BBD95A"/>
    <w:multiLevelType w:val="hybridMultilevel"/>
    <w:lvl w:ilvl="0">
      <w:lvlJc w:val="left"/>
      <w:lvlText w:val="o"/>
      <w:numFmt w:val="bullet"/>
      <w:start w:val="1"/>
    </w:lvl>
  </w:abstractNum>
  <w:abstractNum w:abstractNumId="2">
    <w:nsid w:val="436C6125"/>
    <w:multiLevelType w:val="hybridMultilevel"/>
    <w:lvl w:ilvl="0">
      <w:lvlJc w:val="left"/>
      <w:lvlText w:val="%1."/>
      <w:numFmt w:val="decimal"/>
      <w:start w:val="1"/>
    </w:lvl>
  </w:abstractNum>
  <w:abstractNum w:abstractNumId="3">
    <w:nsid w:val="628C895D"/>
    <w:multiLevelType w:val="hybridMultilevel"/>
    <w:lvl w:ilvl="0">
      <w:lvlJc w:val="left"/>
      <w:lvlText w:val="%1."/>
      <w:numFmt w:val="decimal"/>
      <w:start w:val="2"/>
    </w:lvl>
  </w:abstractNum>
  <w:abstractNum w:abstractNumId="4">
    <w:nsid w:val="333AB105"/>
    <w:multiLevelType w:val="hybridMultilevel"/>
    <w:lvl w:ilvl="0">
      <w:lvlJc w:val="left"/>
      <w:lvlText w:val="%1."/>
      <w:numFmt w:val="decimal"/>
      <w:start w:val="3"/>
    </w:lvl>
  </w:abstractNum>
  <w:abstractNum w:abstractNumId="5">
    <w:nsid w:val="721DA317"/>
    <w:multiLevelType w:val="hybridMultilevel"/>
    <w:lvl w:ilvl="0">
      <w:lvlJc w:val="left"/>
      <w:lvlText w:val="%1."/>
      <w:numFmt w:val="decimal"/>
      <w:start w:val="4"/>
    </w:lvl>
  </w:abstractNum>
  <w:abstractNum w:abstractNumId="6">
    <w:nsid w:val="2443A858"/>
    <w:multiLevelType w:val="hybridMultilevel"/>
    <w:lvl w:ilvl="0">
      <w:lvlJc w:val="left"/>
      <w:lvlText w:val="%1."/>
      <w:numFmt w:val="decimal"/>
      <w:start w:val="5"/>
    </w:lvl>
  </w:abstractNum>
  <w:abstractNum w:abstractNumId="7">
    <w:nsid w:val="2D1D5AE9"/>
    <w:multiLevelType w:val="hybridMultilevel"/>
    <w:lvl w:ilvl="0">
      <w:lvlJc w:val="left"/>
      <w:lvlText w:val="%1."/>
      <w:numFmt w:val="decimal"/>
      <w:start w:val="6"/>
    </w:lvl>
  </w:abstractNum>
  <w:abstractNum w:abstractNumId="8">
    <w:nsid w:val="6763845E"/>
    <w:multiLevelType w:val="hybridMultilevel"/>
    <w:lvl w:ilvl="0">
      <w:lvlJc w:val="left"/>
      <w:lvlText w:val="%1."/>
      <w:numFmt w:val="decimal"/>
      <w:start w:val="7"/>
    </w:lvl>
  </w:abstractNum>
  <w:abstractNum w:abstractNumId="9">
    <w:nsid w:val="75A2A8D4"/>
    <w:multiLevelType w:val="hybridMultilevel"/>
    <w:lvl w:ilvl="0">
      <w:lvlJc w:val="left"/>
      <w:lvlText w:val="%1."/>
      <w:numFmt w:val="decimal"/>
      <w:start w:val="8"/>
    </w:lvl>
  </w:abstractNum>
  <w:abstractNum w:abstractNumId="10">
    <w:nsid w:val="8EDBDAB"/>
    <w:multiLevelType w:val="hybridMultilevel"/>
    <w:lvl w:ilvl="0">
      <w:lvlJc w:val="left"/>
      <w:lvlText w:val="%1."/>
      <w:numFmt w:val="decimal"/>
      <w:start w:val="9"/>
    </w:lvl>
  </w:abstractNum>
  <w:abstractNum w:abstractNumId="11">
    <w:nsid w:val="79838CB2"/>
    <w:multiLevelType w:val="hybridMultilevel"/>
    <w:lvl w:ilvl="0">
      <w:lvlJc w:val="left"/>
      <w:lvlText w:val="%1."/>
      <w:numFmt w:val="decimal"/>
      <w:start w:val="10"/>
    </w:lvl>
  </w:abstractNum>
  <w:abstractNum w:abstractNumId="12">
    <w:nsid w:val="4353D0CD"/>
    <w:multiLevelType w:val="hybridMultilevel"/>
    <w:lvl w:ilvl="0">
      <w:lvlJc w:val="left"/>
      <w:lvlText w:val="%1."/>
      <w:numFmt w:val="decimal"/>
      <w:start w:val="11"/>
    </w:lvl>
  </w:abstractNum>
  <w:abstractNum w:abstractNumId="13">
    <w:nsid w:val="B03E0C6"/>
    <w:multiLevelType w:val="hybridMultilevel"/>
    <w:lvl w:ilvl="0">
      <w:lvlJc w:val="left"/>
      <w:lvlText w:val="■"/>
      <w:numFmt w:val="bullet"/>
      <w:start w:val="1"/>
    </w:lvl>
  </w:abstractNum>
  <w:abstractNum w:abstractNumId="14">
    <w:nsid w:val="189A769B"/>
    <w:multiLevelType w:val="hybridMultilevel"/>
    <w:lvl w:ilvl="0">
      <w:lvlJc w:val="left"/>
      <w:lvlText w:val="■"/>
      <w:numFmt w:val="bullet"/>
      <w:start w:val="1"/>
    </w:lvl>
  </w:abstractNum>
  <w:abstractNum w:abstractNumId="15">
    <w:nsid w:val="54E49EB4"/>
    <w:multiLevelType w:val="hybridMultilevel"/>
    <w:lvl w:ilvl="0">
      <w:lvlJc w:val="left"/>
      <w:lvlText w:val="■"/>
      <w:numFmt w:val="bullet"/>
      <w:start w:val="1"/>
    </w:lvl>
  </w:abstractNum>
  <w:abstractNum w:abstractNumId="16">
    <w:nsid w:val="71F32454"/>
    <w:multiLevelType w:val="hybridMultilevel"/>
    <w:lvl w:ilvl="0">
      <w:lvlJc w:val="left"/>
      <w:lvlText w:val="■"/>
      <w:numFmt w:val="bullet"/>
      <w:start w:val="1"/>
    </w:lvl>
  </w:abstractNum>
  <w:abstractNum w:abstractNumId="17">
    <w:nsid w:val="2CA88611"/>
    <w:multiLevelType w:val="hybridMultilevel"/>
    <w:lvl w:ilvl="0">
      <w:lvlJc w:val="left"/>
      <w:lvlText w:val="■"/>
      <w:numFmt w:val="bullet"/>
      <w:start w:val="1"/>
    </w:lvl>
  </w:abstractNum>
  <w:abstractNum w:abstractNumId="18">
    <w:nsid w:val="836C40E"/>
    <w:multiLevelType w:val="hybridMultilevel"/>
    <w:lvl w:ilvl="0">
      <w:lvlJc w:val="left"/>
      <w:lvlText w:val="■"/>
      <w:numFmt w:val="bullet"/>
      <w:start w:val="1"/>
    </w:lvl>
  </w:abstractNum>
  <w:abstractNum w:abstractNumId="19">
    <w:nsid w:val="2901D82"/>
    <w:multiLevelType w:val="hybridMultilevel"/>
    <w:lvl w:ilvl="0">
      <w:lvlJc w:val="left"/>
      <w:lvlText w:val="■"/>
      <w:numFmt w:val="bullet"/>
      <w:start w:val="1"/>
    </w:lvl>
  </w:abstractNum>
  <w:abstractNum w:abstractNumId="20">
    <w:nsid w:val="3A95F874"/>
    <w:multiLevelType w:val="hybridMultilevel"/>
    <w:lvl w:ilvl="0">
      <w:lvlJc w:val="left"/>
      <w:lvlText w:val="■"/>
      <w:numFmt w:val="bullet"/>
      <w:start w:val="1"/>
    </w:lvl>
  </w:abstractNum>
  <w:abstractNum w:abstractNumId="21">
    <w:nsid w:val="8138641"/>
    <w:multiLevelType w:val="hybridMultilevel"/>
    <w:lvl w:ilvl="0">
      <w:lvlJc w:val="left"/>
      <w:lvlText w:val="■"/>
      <w:numFmt w:val="bullet"/>
      <w:start w:val="1"/>
    </w:lvl>
  </w:abstractNum>
  <w:abstractNum w:abstractNumId="22">
    <w:nsid w:val="1E7FF521"/>
    <w:multiLevelType w:val="hybridMultilevel"/>
    <w:lvl w:ilvl="0">
      <w:lvlJc w:val="left"/>
      <w:lvlText w:val="■"/>
      <w:numFmt w:val="bullet"/>
      <w:start w:val="1"/>
    </w:lvl>
  </w:abstractNum>
  <w:abstractNum w:abstractNumId="23">
    <w:nsid w:val="7C3DBD3D"/>
    <w:multiLevelType w:val="hybridMultilevel"/>
    <w:lvl w:ilvl="0">
      <w:lvlJc w:val="left"/>
      <w:lvlText w:val="■"/>
      <w:numFmt w:val="bullet"/>
      <w:start w:val="1"/>
    </w:lvl>
  </w:abstractNum>
  <w:abstractNum w:abstractNumId="24">
    <w:nsid w:val="737B8DDC"/>
    <w:multiLevelType w:val="hybridMultilevel"/>
    <w:lvl w:ilvl="0">
      <w:lvlJc w:val="left"/>
      <w:lvlText w:val="■"/>
      <w:numFmt w:val="bullet"/>
      <w:start w:val="1"/>
    </w:lvl>
  </w:abstractNum>
  <w:abstractNum w:abstractNumId="25">
    <w:nsid w:val="6CEAF087"/>
    <w:multiLevelType w:val="hybridMultilevel"/>
    <w:lvl w:ilvl="0">
      <w:lvlJc w:val="left"/>
      <w:lvlText w:val="■"/>
      <w:numFmt w:val="bullet"/>
      <w:start w:val="1"/>
    </w:lvl>
  </w:abstractNum>
  <w:abstractNum w:abstractNumId="26">
    <w:nsid w:val="22221A70"/>
    <w:multiLevelType w:val="hybridMultilevel"/>
    <w:lvl w:ilvl="0">
      <w:lvlJc w:val="left"/>
      <w:lvlText w:val="■"/>
      <w:numFmt w:val="bullet"/>
      <w:start w:val="1"/>
    </w:lvl>
  </w:abstractNum>
  <w:abstractNum w:abstractNumId="27">
    <w:nsid w:val="4516DDE9"/>
    <w:multiLevelType w:val="hybridMultilevel"/>
    <w:lvl w:ilvl="0">
      <w:lvlJc w:val="left"/>
      <w:lvlText w:val="■"/>
      <w:numFmt w:val="bullet"/>
      <w:start w:val="1"/>
    </w:lvl>
  </w:abstractNum>
  <w:abstractNum w:abstractNumId="28">
    <w:nsid w:val="3006C83E"/>
    <w:multiLevelType w:val="hybridMultilevel"/>
    <w:lvl w:ilvl="0">
      <w:lvlJc w:val="left"/>
      <w:lvlText w:val="■"/>
      <w:numFmt w:val="bullet"/>
      <w:start w:val="1"/>
    </w:lvl>
  </w:abstractNum>
  <w:abstractNum w:abstractNumId="29">
    <w:nsid w:val="614FD4A1"/>
    <w:multiLevelType w:val="hybridMultilevel"/>
    <w:lvl w:ilvl="0">
      <w:lvlJc w:val="left"/>
      <w:lvlText w:val="■"/>
      <w:numFmt w:val="bullet"/>
      <w:start w:val="1"/>
    </w:lvl>
  </w:abstractNum>
  <w:abstractNum w:abstractNumId="30">
    <w:nsid w:val="419AC241"/>
    <w:multiLevelType w:val="hybridMultilevel"/>
    <w:lvl w:ilvl="0">
      <w:lvlJc w:val="left"/>
      <w:lvlText w:val="(%1)"/>
      <w:numFmt w:val="lowerRoman"/>
      <w:start w:val="2"/>
    </w:lvl>
  </w:abstractNum>
  <w:abstractNum w:abstractNumId="31">
    <w:nsid w:val="5577F8E1"/>
    <w:multiLevelType w:val="hybridMultilevel"/>
    <w:lvl w:ilvl="0">
      <w:lvlJc w:val="left"/>
      <w:lvlText w:val="■"/>
      <w:numFmt w:val="bullet"/>
      <w:start w:val="1"/>
    </w:lvl>
  </w:abstractNum>
  <w:abstractNum w:abstractNumId="32">
    <w:nsid w:val="440BADFC"/>
    <w:multiLevelType w:val="hybridMultilevel"/>
    <w:lvl w:ilvl="0">
      <w:lvlJc w:val="left"/>
      <w:lvlText w:val="■"/>
      <w:numFmt w:val="bullet"/>
      <w:start w:val="1"/>
    </w:lvl>
  </w:abstractNum>
  <w:abstractNum w:abstractNumId="33">
    <w:nsid w:val="5072367"/>
    <w:multiLevelType w:val="hybridMultilevel"/>
    <w:lvl w:ilvl="0">
      <w:lvlJc w:val="left"/>
      <w:lvlText w:val="*"/>
      <w:numFmt w:val="bullet"/>
      <w:start w:val="1"/>
    </w:lvl>
  </w:abstractNum>
  <w:abstractNum w:abstractNumId="34">
    <w:nsid w:val="3804823E"/>
    <w:multiLevelType w:val="hybridMultilevel"/>
    <w:lvl w:ilvl="0">
      <w:lvlJc w:val="left"/>
      <w:lvlText w:val="%1."/>
      <w:numFmt w:val="decimal"/>
      <w:start w:val="1"/>
    </w:lvl>
    <w:lvl w:ilvl="1">
      <w:lvlJc w:val="left"/>
      <w:lvlText w:val="(%2)"/>
      <w:numFmt w:val="lowerLetter"/>
      <w:start w:val="1"/>
    </w:lvl>
  </w:abstractNum>
  <w:abstractNum w:abstractNumId="35">
    <w:nsid w:val="77465F01"/>
    <w:multiLevelType w:val="hybridMultilevel"/>
    <w:lvl w:ilvl="0">
      <w:lvlJc w:val="left"/>
      <w:lvlText w:val="%1."/>
      <w:numFmt w:val="decimal"/>
      <w:start w:val="1"/>
    </w:lvl>
    <w:lvl w:ilvl="1">
      <w:lvlJc w:val="left"/>
      <w:lvlText w:val="(%2)"/>
      <w:numFmt w:val="lowerLetter"/>
      <w:start w:val="1"/>
    </w:lvl>
  </w:abstractNum>
  <w:abstractNum w:abstractNumId="36">
    <w:nsid w:val="7724C67E"/>
    <w:multiLevelType w:val="hybridMultilevel"/>
    <w:lvl w:ilvl="0">
      <w:lvlJc w:val="left"/>
      <w:lvlText w:val="(%1)"/>
      <w:numFmt w:val="decimal"/>
      <w:start w:val="1"/>
    </w:lvl>
  </w:abstractNum>
  <w:abstractNum w:abstractNumId="37">
    <w:nsid w:val="5C482A9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7" Type="http://schemas.openxmlformats.org/officeDocument/2006/relationships/image" Target="media/image77.png"/><Relationship Id="rId84" Type="http://schemas.openxmlformats.org/officeDocument/2006/relationships/hyperlink" Target="https://www.sec.gov/Archives/edgar/data/1667011/000119312521313553/d211035dex31.htm" TargetMode="External"/><Relationship Id="rId85" Type="http://schemas.openxmlformats.org/officeDocument/2006/relationships/hyperlink" Target="https://www.sec.gov/Archives/edgar/data/0001667011/000119312521313553/d211035dex32.htm" TargetMode="External"/><Relationship Id="rId86" Type="http://schemas.openxmlformats.org/officeDocument/2006/relationships/hyperlink" Target="https://www.sec.gov/Archives/edgar/data/1667011/000119312521300473/d52087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2024-11-05T16:18:37Z</dcterms:created>
  <dcterms:modified xsi:type="dcterms:W3CDTF">2024-11-05T16:18:37Z</dcterms:modified>
</cp:coreProperties>
</file>