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6" w:lineRule="exact"/>
        <w:rPr>
          <w:sz w:val="24"/>
          <w:szCs w:val="24"/>
          <w:color w:val="auto"/>
        </w:rPr>
      </w:pPr>
    </w:p>
    <w:p>
      <w:pPr>
        <w:ind w:left="540" w:hanging="343"/>
        <w:spacing w:after="0"/>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QUARTERLY REPORT PURSUANT TO SECTION 13 OR 15(d) OF THE SECURITIES EXCHANGE ACT OF 1934</w:t>
      </w:r>
    </w:p>
    <w:p>
      <w:pPr>
        <w:spacing w:after="0" w:line="30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71" w:lineRule="exact"/>
        <w:rPr>
          <w:sz w:val="24"/>
          <w:szCs w:val="24"/>
          <w:color w:val="auto"/>
        </w:rPr>
      </w:pPr>
    </w:p>
    <w:p>
      <w:pPr>
        <w:ind w:left="540" w:hanging="343"/>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transition period from to</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001-40960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Arteris,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ind w:left="1440"/>
        <w:spacing w:after="0" w:line="183" w:lineRule="auto"/>
        <w:tabs>
          <w:tab w:leader="none" w:pos="9400" w:val="left"/>
        </w:tabs>
        <w:rPr>
          <w:sz w:val="20"/>
          <w:szCs w:val="20"/>
          <w:color w:val="auto"/>
        </w:rPr>
      </w:pPr>
      <w:r>
        <w:rPr>
          <w:rFonts w:ascii="Arial" w:cs="Arial" w:eastAsia="Arial" w:hAnsi="Arial"/>
          <w:sz w:val="29"/>
          <w:szCs w:val="29"/>
          <w:b w:val="1"/>
          <w:bCs w:val="1"/>
          <w:color w:val="auto"/>
          <w:vertAlign w:val="subscript"/>
        </w:rPr>
        <w:t>Delaware</w:t>
      </w:r>
      <w:r>
        <w:rPr>
          <w:sz w:val="20"/>
          <w:szCs w:val="20"/>
          <w:color w:val="auto"/>
        </w:rPr>
        <w:tab/>
      </w:r>
      <w:r>
        <w:rPr>
          <w:rFonts w:ascii="Arial" w:cs="Arial" w:eastAsia="Arial" w:hAnsi="Arial"/>
          <w:sz w:val="14"/>
          <w:szCs w:val="14"/>
          <w:b w:val="1"/>
          <w:bCs w:val="1"/>
          <w:color w:val="auto"/>
        </w:rPr>
        <w:t>27-0117058</w:t>
      </w:r>
    </w:p>
    <w:p>
      <w:pPr>
        <w:spacing w:after="0" w:line="307" w:lineRule="exact"/>
        <w:rPr>
          <w:sz w:val="24"/>
          <w:szCs w:val="24"/>
          <w:color w:val="auto"/>
        </w:rPr>
      </w:pPr>
    </w:p>
    <w:p>
      <w:pPr>
        <w:ind w:left="340"/>
        <w:spacing w:after="0"/>
        <w:tabs>
          <w:tab w:leader="none" w:pos="9260" w:val="left"/>
        </w:tabs>
        <w:rPr>
          <w:sz w:val="20"/>
          <w:szCs w:val="20"/>
          <w:color w:val="auto"/>
        </w:rPr>
      </w:pPr>
      <w:r>
        <w:rPr>
          <w:rFonts w:ascii="Arial" w:cs="Arial" w:eastAsia="Arial" w:hAnsi="Arial"/>
          <w:sz w:val="14"/>
          <w:szCs w:val="14"/>
          <w:color w:val="auto"/>
        </w:rPr>
        <w:t>(State or other jurisdiction of incorporation or</w:t>
      </w:r>
      <w:r>
        <w:rPr>
          <w:sz w:val="20"/>
          <w:szCs w:val="20"/>
          <w:color w:val="auto"/>
        </w:rPr>
        <w:tab/>
      </w:r>
      <w:r>
        <w:rPr>
          <w:rFonts w:ascii="Arial" w:cs="Arial" w:eastAsia="Arial" w:hAnsi="Arial"/>
          <w:sz w:val="14"/>
          <w:szCs w:val="14"/>
          <w:color w:val="auto"/>
        </w:rPr>
        <w:t>(I.R.S. Employer</w:t>
      </w:r>
    </w:p>
    <w:p>
      <w:pPr>
        <w:ind w:left="1340"/>
        <w:spacing w:after="0" w:line="180" w:lineRule="auto"/>
        <w:tabs>
          <w:tab w:leader="none" w:pos="9220" w:val="left"/>
        </w:tabs>
        <w:rPr>
          <w:sz w:val="20"/>
          <w:szCs w:val="20"/>
          <w:color w:val="auto"/>
        </w:rPr>
      </w:pPr>
      <w:r>
        <w:rPr>
          <w:rFonts w:ascii="Arial" w:cs="Arial" w:eastAsia="Arial" w:hAnsi="Arial"/>
          <w:sz w:val="20"/>
          <w:szCs w:val="20"/>
          <w:color w:val="auto"/>
          <w:vertAlign w:val="superscript"/>
        </w:rPr>
        <w:t>organization)</w:t>
      </w:r>
      <w:r>
        <w:rPr>
          <w:sz w:val="20"/>
          <w:szCs w:val="20"/>
          <w:color w:val="auto"/>
        </w:rPr>
        <w:tab/>
      </w:r>
      <w:r>
        <w:rPr>
          <w:rFonts w:ascii="Arial" w:cs="Arial" w:eastAsia="Arial" w:hAnsi="Arial"/>
          <w:sz w:val="12"/>
          <w:szCs w:val="12"/>
          <w:color w:val="auto"/>
        </w:rPr>
        <w:t>Identification No.)</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595 Millich Dr. Suite 200</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Campbell, CA 95008</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(408) 470-7300</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66"/>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Class A 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264" w:lineRule="exact"/>
        <w:rPr>
          <w:sz w:val="24"/>
          <w:szCs w:val="24"/>
          <w:color w:val="auto"/>
        </w:rPr>
      </w:pPr>
    </w:p>
    <w:p>
      <w:pPr>
        <w:ind w:right="360"/>
        <w:spacing w:after="0" w:line="24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71" w:lineRule="exact"/>
        <w:rPr>
          <w:sz w:val="24"/>
          <w:szCs w:val="24"/>
          <w:color w:val="auto"/>
        </w:rPr>
      </w:pPr>
    </w:p>
    <w:p>
      <w:pPr>
        <w:ind w:right="160"/>
        <w:spacing w:after="0" w:line="24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1" w:lineRule="exact"/>
        <w:rPr>
          <w:sz w:val="24"/>
          <w:szCs w:val="24"/>
          <w:color w:val="auto"/>
        </w:rPr>
      </w:pPr>
    </w:p>
    <w:p>
      <w:pPr>
        <w:ind w:right="4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47" w:right="319" w:bottom="1440" w:gutter="0" w:footer="0" w:header="0"/>
        </w:sectPr>
      </w:pPr>
    </w:p>
    <w:p>
      <w:pPr>
        <w:spacing w:after="0" w:line="225"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12"/>
          <w:szCs w:val="12"/>
          <w:color w:val="auto"/>
        </w:rPr>
        <w:t>Accelerated filer</w:t>
      </w:r>
    </w:p>
    <w:p>
      <w:pPr>
        <w:spacing w:after="0" w:line="121"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Smaller reporting company</w:t>
      </w:r>
    </w:p>
    <w:p>
      <w:pPr>
        <w:spacing w:after="0" w:line="229" w:lineRule="exact"/>
        <w:rPr>
          <w:sz w:val="24"/>
          <w:szCs w:val="24"/>
          <w:color w:val="auto"/>
        </w:rPr>
      </w:pPr>
    </w:p>
    <w:p>
      <w:pPr>
        <w:ind w:left="7220"/>
        <w:spacing w:after="0"/>
        <w:rPr>
          <w:sz w:val="20"/>
          <w:szCs w:val="20"/>
          <w:color w:val="auto"/>
        </w:rPr>
      </w:pPr>
      <w:r>
        <w:rPr>
          <w:rFonts w:ascii="Arial" w:cs="Arial" w:eastAsia="Arial" w:hAnsi="Arial"/>
          <w:sz w:val="13"/>
          <w:szCs w:val="13"/>
          <w:color w:val="auto"/>
        </w:rPr>
        <w:t>Emerging growth company</w:t>
      </w:r>
    </w:p>
    <w:p>
      <w:pPr>
        <w:spacing w:after="0" w:line="391"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1" w:lineRule="exact"/>
        <w:rPr>
          <w:sz w:val="24"/>
          <w:szCs w:val="24"/>
          <w:color w:val="auto"/>
        </w:rPr>
      </w:pPr>
    </w:p>
    <w:p>
      <w:pPr>
        <w:spacing w:after="0"/>
        <w:tabs>
          <w:tab w:leader="none" w:pos="5840" w:val="left"/>
          <w:tab w:leader="none" w:pos="63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Yes  o</w:t>
        <w:tab/>
        <w:t>No x</w:t>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As of November 26, 2021, there were 31,254,895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50"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pacing w:after="0" w:line="240"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10800" w:space="360"/>
            <w:col w:w="100"/>
          </w:cols>
          <w:pgMar w:left="32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Page</w:t>
            </w:r>
          </w:p>
        </w:tc>
      </w:tr>
      <w:tr>
        <w:trPr>
          <w:trHeight w:val="174"/>
        </w:trPr>
        <w:tc>
          <w:tcPr>
            <w:tcW w:w="10300" w:type="dxa"/>
            <w:vAlign w:val="bottom"/>
            <w:gridSpan w:val="21"/>
          </w:tcPr>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Part I. Financial Information</w:t>
              </w:r>
            </w:hyperlink>
          </w:p>
        </w:tc>
        <w:tc>
          <w:tcPr>
            <w:tcW w:w="900" w:type="dxa"/>
            <w:vAlign w:val="bottom"/>
          </w:tcPr>
          <w:p>
            <w:pPr>
              <w:jc w:val="right"/>
              <w:spacing w:after="0"/>
              <w:rPr>
                <w:rFonts w:ascii="Arial" w:cs="Arial" w:eastAsia="Arial" w:hAnsi="Arial"/>
                <w:sz w:val="14"/>
                <w:szCs w:val="14"/>
                <w:color w:val="auto"/>
              </w:rPr>
            </w:pPr>
            <w:hyperlink w:anchor="page2">
              <w:r>
                <w:rPr>
                  <w:rFonts w:ascii="Arial" w:cs="Arial" w:eastAsia="Arial" w:hAnsi="Arial"/>
                  <w:sz w:val="14"/>
                  <w:szCs w:val="14"/>
                  <w:color w:val="auto"/>
                </w:rPr>
                <w:t>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Item 1.</w:t>
              </w:r>
            </w:hyperlink>
          </w:p>
        </w:tc>
        <w:tc>
          <w:tcPr>
            <w:tcW w:w="9600" w:type="dxa"/>
            <w:vAlign w:val="bottom"/>
            <w:gridSpan w:val="18"/>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Financial Statements (unaudited)</w:t>
              </w:r>
            </w:hyperlink>
          </w:p>
        </w:tc>
        <w:tc>
          <w:tcPr>
            <w:tcW w:w="90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0" w:type="dxa"/>
            <w:vAlign w:val="bottom"/>
            <w:gridSpan w:val="18"/>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Condensed Consolidated Balance Sheets as of September 30, 2021 and December 31, 2020</w:t>
              </w:r>
            </w:hyperlink>
          </w:p>
        </w:tc>
        <w:tc>
          <w:tcPr>
            <w:tcW w:w="90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3</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980" w:type="dxa"/>
            <w:vAlign w:val="bottom"/>
            <w:tcBorders>
              <w:bottom w:val="single" w:sz="8" w:color="0000FF"/>
            </w:tcBorders>
            <w:gridSpan w:val="16"/>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Condensed Consolidated Statements of Loss and Comprehensive Loss for the Three and Nine Months Ended September 30, 2021 and 2020</w:t>
              </w:r>
            </w:hyperlink>
          </w:p>
        </w:tc>
        <w:tc>
          <w:tcPr>
            <w:tcW w:w="620" w:type="dxa"/>
            <w:vAlign w:val="bottom"/>
            <w:gridSpan w:val="2"/>
          </w:tcPr>
          <w:p>
            <w:pPr>
              <w:spacing w:after="0"/>
              <w:rPr>
                <w:sz w:val="15"/>
                <w:szCs w:val="15"/>
                <w:color w:val="auto"/>
              </w:rPr>
            </w:pPr>
          </w:p>
        </w:tc>
        <w:tc>
          <w:tcPr>
            <w:tcW w:w="90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4</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0" w:type="dxa"/>
            <w:vAlign w:val="bottom"/>
            <w:gridSpan w:val="18"/>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Redeemable Convertible Preferred Stock and Stockholders' Deficit for the Three and Nine Months Ended</w:t>
              </w:r>
            </w:hyperlink>
          </w:p>
        </w:tc>
        <w:tc>
          <w:tcPr>
            <w:tcW w:w="90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5</w:t>
              </w:r>
            </w:hyperlink>
          </w:p>
        </w:tc>
      </w:tr>
      <w:tr>
        <w:trPr>
          <w:trHeight w:val="128"/>
        </w:trPr>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6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w:anchor="page4">
              <w:r>
                <w:rPr>
                  <w:rFonts w:ascii="Arial" w:cs="Arial" w:eastAsia="Arial" w:hAnsi="Arial"/>
                  <w:sz w:val="14"/>
                  <w:szCs w:val="14"/>
                  <w:color w:val="0000FF"/>
                </w:rPr>
                <w:t>September 30, 2021 and 2020</w:t>
              </w:r>
            </w:hyperlink>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60" w:type="dxa"/>
            <w:vAlign w:val="bottom"/>
            <w:tcBorders>
              <w:bottom w:val="single" w:sz="8" w:color="0000FF"/>
            </w:tcBorders>
            <w:gridSpan w:val="15"/>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Cash Flows for the Nine Months Ended September 30, 2021 and 2020</w:t>
              </w:r>
            </w:hyperlink>
          </w:p>
        </w:tc>
        <w:tc>
          <w:tcPr>
            <w:tcW w:w="2540" w:type="dxa"/>
            <w:vAlign w:val="bottom"/>
            <w:gridSpan w:val="3"/>
          </w:tcPr>
          <w:p>
            <w:pPr>
              <w:spacing w:after="0"/>
              <w:rPr>
                <w:sz w:val="15"/>
                <w:szCs w:val="15"/>
                <w:color w:val="auto"/>
              </w:rPr>
            </w:pPr>
          </w:p>
        </w:tc>
        <w:tc>
          <w:tcPr>
            <w:tcW w:w="90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7</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Borders>
              <w:bottom w:val="single" w:sz="8" w:color="0000FF"/>
            </w:tcBorders>
            <w:gridSpan w:val="10"/>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Notes to Condensed Consolidated Financial Statements</w:t>
              </w:r>
            </w:hyperlink>
          </w:p>
        </w:tc>
        <w:tc>
          <w:tcPr>
            <w:tcW w:w="6040" w:type="dxa"/>
            <w:vAlign w:val="bottom"/>
            <w:gridSpan w:val="8"/>
          </w:tcPr>
          <w:p>
            <w:pPr>
              <w:spacing w:after="0"/>
              <w:rPr>
                <w:sz w:val="15"/>
                <w:szCs w:val="15"/>
                <w:color w:val="auto"/>
              </w:rPr>
            </w:pPr>
          </w:p>
        </w:tc>
        <w:tc>
          <w:tcPr>
            <w:tcW w:w="900" w:type="dxa"/>
            <w:vAlign w:val="bottom"/>
          </w:tcPr>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8</w:t>
              </w:r>
            </w:hyperlink>
          </w:p>
        </w:tc>
      </w:tr>
      <w:tr>
        <w:trPr>
          <w:trHeight w:val="183"/>
        </w:trPr>
        <w:tc>
          <w:tcPr>
            <w:tcW w:w="700" w:type="dxa"/>
            <w:vAlign w:val="bottom"/>
            <w:gridSpan w:val="3"/>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2.</w:t>
              </w:r>
            </w:hyperlink>
          </w:p>
        </w:tc>
        <w:tc>
          <w:tcPr>
            <w:tcW w:w="9600" w:type="dxa"/>
            <w:vAlign w:val="bottom"/>
            <w:gridSpan w:val="18"/>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26</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Item 3.</w:t>
              </w:r>
            </w:hyperlink>
          </w:p>
        </w:tc>
        <w:tc>
          <w:tcPr>
            <w:tcW w:w="9600" w:type="dxa"/>
            <w:vAlign w:val="bottom"/>
            <w:gridSpan w:val="18"/>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Quantitative and Qualitative Disclosures About Market Risk</w:t>
              </w:r>
            </w:hyperlink>
          </w:p>
        </w:tc>
        <w:tc>
          <w:tcPr>
            <w:tcW w:w="900" w:type="dxa"/>
            <w:vAlign w:val="bottom"/>
          </w:tcPr>
          <w:p>
            <w:pPr>
              <w:jc w:val="right"/>
              <w:spacing w:after="0"/>
              <w:rPr>
                <w:rFonts w:ascii="Arial" w:cs="Arial" w:eastAsia="Arial" w:hAnsi="Arial"/>
                <w:sz w:val="14"/>
                <w:szCs w:val="14"/>
                <w:color w:val="auto"/>
              </w:rPr>
            </w:pPr>
            <w:hyperlink w:anchor="page41">
              <w:r>
                <w:rPr>
                  <w:rFonts w:ascii="Arial" w:cs="Arial" w:eastAsia="Arial" w:hAnsi="Arial"/>
                  <w:sz w:val="14"/>
                  <w:szCs w:val="14"/>
                  <w:color w:val="auto"/>
                </w:rPr>
                <w:t>41</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Item 4.</w:t>
              </w:r>
            </w:hyperlink>
          </w:p>
        </w:tc>
        <w:tc>
          <w:tcPr>
            <w:tcW w:w="9600" w:type="dxa"/>
            <w:vAlign w:val="bottom"/>
            <w:gridSpan w:val="18"/>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Controls and Procedures</w:t>
              </w:r>
            </w:hyperlink>
          </w:p>
        </w:tc>
        <w:tc>
          <w:tcPr>
            <w:tcW w:w="900" w:type="dxa"/>
            <w:vAlign w:val="bottom"/>
          </w:tcPr>
          <w:p>
            <w:pPr>
              <w:jc w:val="right"/>
              <w:spacing w:after="0"/>
              <w:rPr>
                <w:rFonts w:ascii="Arial" w:cs="Arial" w:eastAsia="Arial" w:hAnsi="Arial"/>
                <w:sz w:val="14"/>
                <w:szCs w:val="14"/>
                <w:color w:val="auto"/>
              </w:rPr>
            </w:pPr>
            <w:hyperlink w:anchor="page41">
              <w:r>
                <w:rPr>
                  <w:rFonts w:ascii="Arial" w:cs="Arial" w:eastAsia="Arial" w:hAnsi="Arial"/>
                  <w:sz w:val="14"/>
                  <w:szCs w:val="14"/>
                  <w:color w:val="auto"/>
                </w:rPr>
                <w:t>41</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10300" w:type="dxa"/>
            <w:vAlign w:val="bottom"/>
            <w:gridSpan w:val="21"/>
          </w:tcPr>
          <w:p>
            <w:pPr>
              <w:spacing w:after="0"/>
              <w:rPr>
                <w:rFonts w:ascii="Arial" w:cs="Arial" w:eastAsia="Arial" w:hAnsi="Arial"/>
                <w:sz w:val="14"/>
                <w:szCs w:val="14"/>
                <w:b w:val="1"/>
                <w:bCs w:val="1"/>
                <w:color w:val="0000FF"/>
              </w:rPr>
            </w:pPr>
            <w:hyperlink w:anchor="page41">
              <w:r>
                <w:rPr>
                  <w:rFonts w:ascii="Arial" w:cs="Arial" w:eastAsia="Arial" w:hAnsi="Arial"/>
                  <w:sz w:val="14"/>
                  <w:szCs w:val="14"/>
                  <w:b w:val="1"/>
                  <w:bCs w:val="1"/>
                  <w:color w:val="0000FF"/>
                </w:rPr>
                <w:t>Part II. Other Information</w:t>
              </w:r>
            </w:hyperlink>
          </w:p>
        </w:tc>
        <w:tc>
          <w:tcPr>
            <w:tcW w:w="900" w:type="dxa"/>
            <w:vAlign w:val="bottom"/>
          </w:tcPr>
          <w:p>
            <w:pPr>
              <w:jc w:val="right"/>
              <w:spacing w:after="0"/>
              <w:rPr>
                <w:rFonts w:ascii="Arial" w:cs="Arial" w:eastAsia="Arial" w:hAnsi="Arial"/>
                <w:sz w:val="14"/>
                <w:szCs w:val="14"/>
                <w:color w:val="auto"/>
              </w:rPr>
            </w:pPr>
            <w:hyperlink w:anchor="page41">
              <w:r>
                <w:rPr>
                  <w:rFonts w:ascii="Arial" w:cs="Arial" w:eastAsia="Arial" w:hAnsi="Arial"/>
                  <w:sz w:val="14"/>
                  <w:szCs w:val="14"/>
                  <w:color w:val="auto"/>
                </w:rPr>
                <w:t>42</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Item 1.</w:t>
              </w:r>
            </w:hyperlink>
          </w:p>
        </w:tc>
        <w:tc>
          <w:tcPr>
            <w:tcW w:w="9600" w:type="dxa"/>
            <w:vAlign w:val="bottom"/>
            <w:gridSpan w:val="18"/>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Legal Proceedings</w:t>
              </w:r>
            </w:hyperlink>
          </w:p>
        </w:tc>
        <w:tc>
          <w:tcPr>
            <w:tcW w:w="90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Item 1A.</w:t>
              </w:r>
            </w:hyperlink>
          </w:p>
        </w:tc>
        <w:tc>
          <w:tcPr>
            <w:tcW w:w="9600" w:type="dxa"/>
            <w:vAlign w:val="bottom"/>
            <w:gridSpan w:val="18"/>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Risk Factors</w:t>
              </w:r>
            </w:hyperlink>
          </w:p>
        </w:tc>
        <w:tc>
          <w:tcPr>
            <w:tcW w:w="90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540" w:type="dxa"/>
            <w:vAlign w:val="bottom"/>
            <w:gridSpan w:val="2"/>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Item 2.</w:t>
              </w:r>
            </w:hyperlink>
          </w:p>
        </w:tc>
        <w:tc>
          <w:tcPr>
            <w:tcW w:w="160" w:type="dxa"/>
            <w:vAlign w:val="bottom"/>
          </w:tcPr>
          <w:p>
            <w:pPr>
              <w:spacing w:after="0"/>
              <w:rPr>
                <w:sz w:val="15"/>
                <w:szCs w:val="15"/>
                <w:color w:val="auto"/>
              </w:rPr>
            </w:pPr>
          </w:p>
        </w:tc>
        <w:tc>
          <w:tcPr>
            <w:tcW w:w="9600" w:type="dxa"/>
            <w:vAlign w:val="bottom"/>
            <w:gridSpan w:val="18"/>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Unregistered Sales of Equity Securities and Use of Proceeds</w:t>
              </w:r>
            </w:hyperlink>
          </w:p>
        </w:tc>
        <w:tc>
          <w:tcPr>
            <w:tcW w:w="90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Item 3.</w:t>
              </w:r>
            </w:hyperlink>
          </w:p>
        </w:tc>
        <w:tc>
          <w:tcPr>
            <w:tcW w:w="9600" w:type="dxa"/>
            <w:vAlign w:val="bottom"/>
            <w:gridSpan w:val="18"/>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Defaults Upon Senior Securities</w:t>
              </w:r>
            </w:hyperlink>
          </w:p>
        </w:tc>
        <w:tc>
          <w:tcPr>
            <w:tcW w:w="90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75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700" w:type="dxa"/>
            <w:vAlign w:val="bottom"/>
            <w:gridSpan w:val="3"/>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Item 4.</w:t>
              </w:r>
            </w:hyperlink>
          </w:p>
        </w:tc>
        <w:tc>
          <w:tcPr>
            <w:tcW w:w="9600" w:type="dxa"/>
            <w:vAlign w:val="bottom"/>
            <w:gridSpan w:val="18"/>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Mine Safety Disclosures</w:t>
              </w:r>
            </w:hyperlink>
          </w:p>
        </w:tc>
        <w:tc>
          <w:tcPr>
            <w:tcW w:w="90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Item 5.</w:t>
              </w:r>
            </w:hyperlink>
          </w:p>
        </w:tc>
        <w:tc>
          <w:tcPr>
            <w:tcW w:w="9600" w:type="dxa"/>
            <w:vAlign w:val="bottom"/>
            <w:gridSpan w:val="18"/>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Other Information</w:t>
              </w:r>
            </w:hyperlink>
          </w:p>
        </w:tc>
        <w:tc>
          <w:tcPr>
            <w:tcW w:w="900" w:type="dxa"/>
            <w:vAlign w:val="bottom"/>
          </w:tcPr>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43</w:t>
              </w:r>
            </w:hyperlink>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700" w:type="dxa"/>
            <w:vAlign w:val="bottom"/>
            <w:gridSpan w:val="3"/>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Item 6.</w:t>
              </w:r>
            </w:hyperlink>
          </w:p>
        </w:tc>
        <w:tc>
          <w:tcPr>
            <w:tcW w:w="9600" w:type="dxa"/>
            <w:vAlign w:val="bottom"/>
            <w:gridSpan w:val="18"/>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Exhibits</w:t>
              </w:r>
            </w:hyperlink>
          </w:p>
        </w:tc>
        <w:tc>
          <w:tcPr>
            <w:tcW w:w="900" w:type="dxa"/>
            <w:vAlign w:val="bottom"/>
          </w:tcPr>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44</w:t>
              </w:r>
            </w:hyperlink>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700" w:type="dxa"/>
            <w:vAlign w:val="bottom"/>
            <w:tcBorders>
              <w:bottom w:val="single" w:sz="8" w:color="0000FF"/>
            </w:tcBorders>
            <w:gridSpan w:val="3"/>
          </w:tcPr>
          <w:p>
            <w:pPr>
              <w:spacing w:after="0"/>
              <w:rPr>
                <w:rFonts w:ascii="Arial" w:cs="Arial" w:eastAsia="Arial" w:hAnsi="Arial"/>
                <w:sz w:val="14"/>
                <w:szCs w:val="14"/>
                <w:color w:val="0000FF"/>
                <w:w w:val="98"/>
              </w:rPr>
            </w:pPr>
            <w:hyperlink w:anchor="page45">
              <w:r>
                <w:rPr>
                  <w:rFonts w:ascii="Arial" w:cs="Arial" w:eastAsia="Arial" w:hAnsi="Arial"/>
                  <w:sz w:val="14"/>
                  <w:szCs w:val="14"/>
                  <w:color w:val="0000FF"/>
                  <w:w w:val="98"/>
                </w:rPr>
                <w:t>Signatures</w:t>
              </w:r>
            </w:hyperlink>
          </w:p>
        </w:tc>
        <w:tc>
          <w:tcPr>
            <w:tcW w:w="9600" w:type="dxa"/>
            <w:vAlign w:val="bottom"/>
            <w:gridSpan w:val="18"/>
          </w:tcPr>
          <w:p>
            <w:pPr>
              <w:spacing w:after="0"/>
              <w:rPr>
                <w:sz w:val="15"/>
                <w:szCs w:val="15"/>
                <w:color w:val="auto"/>
              </w:rPr>
            </w:pPr>
          </w:p>
        </w:tc>
        <w:tc>
          <w:tcPr>
            <w:tcW w:w="900" w:type="dxa"/>
            <w:vAlign w:val="bottom"/>
          </w:tcPr>
          <w:p>
            <w:pPr>
              <w:jc w:val="right"/>
              <w:spacing w:after="0"/>
              <w:rPr>
                <w:rFonts w:ascii="Arial" w:cs="Arial" w:eastAsia="Arial" w:hAnsi="Arial"/>
                <w:sz w:val="14"/>
                <w:szCs w:val="14"/>
                <w:color w:val="auto"/>
              </w:rPr>
            </w:pPr>
            <w:hyperlink w:anchor="page45">
              <w:r>
                <w:rPr>
                  <w:rFonts w:ascii="Arial" w:cs="Arial" w:eastAsia="Arial" w:hAnsi="Arial"/>
                  <w:sz w:val="14"/>
                  <w:szCs w:val="14"/>
                  <w:color w:val="auto"/>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34"/>
        </w:trPr>
        <w:tc>
          <w:tcPr>
            <w:tcW w:w="77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14,350</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83"/>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24,411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28,952</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42,736</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7,249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 current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23,707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17,894</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Term loan, current</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28,226</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15,014</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2,986</w:t>
            </w:r>
          </w:p>
        </w:tc>
        <w:tc>
          <w:tcPr>
            <w:tcW w:w="0" w:type="dxa"/>
            <w:vAlign w:val="bottom"/>
          </w:tcPr>
          <w:p>
            <w:pPr>
              <w:spacing w:after="0"/>
              <w:rPr>
                <w:sz w:val="1"/>
                <w:szCs w:val="1"/>
                <w:color w:val="auto"/>
              </w:rPr>
            </w:pPr>
          </w:p>
        </w:tc>
      </w:tr>
      <w:tr>
        <w:trPr>
          <w:trHeight w:val="183"/>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55,580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49,032</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Redeemable convertible preferred stock, par value of $0.001 - 4,471,316 shares authorized; 4,471,316 shares issued</w:t>
            </w: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7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and outstanding as of September 30, 2021 and December 31, 2020 (aggregate liquidation preference of $5,768 as of</w:t>
            </w:r>
          </w:p>
        </w:tc>
        <w:tc>
          <w:tcPr>
            <w:tcW w:w="14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September 30, 2021 and December 31, 2020)</w:t>
            </w:r>
          </w:p>
        </w:tc>
        <w:tc>
          <w:tcPr>
            <w:tcW w:w="1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par value of $0.001 - 36,525,154 and 31,525,154 shares authorized as of September 30, 2021 and</w:t>
            </w: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7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December 31, 2020; 20,607,851 and 18,486,989 shares issued and outstanding as of September 30, 2021 and</w:t>
            </w:r>
          </w:p>
        </w:tc>
        <w:tc>
          <w:tcPr>
            <w:tcW w:w="14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2020, respectively</w:t>
            </w:r>
          </w:p>
        </w:tc>
        <w:tc>
          <w:tcPr>
            <w:tcW w:w="1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(15,607)</w:t>
            </w: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deficit</w:t>
            </w: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(12,008)</w:t>
            </w:r>
          </w:p>
        </w:tc>
        <w:tc>
          <w:tcPr>
            <w:tcW w:w="0" w:type="dxa"/>
            <w:vAlign w:val="bottom"/>
          </w:tcPr>
          <w:p>
            <w:pPr>
              <w:spacing w:after="0"/>
              <w:rPr>
                <w:sz w:val="1"/>
                <w:szCs w:val="1"/>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42,736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Loss and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83"/>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29"/>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5980" w:type="dxa"/>
            <w:vAlign w:val="bottom"/>
          </w:tcPr>
          <w:p>
            <w:pPr>
              <w:ind w:left="140"/>
              <w:spacing w:after="0"/>
              <w:rPr>
                <w:sz w:val="20"/>
                <w:szCs w:val="20"/>
                <w:color w:val="auto"/>
              </w:rPr>
            </w:pPr>
            <w:r>
              <w:rPr>
                <w:rFonts w:ascii="Arial" w:cs="Arial" w:eastAsia="Arial" w:hAnsi="Arial"/>
                <w:sz w:val="14"/>
                <w:szCs w:val="14"/>
                <w:color w:val="auto"/>
              </w:rPr>
              <w:t>Licensing, support and maintenance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8,136</w:t>
            </w:r>
          </w:p>
        </w:tc>
        <w:tc>
          <w:tcPr>
            <w:tcW w:w="8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5,211</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24,353</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14,005</w:t>
            </w:r>
          </w:p>
        </w:tc>
      </w:tr>
      <w:tr>
        <w:trPr>
          <w:trHeight w:val="189"/>
        </w:trPr>
        <w:tc>
          <w:tcPr>
            <w:tcW w:w="5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royalties and other</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26,430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17,366</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w:t>
            </w:r>
          </w:p>
        </w:tc>
      </w:tr>
      <w:tr>
        <w:trPr>
          <w:trHeight w:val="18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8,076</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16,248</w:t>
            </w:r>
          </w:p>
        </w:tc>
      </w:tr>
      <w:tr>
        <w:trPr>
          <w:trHeight w:val="16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9"/>
        </w:trPr>
        <w:tc>
          <w:tcPr>
            <w:tcW w:w="59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7,609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20,572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11,842</w:t>
            </w:r>
          </w:p>
        </w:tc>
      </w:tr>
      <w:tr>
        <w:trPr>
          <w:trHeight w:val="189"/>
        </w:trPr>
        <w:tc>
          <w:tcPr>
            <w:tcW w:w="5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w:t>
            </w:r>
          </w:p>
        </w:tc>
      </w:tr>
      <w:tr>
        <w:trPr>
          <w:trHeight w:val="18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4,993</w:t>
            </w: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12,593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23,180</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(4,517)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(14,485)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(6,932)</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net</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82"/>
        </w:trPr>
        <w:tc>
          <w:tcPr>
            <w:tcW w:w="59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(7,043)</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3,793</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(3,844)</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(15,594)</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(10,836)</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0"/>
        </w:trPr>
        <w:tc>
          <w:tcPr>
            <w:tcW w:w="5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(0.79)</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(0.62)</w:t>
            </w:r>
          </w:p>
        </w:tc>
      </w:tr>
      <w:tr>
        <w:trPr>
          <w:trHeight w:val="122"/>
        </w:trPr>
        <w:tc>
          <w:tcPr>
            <w:tcW w:w="5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90"/>
        </w:trPr>
        <w:tc>
          <w:tcPr>
            <w:tcW w:w="5980" w:type="dxa"/>
            <w:vAlign w:val="bottom"/>
          </w:tcPr>
          <w:p>
            <w:pPr>
              <w:ind w:left="20"/>
              <w:spacing w:after="0"/>
              <w:rPr>
                <w:sz w:val="20"/>
                <w:szCs w:val="20"/>
                <w:color w:val="auto"/>
              </w:rPr>
            </w:pPr>
            <w:r>
              <w:rPr>
                <w:rFonts w:ascii="Arial" w:cs="Arial" w:eastAsia="Arial" w:hAnsi="Arial"/>
                <w:sz w:val="14"/>
                <w:szCs w:val="14"/>
                <w:color w:val="auto"/>
              </w:rPr>
              <w:t>Weighted average shares used in computing per share amounts, basic and diluted</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20,578,386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17,628,023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19,768,574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17,495,311</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ind w:left="680"/>
              <w:spacing w:after="0"/>
              <w:rPr>
                <w:sz w:val="20"/>
                <w:szCs w:val="20"/>
                <w:color w:val="auto"/>
              </w:rPr>
            </w:pPr>
            <w:r>
              <w:rPr>
                <w:rFonts w:ascii="Arial" w:cs="Arial" w:eastAsia="Arial" w:hAnsi="Arial"/>
                <w:sz w:val="13"/>
                <w:szCs w:val="13"/>
                <w:b w:val="1"/>
                <w:bCs w:val="1"/>
                <w:color w:val="auto"/>
              </w:rPr>
              <w:t>Three Months Ended September 30, 2021</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68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840" w:type="dxa"/>
            <w:vAlign w:val="bottom"/>
            <w:tcBorders>
              <w:bottom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20,525,254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(16,189)</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w w:val="97"/>
              </w:rPr>
              <w:t>Issuance of common stock for cash upon exercise of stock options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60,395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(4,968)</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3"/>
                <w:szCs w:val="13"/>
                <w:color w:val="auto"/>
              </w:rPr>
              <w:t>BALANCE—September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20,607,851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(31,201)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(20,693)</w:t>
            </w:r>
          </w:p>
        </w:tc>
        <w:tc>
          <w:tcPr>
            <w:tcW w:w="0" w:type="dxa"/>
            <w:vAlign w:val="bottom"/>
          </w:tcPr>
          <w:p>
            <w:pPr>
              <w:spacing w:after="0"/>
              <w:rPr>
                <w:sz w:val="1"/>
                <w:szCs w:val="1"/>
                <w:color w:val="auto"/>
              </w:rPr>
            </w:pPr>
          </w:p>
        </w:tc>
      </w:tr>
      <w:tr>
        <w:trPr>
          <w:trHeight w:val="501"/>
        </w:trPr>
        <w:tc>
          <w:tcPr>
            <w:tcW w:w="39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680"/>
              <w:spacing w:after="0"/>
              <w:rPr>
                <w:sz w:val="20"/>
                <w:szCs w:val="20"/>
                <w:color w:val="auto"/>
              </w:rPr>
            </w:pPr>
            <w:r>
              <w:rPr>
                <w:rFonts w:ascii="Arial" w:cs="Arial" w:eastAsia="Arial" w:hAnsi="Arial"/>
                <w:sz w:val="13"/>
                <w:szCs w:val="13"/>
                <w:b w:val="1"/>
                <w:bCs w:val="1"/>
                <w:color w:val="auto"/>
              </w:rPr>
              <w:t>Three Months Ended September 30, 2020</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68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840" w:type="dxa"/>
            <w:vAlign w:val="bottom"/>
            <w:tcBorders>
              <w:bottom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BALANCE—June 30, 2020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17,563,777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(16,160)</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w w:val="97"/>
              </w:rPr>
              <w:t>Issuance of common stock for cash upon exercise of stock options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37,062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39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3"/>
                <w:szCs w:val="13"/>
                <w:color w:val="auto"/>
              </w:rPr>
              <w:t>BALANCE—September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17,667,076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(23,183)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(19,873)</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ind w:left="720"/>
              <w:spacing w:after="0"/>
              <w:rPr>
                <w:sz w:val="20"/>
                <w:szCs w:val="20"/>
                <w:color w:val="auto"/>
              </w:rPr>
            </w:pPr>
            <w:r>
              <w:rPr>
                <w:rFonts w:ascii="Arial" w:cs="Arial" w:eastAsia="Arial" w:hAnsi="Arial"/>
                <w:sz w:val="13"/>
                <w:szCs w:val="13"/>
                <w:b w:val="1"/>
                <w:bCs w:val="1"/>
                <w:color w:val="auto"/>
              </w:rPr>
              <w:t>Nine Months Ended September 30, 2021</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68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840" w:type="dxa"/>
            <w:vAlign w:val="bottom"/>
            <w:tcBorders>
              <w:bottom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18,486,989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(15,607)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rPr>
              <w:t>Issuance of common stock</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5,437</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Issuance of common stock for cash upon exercise of stock options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38,533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169"/>
        </w:trPr>
        <w:tc>
          <w:tcPr>
            <w:tcW w:w="39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Arial" w:cs="Arial" w:eastAsia="Arial" w:hAnsi="Arial"/>
                <w:sz w:val="13"/>
                <w:szCs w:val="13"/>
                <w:color w:val="auto"/>
                <w:w w:val="99"/>
              </w:rPr>
              <w:t>(15,594)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(15,594)</w:t>
            </w:r>
          </w:p>
        </w:tc>
        <w:tc>
          <w:tcPr>
            <w:tcW w:w="0" w:type="dxa"/>
            <w:vAlign w:val="bottom"/>
          </w:tcPr>
          <w:p>
            <w:pPr>
              <w:spacing w:after="0"/>
              <w:rPr>
                <w:sz w:val="1"/>
                <w:szCs w:val="1"/>
                <w:color w:val="auto"/>
              </w:rPr>
            </w:pPr>
          </w:p>
        </w:tc>
      </w:tr>
      <w:tr>
        <w:trPr>
          <w:trHeight w:val="201"/>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20,607,851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center"/>
              <w:ind w:left="697"/>
              <w:spacing w:after="0"/>
              <w:rPr>
                <w:sz w:val="20"/>
                <w:szCs w:val="20"/>
                <w:color w:val="auto"/>
              </w:rPr>
            </w:pPr>
            <w:r>
              <w:rPr>
                <w:rFonts w:ascii="Arial" w:cs="Arial" w:eastAsia="Arial" w:hAnsi="Arial"/>
                <w:sz w:val="13"/>
                <w:szCs w:val="13"/>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w w:val="99"/>
              </w:rPr>
              <w:t>(31,201)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9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720"/>
              <w:spacing w:after="0"/>
              <w:rPr>
                <w:sz w:val="20"/>
                <w:szCs w:val="20"/>
                <w:color w:val="auto"/>
              </w:rPr>
            </w:pPr>
            <w:r>
              <w:rPr>
                <w:rFonts w:ascii="Arial" w:cs="Arial" w:eastAsia="Arial" w:hAnsi="Arial"/>
                <w:sz w:val="13"/>
                <w:szCs w:val="13"/>
                <w:b w:val="1"/>
                <w:bCs w:val="1"/>
                <w:color w:val="auto"/>
              </w:rPr>
              <w:t>Nine Months Ended September 30, 2020</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680" w:type="dxa"/>
            <w:vAlign w:val="bottom"/>
            <w:tcBorders>
              <w:right w:val="single" w:sz="8" w:color="auto"/>
            </w:tcBorders>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Redeemable Convertible</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Stockholders’ Deficit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840" w:type="dxa"/>
            <w:vAlign w:val="bottom"/>
            <w:tcBorders>
              <w:bottom w:val="single" w:sz="8" w:color="auto"/>
            </w:tcBorders>
            <w:gridSpan w:val="2"/>
          </w:tcPr>
          <w:p>
            <w:pPr>
              <w:ind w:left="180"/>
              <w:spacing w:after="0" w:line="14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gridSpan w:val="2"/>
          </w:tcPr>
          <w:p>
            <w:pPr>
              <w:ind w:left="20"/>
              <w:spacing w:after="0" w:line="146"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Loss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BALANCE—December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17,349,695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697"/>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(12,347)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(9,430)</w:t>
            </w:r>
          </w:p>
        </w:tc>
        <w:tc>
          <w:tcPr>
            <w:tcW w:w="0" w:type="dxa"/>
            <w:vAlign w:val="bottom"/>
          </w:tcPr>
          <w:p>
            <w:pPr>
              <w:spacing w:after="0"/>
              <w:rPr>
                <w:sz w:val="1"/>
                <w:szCs w:val="1"/>
                <w:color w:val="auto"/>
              </w:rPr>
            </w:pPr>
          </w:p>
        </w:tc>
      </w:tr>
      <w:tr>
        <w:trPr>
          <w:trHeight w:val="168"/>
        </w:trPr>
        <w:tc>
          <w:tcPr>
            <w:tcW w:w="3900" w:type="dxa"/>
            <w:vAlign w:val="bottom"/>
          </w:tcPr>
          <w:p>
            <w:pPr>
              <w:ind w:left="140"/>
              <w:spacing w:after="0"/>
              <w:rPr>
                <w:sz w:val="20"/>
                <w:szCs w:val="20"/>
                <w:color w:val="auto"/>
              </w:rPr>
            </w:pPr>
            <w:r>
              <w:rPr>
                <w:rFonts w:ascii="Arial" w:cs="Arial" w:eastAsia="Arial" w:hAnsi="Arial"/>
                <w:sz w:val="13"/>
                <w:szCs w:val="13"/>
                <w:color w:val="auto"/>
                <w:w w:val="97"/>
              </w:rPr>
              <w:t>Issuance of common stock for cash upon exercise of stock options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233,644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for settlement of restricted stock units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39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63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(10,836)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(10,836)</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3"/>
                <w:szCs w:val="13"/>
                <w:color w:val="auto"/>
              </w:rPr>
              <w:t>BALANCE—September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4,471,316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17,667,076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3,310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center"/>
              <w:ind w:left="69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color w:val="auto"/>
                <w:w w:val="99"/>
              </w:rPr>
              <w:t>(23,183)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(19,873)</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jc w:val="center"/>
        <w:ind w:left="77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6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(10,836)</w:t>
            </w:r>
          </w:p>
        </w:tc>
      </w:tr>
      <w:tr>
        <w:trPr>
          <w:trHeight w:val="189"/>
        </w:trPr>
        <w:tc>
          <w:tcPr>
            <w:tcW w:w="7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9"/>
        </w:trPr>
        <w:tc>
          <w:tcPr>
            <w:tcW w:w="7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658</w:t>
            </w:r>
          </w:p>
        </w:tc>
      </w:tr>
      <w:tr>
        <w:trPr>
          <w:trHeight w:val="189"/>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9"/>
        </w:trPr>
        <w:tc>
          <w:tcPr>
            <w:tcW w:w="7740" w:type="dxa"/>
            <w:vAlign w:val="bottom"/>
          </w:tcPr>
          <w:p>
            <w:pPr>
              <w:ind w:left="360"/>
              <w:spacing w:after="0"/>
              <w:rPr>
                <w:sz w:val="20"/>
                <w:szCs w:val="20"/>
                <w:color w:val="auto"/>
              </w:rPr>
            </w:pPr>
            <w:r>
              <w:rPr>
                <w:rFonts w:ascii="Arial" w:cs="Arial" w:eastAsia="Arial" w:hAnsi="Arial"/>
                <w:sz w:val="14"/>
                <w:szCs w:val="14"/>
                <w:color w:val="auto"/>
              </w:rPr>
              <w:t>Operating non-cash lease expense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189"/>
        </w:trPr>
        <w:tc>
          <w:tcPr>
            <w:tcW w:w="7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774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w:t>
            </w:r>
          </w:p>
        </w:tc>
      </w:tr>
      <w:tr>
        <w:trPr>
          <w:trHeight w:val="189"/>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9"/>
        </w:trPr>
        <w:tc>
          <w:tcPr>
            <w:tcW w:w="774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4,109</w:t>
            </w:r>
          </w:p>
        </w:tc>
      </w:tr>
      <w:tr>
        <w:trPr>
          <w:trHeight w:val="189"/>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Deferred revenue</w:t>
            </w: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2,678</w:t>
            </w:r>
          </w:p>
        </w:tc>
      </w:tr>
      <w:tr>
        <w:trPr>
          <w:trHeight w:val="183"/>
        </w:trPr>
        <w:tc>
          <w:tcPr>
            <w:tcW w:w="77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83"/>
        </w:trPr>
        <w:tc>
          <w:tcPr>
            <w:tcW w:w="77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r>
      <w:tr>
        <w:trPr>
          <w:trHeight w:val="16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PPP Loan</w:t>
            </w:r>
          </w:p>
        </w:tc>
        <w:tc>
          <w:tcPr>
            <w:tcW w:w="10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Payments of principal portion of Term loan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77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NET DECREASE IN CASH</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beginning of period</w:t>
            </w:r>
          </w:p>
        </w:tc>
        <w:tc>
          <w:tcPr>
            <w:tcW w:w="10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13,938</w:t>
            </w: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CASH, end of period</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5"/>
        </w:trPr>
        <w:tc>
          <w:tcPr>
            <w:tcW w:w="77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vendor financing</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Recognition of new right-of-use assets and lease liabilities for lease modification</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deferred offering costs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ARTERIS,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Korea and China.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 with customers, suppliers, service providers and stakeholders, as well as restrictions on business travel to domestic and international locations and to attend trade shows, technical conferences and other events.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estimated offering expenses. In connection with the IPO, all of the shares of the Company’s outstanding redeemable convertible preferred stock automatically converted into an aggregate of 4,471,316 shares of the common stock.</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offering costs consist primarily of accounting, legal and other fees related to the IPO. Prior to the IPO, all deferred offering costs were capitalized and included in other assets, non-current on the condensed consolidated balance sheets. Upon completion of the IPO, deferred offering costs were reclassified into stockholders’ equity as a reduction of the IPO proceeds.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2020 and the related notes included in the Company’s final prospectus dated October 26, 2021 that forms a part of the Company’s Registration Statement on Form S-1 (File No. 333-259988) that was filed with the U.S. Securities and Exchange Commission (“SEC”) pursuant to Rule 424(b)(4) on October 28, 2021 (“Final Prospectus”). The December 31, 2020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operating results for the three and nine months ended September 30, 2021 are not necessarily indicative of the results to be expected for the full year or any other future interim or annual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Arteris, Inc. and its wholly-owned subsidiaries. All inter-company transactions and accounts have been eliminated.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 as well as other accruals or reserves. Actual results could differ from those estimates and such differences may be material to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Financial instruments that potentially subject us to concentration of credit risk consist of cash and accounts receivable. The Company maintains cash in checking and savings deposits. Management believes no significant concentration risk exists with respect to cash as in management’s judgment the banks that hold the Company’s cash are financially stable. </w:t>
      </w:r>
      <w:r>
        <w:rPr>
          <w:rFonts w:ascii="Arial" w:cs="Arial" w:eastAsia="Arial" w:hAnsi="Arial"/>
          <w:sz w:val="17"/>
          <w:szCs w:val="17"/>
          <w:color w:val="auto"/>
        </w:rPr>
        <w:t>The Company deposits cash with high-credit-quality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financial institutions which, at times, may exceed federally insured amounts.</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Asia Pacific and the Americas regions.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53"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As of</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420" w:type="dxa"/>
            <w:vAlign w:val="bottom"/>
            <w:tcBorders>
              <w:top w:val="single" w:sz="8" w:color="auto"/>
            </w:tcBorders>
          </w:tcPr>
          <w:p>
            <w:pPr>
              <w:jc w:val="center"/>
              <w:ind w:left="308"/>
              <w:spacing w:after="0" w:line="142" w:lineRule="exact"/>
              <w:rPr>
                <w:sz w:val="20"/>
                <w:szCs w:val="20"/>
                <w:color w:val="auto"/>
              </w:rPr>
            </w:pPr>
            <w:r>
              <w:rPr>
                <w:rFonts w:ascii="Arial" w:cs="Arial" w:eastAsia="Arial" w:hAnsi="Arial"/>
                <w:sz w:val="14"/>
                <w:szCs w:val="14"/>
                <w:b w:val="1"/>
                <w:bCs w:val="1"/>
                <w:color w:val="auto"/>
              </w:rPr>
              <w:t>September 30,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75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8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90"/>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20 %</w:t>
            </w:r>
          </w:p>
        </w:tc>
      </w:tr>
    </w:tbl>
    <w:p>
      <w:pPr>
        <w:spacing w:after="0" w:line="31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 accounted for less than 10% of total accounts receivable at period end.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0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9"/>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Customer C</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29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Customer accounted for less than 10% of total revenue in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to the Company’s significant accounting policies disclosed during the nine months ended September 30, 2021 from those disclosed in the annual consolidated financial statements for the year ended December 31, 2020 and the related notes included in the Final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This Update removes certain exceptions for performing intraperiod tax allocations, recognizing deferred taxes for 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ASU 2019-12 on January 1, 2021 and the adoption had no material impact on the Company’s unaudited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in</w:t>
      </w:r>
      <w:r>
        <w:rPr>
          <w:rFonts w:ascii="Arial" w:cs="Arial" w:eastAsia="Arial" w:hAnsi="Arial"/>
          <w:sz w:val="18"/>
          <w:szCs w:val="18"/>
          <w:i w:val="1"/>
          <w:iCs w:val="1"/>
          <w:color w:val="auto"/>
        </w:rPr>
        <w:t xml:space="preserve"> May 2019 </w:t>
      </w:r>
      <w:r>
        <w:rPr>
          <w:rFonts w:ascii="Arial" w:cs="Arial" w:eastAsia="Arial" w:hAnsi="Arial"/>
          <w:sz w:val="18"/>
          <w:szCs w:val="18"/>
          <w:color w:val="auto"/>
        </w:rPr>
        <w:t>issued ASU</w:t>
      </w:r>
      <w:r>
        <w:rPr>
          <w:rFonts w:ascii="Arial" w:cs="Arial" w:eastAsia="Arial" w:hAnsi="Arial"/>
          <w:sz w:val="18"/>
          <w:szCs w:val="18"/>
          <w:i w:val="1"/>
          <w:iCs w:val="1"/>
          <w:color w:val="auto"/>
        </w:rPr>
        <w:t xml:space="preserve"> No. 2019</w:t>
      </w:r>
      <w:r>
        <w:rPr>
          <w:rFonts w:ascii="Arial" w:cs="Arial" w:eastAsia="Arial" w:hAnsi="Arial"/>
          <w:sz w:val="18"/>
          <w:szCs w:val="18"/>
          <w:color w:val="auto"/>
        </w:rPr>
        <w:t>-</w:t>
      </w:r>
      <w:r>
        <w:rPr>
          <w:rFonts w:ascii="Arial" w:cs="Arial" w:eastAsia="Arial" w:hAnsi="Arial"/>
          <w:sz w:val="18"/>
          <w:szCs w:val="18"/>
          <w:i w:val="1"/>
          <w:iCs w:val="1"/>
          <w:color w:val="auto"/>
        </w:rPr>
        <w:t xml:space="preserve">05, Credit Losses (Topic 326): Targeted Transition Relief </w:t>
      </w:r>
      <w:r>
        <w:rPr>
          <w:rFonts w:ascii="Arial" w:cs="Arial" w:eastAsia="Arial" w:hAnsi="Arial"/>
          <w:sz w:val="18"/>
          <w:szCs w:val="18"/>
          <w:color w:val="auto"/>
        </w:rPr>
        <w:t>(collectively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 “Topic </w:t>
      </w:r>
      <w:r>
        <w:rPr>
          <w:rFonts w:ascii="Arial" w:cs="Arial" w:eastAsia="Arial" w:hAnsi="Arial"/>
          <w:sz w:val="18"/>
          <w:szCs w:val="18"/>
          <w:i w:val="1"/>
          <w:iCs w:val="1"/>
          <w:color w:val="auto"/>
        </w:rPr>
        <w:t>326”</w:t>
      </w:r>
      <w:r>
        <w:rPr>
          <w:rFonts w:ascii="Arial" w:cs="Arial" w:eastAsia="Arial" w:hAnsi="Arial"/>
          <w:sz w:val="18"/>
          <w:szCs w:val="18"/>
          <w:color w:val="auto"/>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Retirement Benefits: Changes to the Disclosure Requirements for Defined Benefit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Postretirement Plan </w:t>
      </w:r>
      <w:r>
        <w:rPr>
          <w:rFonts w:ascii="Arial" w:cs="Arial" w:eastAsia="Arial" w:hAnsi="Arial"/>
          <w:sz w:val="18"/>
          <w:szCs w:val="18"/>
          <w:color w:val="auto"/>
        </w:rPr>
        <w:t>(Subtopic 715-20), that adds, removes, and clarifies disclosures requirements for defined benefit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This ASU will be effective for the Company for fiscal years ending after December 15, 2021, with early adoption permitted. The Company is currently evaluating the impact that the standard will have on its consolidated financial statements and related disclosures.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aligns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capitalizing implementation costs incurred in a hosting arrangement that is a service contract with the requirements for capitalizing implementation costs incurred to develop or obtain internal-use software. This ASU will be effective for the Company for fiscal years beginning after December 15, 2020, and all interim periods beginning after December 15, 2021. The Company is currently evaluating the impact that the standard will have on its consolidated financial statements and related disclosures.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 Contracts in Entity's Own Equity (Subtopic 815-40). </w:t>
      </w:r>
      <w:r>
        <w:rPr>
          <w:rFonts w:ascii="Arial" w:cs="Arial" w:eastAsia="Arial" w:hAnsi="Arial"/>
          <w:sz w:val="18"/>
          <w:szCs w:val="18"/>
          <w:color w:val="auto"/>
        </w:rPr>
        <w:t>The amendments in this ASU simplify the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characteristics of liabilities and equity, including convertible instruments and contracts in an entity’s own equity. Among other changes, the guidance removes the liability and equity separation models for convertible instruments. Instead, entities will account for convertible debt instruments wholly as debt unless convertible instruments contain features that require bifurcation as a derivative or that result in substantial premiums accounted for as paid-in capital. The guidance also requires the application of the if-converted method to calculate the impact of convertible instruments on diluted earnings per share. The guidance is effective for the Company for fiscal years beginning after December 15, 2023, with early adoption permitted for fiscal years beginning after December 15, 2020, and can be adopted on either a retrospective or modified retrospective basis. The Company is currently evaluating the impact that the standard will have on its consolidated financial statements and related disclosures.</w:t>
      </w:r>
    </w:p>
    <w:p>
      <w:pPr>
        <w:spacing w:after="0" w:line="18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75"/>
        </w:trPr>
        <w:tc>
          <w:tcPr>
            <w:tcW w:w="41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r>
      <w:tr>
        <w:trPr>
          <w:trHeight w:val="183"/>
        </w:trPr>
        <w:tc>
          <w:tcPr>
            <w:tcW w:w="4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14,005</w:t>
            </w: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2,679</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8,959</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6,429</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26,430</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17,366</w:t>
            </w:r>
          </w:p>
        </w:tc>
      </w:tr>
      <w:tr>
        <w:trPr>
          <w:trHeight w:val="20"/>
        </w:trPr>
        <w:tc>
          <w:tcPr>
            <w:tcW w:w="4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6"/>
        </w:trPr>
        <w:tc>
          <w:tcPr>
            <w:tcW w:w="7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14,350</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(32,908)</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revenue of $6.2 million and $5.0 million for the three months ended September 30, 2021 and 2020, respectively, and $14.7 million and $ 11.7 million for the nine months ended September 30, 2021 and 2020, respectively, that was included in the deferred revenue balance at the beginning of the respective periods.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Contracted but unsatisfied performance obligations were $41.3 million and $37.6 million as of September 30, 2021 and December 31, 2020, respectively, and included unearned revenue and non-cancelable Flexible Spending Account (“FSA”) Agreements from customers where actual product selection and quantities of specific products are to be determined by customers at a future period. FSA commitments amounted to $3.0 million and $4.7 million as of September 30, 2021 and December 31, 2020, respectively.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as of September 30, 2021 are $23.4 million, with the remainder recognized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rollforward of deferred revenue as of September 30, 2021 and December 31,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As of September 30,</w:t>
            </w:r>
          </w:p>
        </w:tc>
      </w:tr>
      <w:tr>
        <w:trPr>
          <w:trHeight w:val="175"/>
        </w:trPr>
        <w:tc>
          <w:tcPr>
            <w:tcW w:w="9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9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licensing, support and maintenance - balance as of December 31, 2020</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32,908</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6"/>
                <w:szCs w:val="16"/>
                <w:color w:val="auto"/>
              </w:rPr>
            </w:pPr>
          </w:p>
        </w:tc>
        <w:tc>
          <w:tcPr>
            <w:tcW w:w="1580" w:type="dxa"/>
            <w:vAlign w:val="bottom"/>
          </w:tcPr>
          <w:p>
            <w:pPr>
              <w:jc w:val="center"/>
              <w:ind w:left="948"/>
              <w:spacing w:after="0"/>
              <w:rPr>
                <w:sz w:val="20"/>
                <w:szCs w:val="20"/>
                <w:color w:val="auto"/>
              </w:rPr>
            </w:pPr>
            <w:r>
              <w:rPr>
                <w:rFonts w:ascii="Arial" w:cs="Arial" w:eastAsia="Arial" w:hAnsi="Arial"/>
                <w:sz w:val="14"/>
                <w:szCs w:val="14"/>
                <w:color w:val="auto"/>
              </w:rPr>
              <w:t>29,857</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recognized</w:t>
            </w:r>
          </w:p>
        </w:tc>
        <w:tc>
          <w:tcPr>
            <w:tcW w:w="1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center"/>
              <w:ind w:left="928"/>
              <w:spacing w:after="0"/>
              <w:rPr>
                <w:sz w:val="20"/>
                <w:szCs w:val="20"/>
                <w:color w:val="auto"/>
              </w:rPr>
            </w:pPr>
            <w:r>
              <w:rPr>
                <w:rFonts w:ascii="Arial" w:cs="Arial" w:eastAsia="Arial" w:hAnsi="Arial"/>
                <w:sz w:val="14"/>
                <w:szCs w:val="14"/>
                <w:color w:val="auto"/>
              </w:rPr>
              <w:t>(24,517)</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Deferred revenue licensing, support and maintenance - balance as of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center"/>
              <w:ind w:left="948"/>
              <w:spacing w:after="0"/>
              <w:rPr>
                <w:sz w:val="20"/>
                <w:szCs w:val="20"/>
                <w:color w:val="auto"/>
              </w:rPr>
            </w:pPr>
            <w:r>
              <w:rPr>
                <w:rFonts w:ascii="Arial" w:cs="Arial" w:eastAsia="Arial" w:hAnsi="Arial"/>
                <w:sz w:val="14"/>
                <w:szCs w:val="14"/>
                <w:color w:val="auto"/>
              </w:rPr>
              <w:t>38,248</w:t>
            </w:r>
          </w:p>
        </w:tc>
      </w:tr>
      <w:tr>
        <w:trPr>
          <w:trHeight w:val="20"/>
        </w:trPr>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88"/>
              <w:spacing w:after="0"/>
              <w:rPr>
                <w:sz w:val="20"/>
                <w:szCs w:val="20"/>
                <w:color w:val="auto"/>
              </w:rPr>
            </w:pPr>
            <w:r>
              <w:rPr>
                <w:rFonts w:ascii="Arial" w:cs="Arial" w:eastAsia="Arial" w:hAnsi="Arial"/>
                <w:sz w:val="14"/>
                <w:szCs w:val="14"/>
                <w:b w:val="1"/>
                <w:bCs w:val="1"/>
                <w:color w:val="auto"/>
              </w:rPr>
              <w:t>As of</w:t>
            </w:r>
          </w:p>
        </w:tc>
      </w:tr>
      <w:tr>
        <w:trPr>
          <w:trHeight w:val="175"/>
        </w:trPr>
        <w:tc>
          <w:tcPr>
            <w:tcW w:w="9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licensing, support and maintenance - beginning balance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23,116</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6"/>
                <w:szCs w:val="16"/>
                <w:color w:val="auto"/>
              </w:rPr>
            </w:pPr>
          </w:p>
        </w:tc>
        <w:tc>
          <w:tcPr>
            <w:tcW w:w="1560" w:type="dxa"/>
            <w:vAlign w:val="bottom"/>
          </w:tcPr>
          <w:p>
            <w:pPr>
              <w:jc w:val="center"/>
              <w:ind w:left="928"/>
              <w:spacing w:after="0"/>
              <w:rPr>
                <w:sz w:val="20"/>
                <w:szCs w:val="20"/>
                <w:color w:val="auto"/>
              </w:rPr>
            </w:pPr>
            <w:r>
              <w:rPr>
                <w:rFonts w:ascii="Arial" w:cs="Arial" w:eastAsia="Arial" w:hAnsi="Arial"/>
                <w:sz w:val="14"/>
                <w:szCs w:val="14"/>
                <w:color w:val="auto"/>
              </w:rPr>
              <w:t>37,200</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recognized</w:t>
            </w: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rPr>
              <w:t>(27,408)</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Deferred revenue licensing, support and maintenance - ending balance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rPr>
              <w:t>32,908</w:t>
            </w: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$0.7 million and $0.8 million for the three months ended September 30, 2021 and 2020, respectively, and $1.9 million and $2.7 million for the nine months ended September 30, 2021 and 2020, respectively, from performance obligations satisfied from sales-based royalties earned during the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7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commissions capitalized in prepaid expenses and other current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commissions capitalized in other assets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w:t>
            </w:r>
          </w:p>
        </w:tc>
      </w:tr>
      <w:tr>
        <w:trPr>
          <w:trHeight w:val="20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Amortization of capitalized sales commissions was $0.6 million and $0.3 million for the three months ended September 30, 2021 and 2020, respectively, and $1.5 million and $1.2 million for the nine months ended September 30, 2021 and 2020, respectively.</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Amortization of capitalized sales commissions are included in sales and marketing expense in the condensed consolidated statements of loss and comprehensive loss.</w:t>
      </w:r>
    </w:p>
    <w:p>
      <w:pPr>
        <w:spacing w:after="0" w:line="17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76"/>
        </w:trPr>
        <w:tc>
          <w:tcPr>
            <w:tcW w:w="4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r>
      <w:tr>
        <w:trPr>
          <w:trHeight w:val="183"/>
        </w:trPr>
        <w:tc>
          <w:tcPr>
            <w:tcW w:w="41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6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9"/>
        </w:trPr>
        <w:tc>
          <w:tcPr>
            <w:tcW w:w="4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(4,968)</w:t>
            </w:r>
          </w:p>
        </w:tc>
        <w:tc>
          <w:tcPr>
            <w:tcW w:w="10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(10,836)</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20,578,386</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17,628,023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19,768,574</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17,495,311</w:t>
            </w:r>
          </w:p>
        </w:tc>
      </w:tr>
      <w:tr>
        <w:trPr>
          <w:trHeight w:val="20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9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96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September 30,</w:t>
            </w: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5"/>
        </w:trPr>
        <w:tc>
          <w:tcPr>
            <w:tcW w:w="77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5,964,043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6,775,313</w:t>
            </w: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3,935,229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239,613</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4,471,316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4,471,316</w:t>
            </w:r>
          </w:p>
        </w:tc>
        <w:tc>
          <w:tcPr>
            <w:tcW w:w="0" w:type="dxa"/>
            <w:vAlign w:val="bottom"/>
          </w:tcPr>
          <w:p>
            <w:pPr>
              <w:spacing w:after="0"/>
              <w:rPr>
                <w:sz w:val="1"/>
                <w:szCs w:val="1"/>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14,370,588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11,486,242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non-financial assets, such as intangible assets and property, plant and equipment, are remeasured at fair value only if an impairment or observable price adjustment is recognized in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not recorded at fair value on a recurring basis include the term loan and vendor financing arrangements. The aggregate carrying value of the term loan and vendor financing agreements were $ 1.2 million and $1.9 million as of September 30, 2021 and December 31, 2020, respectively. The estimated fair values of these financial instruments approximate their carrying values and are categorized as Level 2 within the fair value hierarchy based on the nature of the fair value inputs.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borrowings under its term loan facility and vendor financing arrangements are classified within Level 2 because these borrowings are not actively traded and have a variable interest rate structure based upon market rates currently available to the Company for debt with similar terms and maturities.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6"/>
        </w:trPr>
        <w:tc>
          <w:tcPr>
            <w:tcW w:w="7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Trade name</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0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of intangible assets was $0.1 million and nil for the three months ended September 30, 2021 and 2020, respectively, and $0.4 million and nil for the nine months ended September 30,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2021 and December 31, 2020, goodwill was $2.7 million. No goodwill impairments were recorded during the three and nine months ended September 30, 2021 and 2020.</w:t>
      </w:r>
    </w:p>
    <w:p>
      <w:pPr>
        <w:spacing w:after="0" w:line="17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r>
      <w:tr>
        <w:trPr>
          <w:trHeight w:val="183"/>
        </w:trPr>
        <w:tc>
          <w:tcPr>
            <w:tcW w:w="4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8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0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weighted-average remaining term of the Company’s operating leases was 3.7 years and 4.4 years as of September 30, 2021 and December 31, 2020, respectively, and the weighted-average discount rate used to measure the present value of the operating lease liabilities was 7.5% as of both September 30, 2021 and December 31,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2021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1,105</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r>
      <w:tr>
        <w:trPr>
          <w:trHeight w:val="18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r>
      <w:tr>
        <w:trPr>
          <w:trHeight w:val="18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r>
      <w:tr>
        <w:trPr>
          <w:trHeight w:val="208"/>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18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r>
      <w:tr>
        <w:trPr>
          <w:trHeight w:val="208"/>
        </w:trPr>
        <w:tc>
          <w:tcPr>
            <w:tcW w:w="9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contractual noncancelable commitments.</w:t>
      </w:r>
    </w:p>
    <w:p>
      <w:pPr>
        <w:spacing w:after="0" w:line="203" w:lineRule="exact"/>
        <w:rPr>
          <w:sz w:val="20"/>
          <w:szCs w:val="20"/>
          <w:color w:val="auto"/>
        </w:rPr>
      </w:pPr>
    </w:p>
    <w:p>
      <w:pPr>
        <w:ind w:right="9600" w:firstLine="8"/>
        <w:spacing w:after="0" w:line="513" w:lineRule="auto"/>
        <w:tabs>
          <w:tab w:leader="none" w:pos="35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Term loans</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2018, the Company entered into a business financing agreement (“2018 Term Loan”) of $1.5 million with a bank with a maturity date of November 2021, and payable on a monthly basis of approximately $50 thousand with the beginning six months being interest only payments. The interest rate on the 2018 Term Loan is prime plus 2%. The debt issuance costs related to the 2018 Term Loan was approximately $26 thousand during the year ended December 31, 2018. Debt issuance costs were recorded as a direct reduction against the debt and amortized over the life of the associated debt as a component of interest expense using the effective interest method. Borrowings under the term loan are collateralized by substantially all the assets of the Company.</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2018 Term Loan, the Company is required to comply with certain financial and nonfinancial covenants. Any failure to comply with these covenants and any other obligations under the agreement could result in an event of default, which would allow the Lender to require accelerated repayments of amounts owed. As of September 30, 2021 and December 31, 2020, the Company was in compliance with the financial and non-financial covenants.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and December 31, 2020, the Company had $0.1 million and $0.6 million outstanding balance, net of debt issuance costs, under the 2018 Term Loan, of which nil was classified as long-term liabilities,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future repayments of the 2018 Term Loan as of September 30, 2021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8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Less: interest</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issuance cost</w:t>
            </w: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Term loan, net of interest and debt issuance cost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9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Revolving line of credit</w:t>
      </w:r>
      <w:r>
        <w:rPr>
          <w:rFonts w:ascii="Arial" w:cs="Arial" w:eastAsia="Arial" w:hAnsi="Arial"/>
          <w:sz w:val="18"/>
          <w:szCs w:val="18"/>
          <w:color w:val="auto"/>
        </w:rPr>
        <w:t>—The Company has a revolving line of credit, under the business financing agreement dated August 2015, with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for $1.5 million that matured in August 2018 and renewed in November 2018 for another three years with a maturity date of November 2021 for $2.0 million (“2018 Revolver”). The interest rate for the 2018 Revolver is prime plus 1%, and the 2018 Revolvers were not used as of both September 30, 2021 and December 31, 2020.</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7.5%, which is reflective of its collateralized borrowing rate with similar terms to that of the software licenses and equipment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8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712</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3"/>
        </w:trPr>
        <w:tc>
          <w:tcPr>
            <w:tcW w:w="9540" w:type="dxa"/>
            <w:vAlign w:val="bottom"/>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9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759</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3"/>
        </w:trPr>
        <w:tc>
          <w:tcPr>
            <w:tcW w:w="954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r>
      <w:tr>
        <w:trPr>
          <w:trHeight w:val="21"/>
        </w:trPr>
        <w:tc>
          <w:tcPr>
            <w:tcW w:w="9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from term loan and vendor financing arrangements was less than $0.1 million for the three months ended September 30, 2021 and 2020, and $0.1 million for the nine months ended September 30, 2021 and 2020.</w:t>
      </w:r>
    </w:p>
    <w:p>
      <w:pPr>
        <w:spacing w:after="0" w:line="17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enters into indemnification agreements in the ordinary course of business. Pursuant to these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indemnify, hold harmless, and reimburse the indemnified parties for losses suffered or incurred by such indemnified parties. The term of these indemnification agreements is generally perpetual beginning on the execution date of the agreement. The maximum potential amount of future payments the Company could be required to make under these agreements is not determinable. The Company has never incurred costs to defend lawsuits or settle claims related to these agreements. The Company has also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no obligations from these indemnification agreements and the condensed consolidated financial statements do not include liabilities for any potential obligations as of September 30, 2021 and December 31, 2020.</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—In the normal course of business, the Company may receive inquiries or become involved in legal disputes regarding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matters. Although claims are inherently unpredictable, the Company currently is not aware of any matters that may have a material adverse effect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contractual noncancelable commitments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AND COMMON STOCK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Redeemable Convertible Preferred Stock</w:t>
      </w:r>
      <w:r>
        <w:rPr>
          <w:rFonts w:ascii="Arial" w:cs="Arial" w:eastAsia="Arial" w:hAnsi="Arial"/>
          <w:sz w:val="18"/>
          <w:szCs w:val="18"/>
          <w:color w:val="auto"/>
        </w:rPr>
        <w:t>—The Company’s redeemable convertible preferred stock is issuable in series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Series A Preferred. The holders of redeemable convertible preferred stock have the following rights, preferences, privileges and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unless the holders of the Series A Preferred Stock then outstanding shall first receive, or simultaneously receive, a dividend on each outstanding share of Series A Preferred Stock in an amount at least equal to (i) in the case of a dividend on Common Stock or any class or series that is convertible into Common Stock, that dividend per share of Series A Preferred Stock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or (ii) in the case of a dividend on any class or series that is not convertible into Common Stock, at a rate per share of Series A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(as defined below); provided that, if the Company declares, pays or sets aside, on the same date, a dividend on shares of more than one class or series of capital stock of the Company, the dividend payable to the holders of Series A Preferred Stock shall be calculated based upon the dividend on the class or series of capital stock that would result in the highest Series A Preferred Stock dividend. The Series A Original Issue Price shall mean $1.29 per share, subject to appropriate adjustment in the event of any stock dividend, stock split, combination or other similar recapitalization with respect to the Series A Preferred Stock. The Company has not declared dividends for the nine months ended September 30, 2021 and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Preferential payments to holders of Series A preferred stock—In the event of any voluntary or involuntary liquidation, dissolution or winding up of the Company or Deemed Liquidation Event, the holders of shares of Series A Preferred Stock then outstanding shall be entitled to be paid out of the assets of the Company available for distribution to its stockholders before any payment shall be made to the holders of Common Stock by reason of their ownership thereof, an amount per share equal the Series A Original Issue Price ($1.29 per share), plus any dividends declared but unpaid thereon. If upon any such Liquidation Event or Deemed Liquidation Event, the assets of the Company available for distribution to its stockholders shall be insufficient to pay the holders of shares of Series A Preferred Stock the full amount to which they shall be to,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event of any Liquidation Event or Deemed Liquidation Event, after the payment of all preferential amounts required to be paid to the holders of shares of Series A Preferred Stock, the remaining assets of the Company available for distribution to its stockholders shall be distributed among the holders of the shares of Series A Preferred Stock and Common Stock, pro rata based on the number of shares held by each such holder, treating for this purpose all such securities as if they had been converted to Common Stock pursuant to the terms of this Restated Certificate immediately prior to such Liquidation Event or Deemed Liquidation Event until such holders of Series A Preferred Stock have received an aggregate amount per share of Series A Preferred Stock equal to two and a half (2.5) times the Series A Original Issue Price, plus any dividends declared but unpaid thereon; thereafter, the remaining assets of the Company available for distribution in such Liquidation Event or Deemed Liquidation Event, if any, shall be distributed ratably to the holders of the Common Stock.</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the foregoing, upon any Liquidation Event or Deemed Liquidation Event, each holder of Series A Preferred Stock shall be entitled to receive, for each share of Series A Preferred Stock then held, out of the assets of the Company available for distribution to its stockholders, the greater of (i) the amount of cash, securities or other property to which such holder would be entitled to receive with respect to such shares in a Liquidation Event or Deemed Liquidation Event pursuant to above or (ii) such amount per share as would have been payable had all shares of Series A Preferred Stock been converted into Common Stock immediately prior to such Liquidation Event or Deemed Liquidation Event.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any matter presented to the stockholders of the Company for their action or consideration at any meeting of stockholders of the Company, each holder of outstanding shares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 Except as provided by law or by the other provisions of this Restated Certificate, holders of Series A Preferred Stock shall vote together with the holders of Common Stock as a single class.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Conversion</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share of Series A Preferred Stock shall be convertible, at the option of the holder thereof, at any time, and without the payment of additional consideration by the holder thereof, into such number of Common Stock as is determined by dividing the Series A Original Issue Price by the Series A Conversion Price in effect at the time of conversion.</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Series A Conversion Price shall initially be equal to the Series A Original Issue Price. Such initial Series A Conversion Price, and the rate at which shares of Series A Preferred Stock may be converted into shares of Common Stock, shall be subject to adjustment for dilution related to the next qualified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either (a) the closing of the sale of shares of Common Stock to the public in a firm-commitment underwritten public offering pursuant to an effective registration statement under the Securities Act of 1933, as amended, in which (i) the cash proceeds to the Company (net of underwriting discounts, commissions and fees) are at least $25.0 million, (ii) the per share price is based on a pre-money valuation of at least $100.0 million, and (iii) the Company’s shares have been listed for trading on a national, international or transnational stock exchange (an IPO), or (b) the date and time, or the occurrence of an event, specified by vote or written consent of the Required Holders, then (1) all outstanding shares of Series A Preferred Stock shall automatically be converted into shares of Common Stock, at the then effective conversion rate and (2) such shares may not be reissued by the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Redeemed or Acquired Shares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shares of Series A Preferred Stock that are redeemed or otherwise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Stock following redemption.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redeemable convertible preferred stock with respect to dividend rights and rights upon liquidation, winding-up, and dissolution of the Company.</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nine months ended September 30, 2021, 1,250,000 shares of the Company’s common stock were sold to third-party investors for an aggregate amount of $5.4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repurchased shares for the three and nine months ended September 30, 2021 and 2020.</w:t>
      </w:r>
    </w:p>
    <w:p>
      <w:pPr>
        <w:spacing w:after="0" w:line="20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Stock Plan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adopted and the Company’s stockholders approved the 2013 Equity Incentive Plan (“2013 Plan”) during the year ended December 31,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 Each stock award granted before the Amendment and Restatement Dated will be subject to the terms of the plan that was in effect at the time of the grant of such stock award.</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2016 Plan is administered by the Board or its delegate. Subject to the provisions of the 2016 Plan, the administrator has the power to determine the terms of awards, including: the recipients, the exercise price, if any, the number of shares subject to each award, the fair value of a share of common stock, the vesting schedule applicable to the awards, together with any vesting acceleration, and the form of consideration, if any, payable upon exercise of the award and the terms of the award agreement for use under the 2016 Plan. The administrator has the power: to construe and interpret the 2016 Plan and stock awards granted under it and to establish, amend and revoke rules for administration of the 2016 Plan including correcting defects, omissions and inconsistencies to make the award fully effective; to settle all controversies regarding the 2016 Plan and stock awards granted under it; and to accelerate the time at which a stock award may be exercised or vest.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administrator has the authority to amend, suspend or terminate the 2016 Plan provided such action does not impair the existing rights of any participant. The 2016 Plan will automatically terminate in 2023, unless the Company terminates it sooner.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restricted stock awards, restricted stock unit awards and other stock awards. The number of shares authorized for award is 20,803,838 as of September 30, 2021.</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grants incentive stock options and non-statutory stock options under the 2016 Plan. Incentive stock options may be granted only to employees. The exercise price of all stock options under the 2016 Plan must not be less than 100% of the fair market value of the common stock on the date of grant. After the termination of service of a participant, he or she may exercise his or her option for the period of time stated in his or her award agreement to the extent that the option is vested on the date of termination. However, in no event may an option be exercised later than the expiration of its term. The maximum contractual term of share options is ten years from the date of grant.</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grants restricted stock units and restricted stock awards under the 2016 Plan. Restricted stock units and restricted stock awards under the 2016 Plan cover one share of common stock for each restricted stock unit or award. The administrator determines the terms and conditions of restricted stock units/awards including the number of units/awards granted, the vesting criteria (which may include accomplishing specified performance criteria or continued service) and the form and timing of payment. The administrator, in its sole discretion, may accelerate the time at which any restrictions will lapse or be removed.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2016 Plan, in the event of the termination of a participant’s employment, the Company has the right to repurchase any stock issued pursuant to the 2016 Plan following the date of such termination, for a period of six months, under terms specified in the exercise notice and subject to restrictions in the 2016 Plan. Shares exercised or settled from currently outstanding awards under the 2016 Plan are generally not transferable unless permitted by the Board so long as the Company is a private company. In the event of a proposed transfer to a third party of shares purchased by an employee that is permitted by the Board or the award agreement, the Company has a right of first refusal over such transfer.</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2016 Plan provides that in the event of a merger or change in control, as defined under the 2016 Plan, each outstanding award will be treated as the administrator determines, in its sole discretion.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under the Company’s 2016 Plan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0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42"/>
        </w:trPr>
        <w:tc>
          <w:tcPr>
            <w:tcW w:w="7740" w:type="dxa"/>
            <w:vAlign w:val="bottom"/>
          </w:tcPr>
          <w:p>
            <w:pPr>
              <w:spacing w:after="0"/>
              <w:rPr>
                <w:sz w:val="12"/>
                <w:szCs w:val="12"/>
                <w:color w:val="auto"/>
              </w:rPr>
            </w:pPr>
          </w:p>
        </w:tc>
        <w:tc>
          <w:tcPr>
            <w:tcW w:w="20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September 30,</w:t>
            </w:r>
          </w:p>
        </w:tc>
        <w:tc>
          <w:tcPr>
            <w:tcW w:w="1440" w:type="dxa"/>
            <w:vAlign w:val="bottom"/>
          </w:tcPr>
          <w:p>
            <w:pPr>
              <w:jc w:val="center"/>
              <w:ind w:right="188"/>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6"/>
        </w:trPr>
        <w:tc>
          <w:tcPr>
            <w:tcW w:w="77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1,546,715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650,170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2013 and 2016 Plans: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6"/>
                <w:szCs w:val="16"/>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7,073,584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0.85</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13,348</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(832,329)</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0.39</w:t>
            </w:r>
          </w:p>
        </w:tc>
        <w:tc>
          <w:tcPr>
            <w:tcW w:w="1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(277,212)</w:t>
            </w:r>
          </w:p>
        </w:tc>
        <w:tc>
          <w:tcPr>
            <w:tcW w:w="26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0.71</w:t>
            </w:r>
          </w:p>
        </w:tc>
        <w:tc>
          <w:tcPr>
            <w:tcW w:w="18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5,964,043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0.92</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43,989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ind w:left="20"/>
              <w:spacing w:after="0"/>
              <w:rPr>
                <w:sz w:val="20"/>
                <w:szCs w:val="20"/>
                <w:color w:val="auto"/>
              </w:rPr>
            </w:pPr>
            <w:r>
              <w:rPr>
                <w:rFonts w:ascii="Arial" w:cs="Arial" w:eastAsia="Arial" w:hAnsi="Arial"/>
                <w:sz w:val="14"/>
                <w:szCs w:val="14"/>
                <w:color w:val="auto"/>
              </w:rPr>
              <w:t>Options vested and exercisable—September 30, 2021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3,312,726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0.49</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6.42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25,871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the options exercised during the nine months ended September 30, 2021 and 2020 was $1.2 million and less than $ 0.1 million, respectively. The total grant-date fair value of options vested was $0.3 million and $0.2 million during the nine months ended September 30, 2021 and 2020, respectively.</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cash received by the Company for the exercise of stock options was $0.3 million and $0.1 million for the nine months ended September 30, 2021 and 2020, respectively.</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there was $1.1 million of unamortized stock-based compensation cost related to unvested stock options, which is expected to be recognized over a weighted-average period of 2.8 years.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fair value of each stock option granted is estimated using the Black-Scholes option-pricing model. The Company determines valuation assumptions for Black-Scholes as follows:</w:t>
      </w:r>
    </w:p>
    <w:p>
      <w:pPr>
        <w:spacing w:after="0" w:line="17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Company bases the risk-free interest rate used in the Black-Scholes option-pricing model on the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available on US Treasury zero coupon issues with an equivalent expected term of the options for each option group.</w:t>
      </w:r>
    </w:p>
    <w:p>
      <w:pPr>
        <w:spacing w:after="0" w:line="15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assumption is based on the simplified method. The Company expects to continue using the simplified method until sufficient information about the Company’s historical behavior is available.</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i w:val="1"/>
          <w:iCs w:val="1"/>
          <w:color w:val="auto"/>
        </w:rPr>
        <w:t>Volatility</w:t>
      </w:r>
      <w:r>
        <w:rPr>
          <w:rFonts w:ascii="Arial" w:cs="Arial" w:eastAsia="Arial" w:hAnsi="Arial"/>
          <w:sz w:val="18"/>
          <w:szCs w:val="18"/>
          <w:color w:val="auto"/>
        </w:rPr>
        <w:t>—The Company determines the price volatility factor based on the historical volatilities of the Company’s peer group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does not have trading history for its common stock.</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i w:val="1"/>
          <w:iCs w:val="1"/>
          <w:color w:val="auto"/>
        </w:rPr>
        <w:t>Dividend Yield</w:t>
      </w:r>
      <w:r>
        <w:rPr>
          <w:rFonts w:ascii="Arial" w:cs="Arial" w:eastAsia="Arial" w:hAnsi="Arial"/>
          <w:sz w:val="18"/>
          <w:szCs w:val="18"/>
          <w:color w:val="auto"/>
        </w:rPr>
        <w:t>—The Company has never declared or paid any cash dividend and does not currently plan to pay a cash dividend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assumptions: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Stock Options Valuation Assumptions</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9540" w:type="dxa"/>
            <w:vAlign w:val="bottom"/>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95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r>
      <w:tr>
        <w:trPr>
          <w:trHeight w:val="18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$0.60</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800" w:type="dxa"/>
            <w:vAlign w:val="bottom"/>
          </w:tcPr>
          <w:p>
            <w:pPr>
              <w:jc w:val="right"/>
              <w:spacing w:after="0"/>
              <w:rPr>
                <w:sz w:val="20"/>
                <w:szCs w:val="20"/>
                <w:color w:val="auto"/>
              </w:rPr>
            </w:pPr>
            <w:r>
              <w:rPr>
                <w:rFonts w:ascii="Arial" w:cs="Arial" w:eastAsia="Arial" w:hAnsi="Arial"/>
                <w:sz w:val="14"/>
                <w:szCs w:val="14"/>
                <w:color w:val="auto"/>
              </w:rPr>
              <w:t>33.9%</w:t>
            </w:r>
          </w:p>
        </w:tc>
        <w:tc>
          <w:tcPr>
            <w:tcW w:w="900" w:type="dxa"/>
            <w:vAlign w:val="bottom"/>
          </w:tcPr>
          <w:p>
            <w:pPr>
              <w:ind w:left="20"/>
              <w:spacing w:after="0"/>
              <w:rPr>
                <w:sz w:val="20"/>
                <w:szCs w:val="20"/>
                <w:color w:val="auto"/>
              </w:rPr>
            </w:pPr>
            <w:r>
              <w:rPr>
                <w:rFonts w:ascii="Arial" w:cs="Arial" w:eastAsia="Arial" w:hAnsi="Arial"/>
                <w:sz w:val="14"/>
                <w:szCs w:val="14"/>
                <w:color w:val="auto"/>
              </w:rPr>
              <w:t>- 38.2%</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- 6.1</w:t>
            </w:r>
          </w:p>
        </w:tc>
      </w:tr>
      <w:tr>
        <w:trPr>
          <w:trHeight w:val="189"/>
        </w:trPr>
        <w:tc>
          <w:tcPr>
            <w:tcW w:w="95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900" w:type="dxa"/>
            <w:vAlign w:val="bottom"/>
          </w:tcPr>
          <w:p>
            <w:pPr>
              <w:ind w:left="20"/>
              <w:spacing w:after="0"/>
              <w:rPr>
                <w:sz w:val="20"/>
                <w:szCs w:val="20"/>
                <w:color w:val="auto"/>
              </w:rPr>
            </w:pPr>
            <w:r>
              <w:rPr>
                <w:rFonts w:ascii="Arial" w:cs="Arial" w:eastAsia="Arial" w:hAnsi="Arial"/>
                <w:sz w:val="14"/>
                <w:szCs w:val="14"/>
                <w:color w:val="auto"/>
              </w:rPr>
              <w:t>- 1.5%</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stock option grants during the nine months ended September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units activities under the Company’s 2013 and 2016 Plans: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Restricted Stock Units</w:t>
            </w:r>
          </w:p>
        </w:tc>
      </w:tr>
      <w:tr>
        <w:trPr>
          <w:trHeight w:val="142"/>
        </w:trPr>
        <w:tc>
          <w:tcPr>
            <w:tcW w:w="7740" w:type="dxa"/>
            <w:vAlign w:val="bottom"/>
          </w:tcPr>
          <w:p>
            <w:pPr>
              <w:spacing w:after="0"/>
              <w:rPr>
                <w:sz w:val="12"/>
                <w:szCs w:val="12"/>
                <w:color w:val="auto"/>
              </w:rPr>
            </w:pPr>
          </w:p>
        </w:tc>
        <w:tc>
          <w:tcPr>
            <w:tcW w:w="17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Weighted-Average</w:t>
            </w:r>
          </w:p>
        </w:tc>
      </w:tr>
      <w:tr>
        <w:trPr>
          <w:trHeight w:val="175"/>
        </w:trPr>
        <w:tc>
          <w:tcPr>
            <w:tcW w:w="77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843,095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3,379,467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r>
      <w:tr>
        <w:trPr>
          <w:trHeight w:val="18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(248,800)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4.37</w:t>
            </w:r>
          </w:p>
        </w:tc>
      </w:tr>
      <w:tr>
        <w:trPr>
          <w:trHeight w:val="20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Unvested—September 30,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3,935,229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total grant-date fair value of restricted stock units vested was less than $0.1 million during the nine months ended September 30, 2021 and 2020.</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there was $4.5 million of unamortized stock-based compensation cost related to unvested restricted stock units, which is expected to be recognized over a weighted-average period of 3.4 years.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the Company granted 2.7 million restricted stock units (“RSU”) with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is satisfied in connection with the Company becoming a publicly listed company or a change in control. The Company’s IPO is not deemed probable until consummated. Accordingly, no expense is recorded related to these awards until the performance-based vesting condition becomes probable of occurring and the unamortized compensation expense related to these awards was $12.6 million as of September 30, 2021.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condensed consolidated statements of loss and comprehensive loss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1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Total stock-based compensation</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r>
      <w:tr>
        <w:trPr>
          <w:trHeight w:val="20"/>
        </w:trPr>
        <w:tc>
          <w:tcPr>
            <w:tcW w:w="4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effective tax rate was (4.1)% and (53.8)% for the nine months ended September 30, 2021 and 2020, respectively. The Company’s income tax provision was $0.6 million and $3.8 million for the nine months ended September 30, 2021 and 2020, respectively. The decrease in the Company’s year-to-date income tax provision was primarily due to a decrease in the forecasted annual foreign withholding tax. The decrease in forecasted foreign withholding tax, coupled with changes in the geographic mix of year-to-date and forecasted worldwide earnings, changes in forecasted withholding taxes, and financial results in jurisdictions which are taxed at different rates and the impact of losses in jurisdictions with full valuation allowances, has resulted in the decrease to the year-to-date income tax provision for the period ended September 30, 2021 compared to the period ended September 30, 2020.</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continuously evaluates the need for a valuation allowance and, as of September 30, 2021, concluded that a full valuation allowance on its federal and state deferred tax assets was still appropriate. During the quarter ended September 30, 2021, management determined that a full valuation allowance was still necessary against its French net deferred tax assets.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and 2020, the Company’s gross liability for unrecognized tax benefits was $ 2.5 million and $1.9 million, respectively. As of September 30, 2021 and 2020, the Company had no accrued interest or penalties related to its unrecognized tax benefits. Although it is possible that some of the unrecognized tax benefits could be settled within the next twelve months, the Company cannot reasonably estimate the outcome at this time.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27, 2020, the U.S. government enacted the Consolidated Appropriations Act, 2021, which enhances and expands certain provisions of the Coronavirus Aid, Relief, and Economic Security (“CARES”) Act. This legislative act did not have a material impact on the Company's condensed consolidated financial statements.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11, 2021, the American Rescue Plan Act of 2021 (“American Rescue Plan”) was signed into law to provide additional relief in connection with the ongoing COVID-19 pandemic. The American Rescue Plan includes, among other things, provisions relating to PPP loan expansion, defined pension contributions, excessive employee remuneration, and the repeal of the election to allocate interest expense on a worldwide basis. Under ASC 740, the effects of new legislation are recognized upon enactment. Accordingly, the American Rescue Plan is effective beginning in the quarter that includes March 11, 2021. Such provisions did not have a material impact on the company's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 In November 2020, the Company entered into a lease agreement with a related party and the total lease payment was $0.1 million and $0.2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and nine months ended September 30,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w:t>
      </w:r>
    </w:p>
    <w:p>
      <w:pPr>
        <w:spacing w:after="0" w:line="23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October 29, 2021, the Company completed its IPO, in which it issued and sold 5,750,000 shares of the common stock at the public offering price of $14.00 per share, including 750,000 shares issued upon the full exercise of the underwriters’ option to purchase additional shares. The Company received net proceeds of $71.1 million after deducting underwriting discounts and commissions and estimated offering expenses. In connection with the IPO, all of the shares of the Company’s outstanding redeemable convertible preferred stock automatically converted into an aggregate of 4,471,316 shares of the common stock immediately prior to the closing of the IPO.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Authorized Common Stock and Preferred Stock</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October 29, 2021 in connection with the IPO, the Company amended and restated its certificate of incorporation to authorize 300,000,000 shares of common stock and 10,000,000 shares of preferred stock, which shares of preferred stock are currently undesignated.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Stock Plan</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2021, the Company’s board of directors adopted, and its stockholders approved, the 2021 Incentive Award Plan (“2021 Plan”), which became effective in connection with the IPO. The 2021 Plan provides for the grant of incentive stock options, stock appreciation rights, restricted stock, RSU, performance stock units, performance bonus awards, dividend equivalents, and other stock or cash based awards. The number of shares of the Company’s common stock reserved for issuance under the 2021 Plan is 3,640,000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2021, the Company’s board of directors adopted, and its stockholders approved, the 2021 Employee Stock Purchase Plan (“2021 ESPP”), which became effective in connection with the IPO. The 2021 ESPP authorizes the issuance of shares of common stock pursuant to purchase rights granted to employees. A total of 607,000 shares of common stock were initially reserved for issuance under this plan. The number of shares of common stock that may be issued under the 2021 ESPP will automatically increase on the first day of each calendar year, first day of each fiscal year, beginning in 2022 and ending in 2031, equal to the lesser of (i) 1% of the shares of our common stock outstanding on the last day of the immediately preceding fiscal year and (ii) such number of shares of common stock as determined by our board of directors; provided, however, no more than 5,000,000 shares of our common stock may be issued under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effectiveness of the IPO, the Company granted 2.7 million RSUs with both a service-based vesting condition and a performance-based vesting condition as described in Note 11 - Stock-based Compensation, of which the service-based vesting condition for these awards is generally satisfied by rendering continuous service for four years, and the performance-based vesting condition is satisfied when the Company becomes a publicly listed company. Upon the effectiveness of the IPO, the performance-based vesting condition was satisfied, and therefore, the Company recognized cumulative stock-based compensation expense of $2.5 million for the portion of the awards for which the service-based vesting condition has been fully or partially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333333"/>
        </w:rPr>
        <w:t xml:space="preserve">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the final prospectus for our initial public offering (“IPO”) dated as of </w:t>
      </w:r>
      <w:r>
        <w:rPr>
          <w:rFonts w:ascii="Arial" w:cs="Arial" w:eastAsia="Arial" w:hAnsi="Arial"/>
          <w:sz w:val="18"/>
          <w:szCs w:val="18"/>
          <w:i w:val="1"/>
          <w:iCs w:val="1"/>
          <w:color w:val="000000"/>
        </w:rPr>
        <w:t>October 26, 2021</w:t>
      </w:r>
      <w:r>
        <w:rPr>
          <w:rFonts w:ascii="Arial" w:cs="Arial" w:eastAsia="Arial" w:hAnsi="Arial"/>
          <w:sz w:val="18"/>
          <w:szCs w:val="18"/>
          <w:i w:val="1"/>
          <w:iCs w:val="1"/>
          <w:color w:val="333333"/>
        </w:rPr>
        <w:t xml:space="preserve"> that forms a part of our Registration Statement on Form S-1 (File No. 333-259988) that was filed with the Securities and Exchange Commission (“SEC”), pursuant to Rule 424(b)(4) on </w:t>
      </w:r>
      <w:r>
        <w:rPr>
          <w:rFonts w:ascii="Arial" w:cs="Arial" w:eastAsia="Arial" w:hAnsi="Arial"/>
          <w:sz w:val="18"/>
          <w:szCs w:val="18"/>
          <w:i w:val="1"/>
          <w:iCs w:val="1"/>
          <w:color w:val="000000"/>
        </w:rPr>
        <w:t>October 28, 2021</w:t>
      </w:r>
      <w:r>
        <w:rPr>
          <w:rFonts w:ascii="Arial" w:cs="Arial" w:eastAsia="Arial" w:hAnsi="Arial"/>
          <w:sz w:val="18"/>
          <w:szCs w:val="18"/>
          <w:i w:val="1"/>
          <w:iCs w:val="1"/>
          <w:color w:val="333333"/>
        </w:rPr>
        <w:t xml:space="preserve"> (“Final Prospectus”).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the Final Prospectus. Please also see the section under the heading “Cautionary Note Regarding Forward-Looking Statements” in the Final Prospectus.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333333"/>
        </w:rPr>
        <w:t>Unless the context otherwise requires, all references in this report to “we,” “us,” “our,” the “Company,” and “Arteris” refer to Arteris, Inc.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provider of interconnect and other intellectual property (“IP”) technology that manages the on-chip communications in System-on-Chip (“SoC”) semiconductor devices.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input/output (“I/Os”)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SoC system IP solutions which incorporate Network-on-Chip (“NoC”) interconnect IP, IP deployment software and NoC interface IP (consisting of peripheral data transport IP and control plane networks connected to NoC interconnect IPs).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automated driving, artificial intelligence/machine learning (“AI/ML”), 5G and wireless communications, data centers, and consumer electronics.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2021, we had 218 full-time employees and offices in eight locations in the United States, France, China, South Korea and Japan. For the three and nine months ended September 30, 2021, we generated revenue of $9.0 million and $26.4 million, respectively, net loss of $5.0 million and $ 15.6 million, respectively, and net loss per share, basic and diluted of $0.24 and $0.79, respectively. As of September 30, 2021, we had Annual Contract Value (as defined below) of $42.7 million and 179 Active Customers (as defined below). During the nine months ended September 30, 2021, our customers had 65 Design Starts (as defined below).</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October, 2021, we completed our initial public offering (“IPO”), in which we issued and sold 5,750,000 shares of the common stock at the public offering price of $14.00 per share, including 750,000 shares issued upon the full exercise of the underwriters’ option to purchase additional shares. We received net proceeds of $ 71.1 million after deducting underwriting discounts and commissions and estimated offering expenses. In connection with the IPO, all of the shares of our outstanding redeemable convertible preferred stock automatically converted into an aggregate of 4,471,316 shares of the common stock immediately prior to the closing of the IPO.</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offering costs consist primarily of accounting, legal and other fees related to the IPO. Prior to the IPO, all deferred offering costs were capitalized and included in other assets, non-current on the condensed consolidated balance sheets. Upon completion of the IPO, deferred offering costs were reclassified into stockholders’ equity as a reduction of the IPO proceeds.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30, 2020, Arteris IP, SAS, our wholly owned subsidiary, completed the acquisition of Magillem for a total consideration of $7.8 million. Magillem is a leading provider of design flow and content management software solutions for the complex chip market. The primary reason for the acquisition was to integrate our technologies in order to accelerate and simplify the SoC assembly design flow and enhance innovation in both SoC IP integration software and the highly configurable on-chip interconnect IP that implements chip architectures.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Factors Affecting Our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the heading “Risk Factors” in the Final Prospectus, as well as the factors described elsewhere in the Final Prospectus and this Quarterly report on Form 10-Q,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AI/ML, 5G communications, data centers and consumer electronics sectors,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Terms of our Agreements with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33333"/>
        </w:rPr>
        <w:t xml:space="preserve">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w:t>
      </w:r>
      <w:r>
        <w:rPr>
          <w:rFonts w:ascii="Arial" w:cs="Arial" w:eastAsia="Arial" w:hAnsi="Arial"/>
          <w:sz w:val="18"/>
          <w:szCs w:val="18"/>
          <w:color w:val="000000"/>
        </w:rPr>
        <w:t>three and nine months ended September 30, 2021</w:t>
      </w:r>
      <w:r>
        <w:rPr>
          <w:rFonts w:ascii="Arial" w:cs="Arial" w:eastAsia="Arial" w:hAnsi="Arial"/>
          <w:sz w:val="18"/>
          <w:szCs w:val="18"/>
          <w:color w:val="333333"/>
        </w:rPr>
        <w:t xml:space="preserve"> may not be comparable to future periods if we do not enter into similar contractual agreements. Further, a meaningful percentage of our revenue is generated through royalty payments. Because the time between a </w:t>
      </w:r>
      <w:r>
        <w:rPr>
          <w:rFonts w:ascii="Arial" w:cs="Arial" w:eastAsia="Arial" w:hAnsi="Arial"/>
          <w:sz w:val="18"/>
          <w:szCs w:val="18"/>
          <w:color w:val="000000"/>
        </w:rPr>
        <w:t>new license agreement win</w:t>
      </w:r>
      <w:r>
        <w:rPr>
          <w:rFonts w:ascii="Arial" w:cs="Arial" w:eastAsia="Arial" w:hAnsi="Arial"/>
          <w:sz w:val="18"/>
          <w:szCs w:val="18"/>
          <w:color w:val="333333"/>
        </w:rPr>
        <w:t xml:space="preserve">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Technological Development and Market Growth</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AI/ML, 5G and wireless communications, data center and consumer electronic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will continue to evaluate growth opportunities through acquisitions of other businesses, although there are currently no discussions with potential targets.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Cyclical Nature of the Semiconductor Industry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333333"/>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Design Starts or in sales of our customers’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declared the outbreak of COVID-19 a pandemic which has resulted in substantial global economic disruption and uncertainty.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adversely impacted in the three and nine months ended September 30, 2021.</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in the future, the nature and extent of that return is uncertain. We will continue to monitor health orders issued by applicable governments to ensure compliance with evolving domestic and global COVID-19 guidelines. For additional details, see the section under the heading “Risk Factors” in the Final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Contract Value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includes licensing, support and maintenance and other fixed fees under IP licensing or software licensing agreements but excludes variable revenue derived from licensing agreements with customers, particularly royalties. ACV was $42.7 million and $32.8 million as of September 30, 2021 and September 30, 2020, respectively. In addition, total ACV and trailing-twelve-months royalties and other revenue was $45.6 million and $37.7 million as of September 30, 2021 and September 30, 2020, respectively. We monitor ACV to measure our success and believe the increase in the number shows our progress in expanding our customers’ adoption of our platform.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and Customer Retention</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had 179 and 104 Active Customers as of September 30, 2021 and 2020, respectively. Our annual average customer retention rate, excluding IP deployment solutions, is 96.2% from September 30, 2020 to September 30, 2021. Additionally, we added 38 Active Customers for our IP deployment solutions through our acquisition of Magillem in November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Starts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define Design Starts as when customers commence new semiconductor designs using our interconnect IP and notify us. Design Starts is a metric management uses to assess the activity level of our customers in terms of the number of new semiconductor designs that are started using our interconnect IP in a given period. Our interconnect IP and NoC interface IP customer base started a total of 65 and 43 designs during the nine months ended September 30, 2021 and 2020, respectively. The number of Design Starts in 2020 slowed due to the adverse impact of the COVID-19 pandemic on the operations of some of our customers. We believe that the number of Design Starts is an important indicator of the growth of our business and future royalty revenue trends.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possible reasons, including amounts, timing, and duration of customer contracts, as well as the timing of billing cycles for each contract. Our RPO was $50.6 million and $34.2 million as of September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33333"/>
        </w:rPr>
        <w:t xml:space="preserve">Revenue: </w:t>
      </w:r>
      <w:r>
        <w:rPr>
          <w:rFonts w:ascii="Arial" w:cs="Arial" w:eastAsia="Arial" w:hAnsi="Arial"/>
          <w:sz w:val="18"/>
          <w:szCs w:val="18"/>
          <w:color w:val="000000"/>
        </w:rPr>
        <w:t>Our revenue is primarily derived from licensing intellectual property, licensing software, support and maintenance services,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professional services, training services, and royalties. Our agreements often include other service elements including training and professional services which were immaterial for the three and nine months ended September 30,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33333"/>
        </w:rPr>
        <w:t>Cost of revenue</w:t>
      </w:r>
      <w:r>
        <w:rPr>
          <w:rFonts w:ascii="Arial" w:cs="Arial" w:eastAsia="Arial" w:hAnsi="Arial"/>
          <w:sz w:val="18"/>
          <w:szCs w:val="18"/>
          <w:color w:val="000000"/>
        </w:rPr>
        <w:t>: Cost of revenue relates to costs associated with our licensing agreements and support and maintenance, including</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applicable FAE personnel-related costs including stock-based compensation, travel, and allocated overhead. We expect cost of revenue to modestly decline over time due to productivity improvements of our FAE processes.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333333"/>
        </w:rPr>
        <w:t xml:space="preserve">Research and development (“R&amp;D”) expenses: </w:t>
      </w:r>
      <w:r>
        <w:rPr>
          <w:rFonts w:ascii="Arial" w:cs="Arial" w:eastAsia="Arial" w:hAnsi="Arial"/>
          <w:sz w:val="18"/>
          <w:szCs w:val="18"/>
          <w:color w:val="333333"/>
        </w:rPr>
        <w:t>R</w:t>
      </w:r>
      <w:r>
        <w:rPr>
          <w:rFonts w:ascii="Arial" w:cs="Arial" w:eastAsia="Arial" w:hAnsi="Arial"/>
          <w:sz w:val="18"/>
          <w:szCs w:val="18"/>
          <w:color w:val="000000"/>
        </w:rPr>
        <w:t>&amp;D expenses consist primarily of salaries and associated personnel-related costs,</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facilities expenses associated with research and development activities, third-party project-related expenses connected with the development of our intellectual property which are expensed as incurred, and stock-based compensation expense and other allocated costs. R&amp;D expenses have increased significantly for the three and nine months ended September 30, 2021 in absolute terms and as a percentage of revenue as we added to our engineering headcount in order to accelerate new product development. We expect R&amp;D expenses to increase further in absolute terms and as a percentage of revenue in the short term and to continue to increase in absolute terms in the medium to long term but decrease as a percentage of revenue as certain new products are launched.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333333"/>
        </w:rPr>
        <w:t xml:space="preserve">Sales and marketing (“S&amp;M”) expenses: </w:t>
      </w:r>
      <w:r>
        <w:rPr>
          <w:rFonts w:ascii="Arial" w:cs="Arial" w:eastAsia="Arial" w:hAnsi="Arial"/>
          <w:sz w:val="18"/>
          <w:szCs w:val="18"/>
          <w:color w:val="000000"/>
        </w:rPr>
        <w:t>S&amp;M expenses consist primarily of salaries, commissions, travel and other costs associated with</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sales and marketing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333333"/>
        </w:rPr>
        <w:t xml:space="preserve">General and administrative (“G&amp;A”) expenses: </w:t>
      </w:r>
      <w:r>
        <w:rPr>
          <w:rFonts w:ascii="Arial" w:cs="Arial" w:eastAsia="Arial" w:hAnsi="Arial"/>
          <w:sz w:val="18"/>
          <w:szCs w:val="18"/>
          <w:color w:val="000000"/>
        </w:rPr>
        <w:t>G&amp;A expenses consist primarily of salaries for management and administrative</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employees, depreciation, insurance costs, accounting, legal and consulting fees, other professional service fees, expenses related to the development of corporate initiatives and facilities expenses associated with general and administrative activities and stock-based compensation expense, fees for directors and other allocated costs.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closing of the IPO, 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general and administrative expenses to increase as our business grows. In addition, we expect general and administrative expenses as a percentage of revenue to vary from period to period but generally decrease over the long term.</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333333"/>
        </w:rPr>
        <w:t xml:space="preserve">Interest and other expense, net: </w:t>
      </w:r>
      <w:r>
        <w:rPr>
          <w:rFonts w:ascii="Arial" w:cs="Arial" w:eastAsia="Arial" w:hAnsi="Arial"/>
          <w:sz w:val="18"/>
          <w:szCs w:val="18"/>
          <w:color w:val="000000"/>
        </w:rPr>
        <w:t>Interest and other expense, net consists primarily of interest expense associated with our 2018 Term</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Loan.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33333"/>
        </w:rPr>
        <w:t xml:space="preserve">Provision for income taxes: </w:t>
      </w:r>
      <w:r>
        <w:rPr>
          <w:rFonts w:ascii="Arial" w:cs="Arial" w:eastAsia="Arial" w:hAnsi="Arial"/>
          <w:sz w:val="18"/>
          <w:szCs w:val="18"/>
          <w:color w:val="000000"/>
        </w:rPr>
        <w:t>Our income tax provision consists primarily of income taxes in certain foreign jurisdictions in which we conduct</w:t>
      </w:r>
      <w:r>
        <w:rPr>
          <w:rFonts w:ascii="Arial" w:cs="Arial" w:eastAsia="Arial" w:hAnsi="Arial"/>
          <w:sz w:val="18"/>
          <w:szCs w:val="18"/>
          <w:b w:val="1"/>
          <w:bCs w:val="1"/>
          <w:i w:val="1"/>
          <w:iCs w:val="1"/>
          <w:color w:val="333333"/>
        </w:rPr>
        <w:t xml:space="preserve"> </w:t>
      </w:r>
      <w:r>
        <w:rPr>
          <w:rFonts w:ascii="Arial" w:cs="Arial" w:eastAsia="Arial" w:hAnsi="Arial"/>
          <w:sz w:val="18"/>
          <w:szCs w:val="18"/>
          <w:color w:val="000000"/>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3"/>
        </w:trPr>
        <w:tc>
          <w:tcPr>
            <w:tcW w:w="41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4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17,366</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23,812</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16,248</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11,842</w:t>
            </w: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7,971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6,345</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r>
      <w:tr>
        <w:trPr>
          <w:trHeight w:val="18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8,821</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23,180</w:t>
            </w: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(6,932)</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 net</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18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(7,043)</w:t>
            </w:r>
          </w:p>
        </w:tc>
      </w:tr>
      <w:tr>
        <w:trPr>
          <w:trHeight w:val="18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3,793</w:t>
            </w:r>
          </w:p>
        </w:tc>
      </w:tr>
      <w:tr>
        <w:trPr>
          <w:trHeight w:val="20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3"/>
        </w:trPr>
        <w:tc>
          <w:tcPr>
            <w:tcW w:w="41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4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3"/>
        </w:trPr>
        <w:tc>
          <w:tcPr>
            <w:tcW w:w="418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r>
      <w:tr>
        <w:trPr>
          <w:trHeight w:val="21"/>
        </w:trPr>
        <w:tc>
          <w:tcPr>
            <w:tcW w:w="4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results of operations as a percentage of total revenue for each of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89"/>
        </w:trPr>
        <w:tc>
          <w:tcPr>
            <w:tcW w:w="40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3"/>
        </w:trPr>
        <w:tc>
          <w:tcPr>
            <w:tcW w:w="504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2021</w:t>
            </w:r>
          </w:p>
        </w:tc>
        <w:tc>
          <w:tcPr>
            <w:tcW w:w="1960" w:type="dxa"/>
            <w:vAlign w:val="bottom"/>
            <w:gridSpan w:val="3"/>
          </w:tcPr>
          <w:p>
            <w:pPr>
              <w:ind w:left="1500"/>
              <w:spacing w:after="0"/>
              <w:rPr>
                <w:sz w:val="20"/>
                <w:szCs w:val="20"/>
                <w:color w:val="auto"/>
              </w:rPr>
            </w:pPr>
            <w:r>
              <w:rPr>
                <w:rFonts w:ascii="Arial" w:cs="Arial" w:eastAsia="Arial" w:hAnsi="Arial"/>
                <w:sz w:val="14"/>
                <w:szCs w:val="14"/>
                <w:b w:val="1"/>
                <w:bCs w:val="1"/>
                <w:color w:val="auto"/>
              </w:rPr>
              <w:t>2020</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40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i w:val="1"/>
                <w:iCs w:val="1"/>
                <w:color w:val="auto"/>
              </w:rPr>
              <w:t>(as a percentage of total revenue)</w:t>
            </w: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18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r>
      <w:tr>
        <w:trPr>
          <w:trHeight w:val="18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r>
      <w:tr>
        <w:trPr>
          <w:trHeight w:val="169"/>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r>
      <w:tr>
        <w:trPr>
          <w:trHeight w:val="189"/>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w:t>
            </w: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r>
      <w:tr>
        <w:trPr>
          <w:trHeight w:val="1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w:t>
            </w:r>
          </w:p>
        </w:tc>
      </w:tr>
      <w:tr>
        <w:trPr>
          <w:trHeight w:val="18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r>
      <w:tr>
        <w:trPr>
          <w:trHeight w:val="18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 net</w:t>
            </w: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r>
      <w:tr>
        <w:trPr>
          <w:trHeight w:val="18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r>
      <w:tr>
        <w:trPr>
          <w:trHeight w:val="18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r>
      <w:tr>
        <w:trPr>
          <w:trHeight w:val="20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12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739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8,959</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Growth in our licensing and support and maintenance continued with a 56% increase during the three months ended September 30, 2021 compared to the three months ended September 30, 2020. The increase was primarily due to the addition of new customers, including those gained as a result of the Magillem acquisition, as well as increase in new license agreements with existing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656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increased, $0.7 million, or 289%, to $0.9 million for the three months ended September 30, 2021, from $0.2 million for the three months ended September 30, 2020. The increase in cost of revenue was primarily due to the increase in employee-related costs as a result of increased headcount.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3,242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1,742</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12,593</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R&amp;D expenses increased, $3.6 million, or 90%, to $7.6 million for the three months ended September 30, 2021 from $4.0 million for the three months ended September 30, 2020. The increase in R&amp;D expenses was primarily due to the increase in employee-related cost of $3.1 million mainly driven by increased engineering headcount as a result of growth and our investment in our interconnect technology, including additional headcount as a result of the Magillem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S&amp;M expenses increased, $1.0 million, or 45%, to $ 3.2 million for the three months ended September 30, 2021 from $2.2 million for the three months ended September 30, 2020. The increase in S&amp;M expenses was primarily due to the increase in employee-related costs of $0.5 million mainly driven by higher headcount to support our continued growth.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G&amp;A expenses decreased, $0.8 million, or 32%, to $1.7 million for the three months ended September 30, 2021 from $ 2.6 million for the three months ended September 30, 2020. G&amp;A expenses as a percentage of our total revenue were 19% and 40% for the three months ended September 30, 2021 and 2020, respectively. The decrease in G&amp;A expenses was primarily due to a decrease of approximately $0.8 million in professional services, which was comprised primarily of legal, accounting and consulting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6"/>
                <w:szCs w:val="16"/>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3"/>
        </w:trPr>
        <w:tc>
          <w:tcPr>
            <w:tcW w:w="53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183"/>
        </w:trPr>
        <w:tc>
          <w:tcPr>
            <w:tcW w:w="5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net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(157)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and other expense, net for the three months ended September 30, 2021 was $0.2 million, compared to less than $0.1 million for the three months ended September 30, 2020. The increase is primarily related to foreign currency exchange.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(931)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Provision for income taxes for the three months ended September 30, 2021 was $0.3 million, compared to $1.2 million for the three months ended September 30, 2020. The decrease in our income tax expense was due to an increase in our forecasted pre-tax loss for the year ended December 31, 2021 compared to the book loss for the year ended December 31, 2020, a change in the forecasted geographic mix of worldwide earnings which are taxed at different statutory tax rates, the impact of losses in jurisdictions which have full federal and state valuation allowances, and a decrease in current year foreign withholding taxes. Included in the provision for income taxes was $0.2 million and $ 1.5 million of forecasted foreign withholding tax for the year ended December 31, 2021 and 2020, respectively. Foreign withholding taxes are generally assessed on gross revenue generated, rather than pre-tax income, in certain countries in which the Company does not file an income tax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24,353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1,913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26,430</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17,366</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9,064</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Growth in our licensing and support and maintenance continued with a 74% increase during the nine months ended September 30, 2021 compared to the nine months ended September 30, 2020. The increase was primarily due to the addition of new customers, including those gained as a result of the Magillem acquisition, as well as increase in new license agreements with existing customers. The decrease in variable royalty revenue during the nine months ended September 30, 2021 was primarily due to a decrease in sales volume of a significant customer as a result of U.S. government trade restrictions limiting the customer’s ability to have their semiconductors fabricated.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2,618</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1,500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increased, $1.5 million, or 134%, to $2.6 million for the nine months ended September 30, 2021, from $1.1 million for the nine months ended September 30, 2020. The increase in cost of revenue was primarily due to the increase in employee-related costs as a result of increase headcount.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20,572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7,971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9,754</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38,297</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23,180</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15,117</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R&amp;D expenses increased, $8.7 million, or 74%, to $20.6 million for the nine months ended September 30, 2021 from $11.8 million for the nine months ended September 30, 2020. The increase in R&amp;D expenses was primarily due to the increase in employee-related cost of $8.8 million which were primarily driven by increased engineering headcount as a result of growth and our investment in our interconnect technology, including costs due to the additional headcount resulting from the Magillem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S&amp;M expenses increased, $1.6 million, or 26%, to $8.0 million for the nine months ended September 30, 2021 from $6.3 million for the nine months ended September 30, 2020. The increase in S&amp;M expenses was primarily due to the increase in employee-related cost of $0.6 million mainly driven by higher headcount to support our continued growth and $0.5 million in marketing and event costs primarily due to increases in advertising and brand awareness efforts aimed at acquiring new customers.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G&amp;A expenses increased, $4.8 million, or 95%, to $9.8 million for the nine months ended September 30, 2021 from $5.0 million for the nine months ended September 30, 2020. The increase in general and administrative expenses was primarily due to an increase of $3.0 million in employee compensation costs primarily related to higher headcount to support our continued growth and $2.1 million in professional services, which was comprised primarily of legal, accounting, and consulting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net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(386)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and other expense, net for the nine months ended September 30, 2021 was $0.5 million, compared to $0.1 million for the nine months ended September 30, 2020. The increase is primarily related to foreign currency exchange, which was partially offset by a reduced interest expense on our 2018 Term Loan in 2020 as a result of the reduction in outstanding principal.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(3,181)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Provision for income taxes for the nine months ended September 30, 2021 was $0.6 million, compared to $3.8 million for the nine months ended September 30, 2020. The decrease in our income tax expense was due to an increase in our forecasted pre-tax loss for the year ended December 31, 2021 compared to the book loss for the year ended December 31, 2020, a change in the forecasted geographic mix of worldwide earnings which are taxed at different statutory tax rates, the impact of losses in jurisdictions which have full federal and state valuation allowances, and a decrease in current year foreign withholding taxes. Included in the provision for income taxes was $0.2 million and $ 1.5 million of forecasted foreign withholding tax for the year ended December 31, 2021 and 2020, respectively. Foreign withholding taxes are generally assessed on gross revenue generated, rather than pre-tax income, in certain countries in which the Company does not file an income tax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inception, we have financed operations primarily through proceeds received from payments received from our customers, the net proceeds from the sale of our common stock in the IPO as well as the net proceeds from the private issuance of our convertible preferred stock and common stock, and to a lesser extent, borrowings under our 2018 Term Loan agreement. As of September 30, 2021, we had $11.2 million in cash, which does not include $71.1 million in net proceeds we received in connection with the IPO in October 2021. Approximately $4.3 million of total cash was held by our foreign subsidiaries as of September 30, 2021.</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2018, we entered into a business financing agreement with Bridge Bank (“Lender”) for a term loan of $1.5 million with a maturity date of November 2021, repayable monthly (“2018 Term Loan”). The interest rate of the 2018 Term Loan is prime plus 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2018 Term Loan, we are required to comply with certain financial and non-financial covenants. Any failure to comply with these covenants and any other obligations under the agreement could result in an event of default, which would allow the Lender to require accelerated repayments of amounts owed. As of September 30, 2021, we were in compliance with all of the financial and non-financial covenants.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we had $0.1 million of outstanding principal balance, net of debt issuance costs, under the 2018 Term Loan, of which nil was classified as long-term liabilities for both periods presented. In addition, we did not renew the revolving line of credit which matured in November 2021.</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entered into a loan agreement under the Coronavirus Aid, Relief, and Economic Security Act known as the Paycheck Protection Program with a Lender for the amount of $1.6 million at an interest rate of 1% per annum, and repayable in two years. The Company used proceeds of the PPP Loan to fund qualifying payroll and other expenses. In December 2020, the full amount of the PPP Loan, including principal and accrued interest, was forgiven.</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October, 2021, we completed our IPO, in which we issued and sold 5,750,000 shares of the common stock at the public offering price of $14.00 per share, including 750,000 shares issued upon the full exercise of the underwriters’ option to purchase additional shares. We received net proceeds of $71.1 million after deducting underwriting discounts and commissions and estimated offering expenses. In connection with the IPO, all of the shares of our outstanding redeemable convertible preferred stock automatically converted into an aggregate of 4,471,316 shares of the common stock immediately prior to the closing of the IPO.</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our cash, available borrowing capacity and cash expected to be generated from operations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in the Final Prospectus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4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jc w:val="center"/>
        <w:ind w:left="77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83"/>
        </w:trPr>
        <w:tc>
          <w:tcPr>
            <w:tcW w:w="7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5"/>
                <w:szCs w:val="15"/>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left="708"/>
              <w:spacing w:after="0"/>
              <w:rPr>
                <w:sz w:val="20"/>
                <w:szCs w:val="20"/>
                <w:color w:val="auto"/>
              </w:rPr>
            </w:pPr>
            <w:r>
              <w:rPr>
                <w:rFonts w:ascii="Arial" w:cs="Arial" w:eastAsia="Arial" w:hAnsi="Arial"/>
                <w:sz w:val="14"/>
                <w:szCs w:val="14"/>
                <w:color w:val="auto"/>
              </w:rPr>
              <w:t>(502)</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(488)</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708"/>
              <w:spacing w:after="0"/>
              <w:rPr>
                <w:sz w:val="20"/>
                <w:szCs w:val="20"/>
                <w:color w:val="auto"/>
              </w:rPr>
            </w:pPr>
            <w:r>
              <w:rPr>
                <w:rFonts w:ascii="Arial" w:cs="Arial" w:eastAsia="Arial" w:hAnsi="Arial"/>
                <w:sz w:val="14"/>
                <w:szCs w:val="14"/>
                <w:color w:val="auto"/>
              </w:rPr>
              <w:t>(523)</w:t>
            </w: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3,991</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left="728"/>
              <w:spacing w:after="0"/>
              <w:rPr>
                <w:sz w:val="20"/>
                <w:szCs w:val="20"/>
                <w:color w:val="auto"/>
              </w:rPr>
            </w:pPr>
            <w:r>
              <w:rPr>
                <w:rFonts w:ascii="Arial" w:cs="Arial" w:eastAsia="Arial" w:hAnsi="Arial"/>
                <w:sz w:val="14"/>
                <w:szCs w:val="14"/>
                <w:color w:val="auto"/>
              </w:rPr>
              <w:t>939</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September 30, 2021, net cash used in operating activities was $ 4.0 million primarily due to our net loss of $15.6 million, adjusted for non-cash charges of $ 2.0 million and $9.3 million changes in operating assets and liabilities. The primary drivers of the changes in operating assets and liabilities were a $6.2 million decrease in accounts receivable, $5.1 million increase in deferred revenue, $1.3 million increase in accrued expenses and other current liabilities, partially offset by a $3.9 million increase in prepaid expenses and other assets.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2020, net cash used in operating activities was $0.5 million primarily due to our net loss of $10.8 million, adjusted for non-cash charges of $1.3 million and $9.0 million provided by changes in our operating assets and liabilities. Non-cash charges primarily consisted of depreciation and amortization, and stock-based compensation. The primary drivers of the changes in operating assets and liabilities were a $4.1 million increase in accrued expenses and other current liabilities, $2.7 million increase in deferred revenue, $2.4 million decrease in accounts receivable, $0.2 million increase in accounts payable, partially offset by a $0.4 million decrease in operating lease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for both the nine months ended September 30, 2021 and 2020 was $0.5 million, primarily attributable to purchases of property and equipment to support our office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$4.0 million, primarily attributable to proceeds from issuance of common stock of $5.4 million, partially offset by the principal payments of 2018 Term Loan of $0.5 million and payments of deferred offering costs of $0.9 million.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financing activities for the nine months ended September 30, 2020 was $0.9 million, primarily attributable to proceeds from the PPP loan of $1.6 million, offset by the principal payments of 2018 Term Loan of $0.5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Final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more information regarding recently issued accounting pronouncements, see Note 2 to our unaudited condensed consolidated financial statements included elsewhere in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disclosing only two years of audited financial statements and only two years of related selected financial data and management’s discussion and analysis of financial condition and results of operations disclosure; not being required to comply with the auditor attestation requirements of Section 404 of the Sarbanes-Oxley Act of 2002 (the “Sarbanes-Oxley Act”), reduced disclosure obligations regarding executive compensation, and exemptions from the requirements of holding a nonbinding advisory vote on executive compensation and shareholder approval of any golden parachute payments not previously approved.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continue to be an emerging growth until the earliest to occur of (i) the last day of the fiscal year during which we have total annual gross revenues of at least $1.07 billion (as indexed for inflation); (ii) the last day of our fiscal year following the fifth anniversary of the date of our first sale of common stock under a registration statement; (iii) the date on which we have, during the previous three-year period, issued more than $1.0 billion in non-convertible debt; or (iv) the date on which we are deemed to be a “large accelerated filer,” as defined under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elected to take advantage of the extended transition period to comply with new or revised accounting standards and to adopt certain of the reduced disclosure requirements available to emerging growth companies.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have been and will continue to be subject to legal proceedings and claims. We are not presently a party to any legal proceedings that, if determined adversely to us, would individually or taken together have a material adverse effect on our business,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on Form 10-Q are any of the risks described in our final prospectus supplement for our Initial Public Offering filed with the U.S. Securities and Exchange Commission (the “SEC”) on October 28, 2021. Any of these factors could result in a significant or material adverse effect on our results of operations or financial condition. As of the date of this Quarterly Report on Form 10-Q, there have been no material changes to the risk factors disclosed in our final prospectus supplement for our Initial Public Offering filed with the SEC on October 28,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Recent Sales of Unregistered Securities.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September 30, 2021, we granted to certain directors, officers and employees RSUs for an aggregate of 1,169,167 shares of our common stock under the 2016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Use of Proceeds.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closed our IPO, in which we issued 5,750,000 shares of common stock at a price to the public of $14.00 per share, including 750,000 shares issued upon the full exercise of the underwriters’ option to purchase additional shares. Upon completion of the sale of the shares of our common stock referenced in the preceding sentences, the IPO terminated. We received net proceeds of $71.1 million after deducting underwriting discounts and commissions and estimated offering costs of approximately $3.7 million.</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Jefferies LLC and Cowen are serving as lead book-running managers and BMO Capital Markets is serving as joint book-running manager for the offering. Northland Capital Markets and Rosenblatt Securities are acting as co-managers.</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225" w:lineRule="exact"/>
        <w:rPr>
          <w:sz w:val="20"/>
          <w:szCs w:val="20"/>
          <w:color w:val="auto"/>
        </w:rPr>
      </w:pPr>
    </w:p>
    <w:p>
      <w:pPr>
        <w:ind w:right="7940" w:firstLine="8"/>
        <w:spacing w:after="0" w:line="503"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Issuer Purchases of Equity Securities. 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8"/>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27"/>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Form</w:t>
            </w: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Exhibit</w:t>
            </w:r>
          </w:p>
        </w:tc>
        <w:tc>
          <w:tcPr>
            <w:tcW w:w="1620" w:type="dxa"/>
            <w:vAlign w:val="bottom"/>
          </w:tcPr>
          <w:p>
            <w:pPr>
              <w:jc w:val="right"/>
              <w:ind w:right="72"/>
              <w:spacing w:after="0"/>
              <w:rPr>
                <w:sz w:val="20"/>
                <w:szCs w:val="20"/>
                <w:color w:val="auto"/>
              </w:rPr>
            </w:pPr>
            <w:r>
              <w:rPr>
                <w:rFonts w:ascii="Arial" w:cs="Arial" w:eastAsia="Arial" w:hAnsi="Arial"/>
                <w:sz w:val="14"/>
                <w:szCs w:val="14"/>
                <w:b w:val="1"/>
                <w:bCs w:val="1"/>
                <w:color w:val="auto"/>
              </w:rPr>
              <w:t>Filing Date    Filed</w:t>
            </w:r>
          </w:p>
        </w:tc>
      </w:tr>
      <w:tr>
        <w:trPr>
          <w:trHeight w:val="175"/>
        </w:trPr>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r>
      <w:tr>
        <w:trPr>
          <w:trHeight w:val="183"/>
        </w:trPr>
        <w:tc>
          <w:tcPr>
            <w:tcW w:w="560" w:type="dxa"/>
            <w:vAlign w:val="bottom"/>
            <w:gridSpan w:val="5"/>
          </w:tcPr>
          <w:p>
            <w:pPr>
              <w:jc w:val="center"/>
              <w:ind w:left="171"/>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40" w:type="dxa"/>
            <w:vAlign w:val="bottom"/>
            <w:gridSpan w:val="37"/>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Amended and Restated Certificate of Incorporation of Arteris, Inc.</w:t>
              </w:r>
            </w:hyperlink>
          </w:p>
        </w:tc>
        <w:tc>
          <w:tcPr>
            <w:tcW w:w="560" w:type="dxa"/>
            <w:vAlign w:val="bottom"/>
          </w:tcPr>
          <w:p>
            <w:pPr>
              <w:ind w:left="60"/>
              <w:spacing w:after="0" w:line="182" w:lineRule="exact"/>
              <w:rPr>
                <w:sz w:val="20"/>
                <w:szCs w:val="20"/>
                <w:color w:val="auto"/>
              </w:rPr>
            </w:pPr>
            <w:r>
              <w:rPr>
                <w:rFonts w:ascii="Arial" w:cs="Arial" w:eastAsia="Arial" w:hAnsi="Arial"/>
                <w:sz w:val="18"/>
                <w:szCs w:val="18"/>
                <w:color w:val="auto"/>
              </w:rPr>
              <w:t>8-K</w:t>
            </w:r>
          </w:p>
        </w:tc>
        <w:tc>
          <w:tcPr>
            <w:tcW w:w="1060" w:type="dxa"/>
            <w:vAlign w:val="bottom"/>
          </w:tcPr>
          <w:p>
            <w:pPr>
              <w:ind w:left="40"/>
              <w:spacing w:after="0" w:line="182" w:lineRule="exact"/>
              <w:rPr>
                <w:sz w:val="20"/>
                <w:szCs w:val="20"/>
                <w:color w:val="auto"/>
              </w:rPr>
            </w:pPr>
            <w:r>
              <w:rPr>
                <w:rFonts w:ascii="Arial" w:cs="Arial" w:eastAsia="Arial" w:hAnsi="Arial"/>
                <w:sz w:val="18"/>
                <w:szCs w:val="18"/>
                <w:color w:val="auto"/>
              </w:rPr>
              <w:t>001-40960</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1620" w:type="dxa"/>
            <w:vAlign w:val="bottom"/>
          </w:tcPr>
          <w:p>
            <w:pPr>
              <w:jc w:val="right"/>
              <w:ind w:right="572"/>
              <w:spacing w:after="0" w:line="182" w:lineRule="exact"/>
              <w:rPr>
                <w:sz w:val="20"/>
                <w:szCs w:val="20"/>
                <w:color w:val="auto"/>
              </w:rPr>
            </w:pPr>
            <w:r>
              <w:rPr>
                <w:rFonts w:ascii="Arial" w:cs="Arial" w:eastAsia="Arial" w:hAnsi="Arial"/>
                <w:sz w:val="18"/>
                <w:szCs w:val="18"/>
                <w:color w:val="auto"/>
              </w:rPr>
              <w:t>10-29-2021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280" w:type="dxa"/>
            <w:vAlign w:val="bottom"/>
            <w:gridSpan w:val="4"/>
          </w:tcPr>
          <w:p>
            <w:pPr>
              <w:spacing w:after="0"/>
              <w:rPr>
                <w:sz w:val="18"/>
                <w:szCs w:val="18"/>
                <w:color w:val="auto"/>
              </w:rPr>
            </w:pPr>
          </w:p>
        </w:tc>
        <w:tc>
          <w:tcPr>
            <w:tcW w:w="280" w:type="dxa"/>
            <w:vAlign w:val="bottom"/>
          </w:tcPr>
          <w:p>
            <w:pPr>
              <w:jc w:val="center"/>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Bylaws of Arteris, Inc.</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8-K</w:t>
            </w:r>
          </w:p>
        </w:tc>
        <w:tc>
          <w:tcPr>
            <w:tcW w:w="1060" w:type="dxa"/>
            <w:vAlign w:val="bottom"/>
          </w:tcPr>
          <w:p>
            <w:pPr>
              <w:ind w:left="40"/>
              <w:spacing w:after="0"/>
              <w:rPr>
                <w:sz w:val="20"/>
                <w:szCs w:val="20"/>
                <w:color w:val="auto"/>
              </w:rPr>
            </w:pPr>
            <w:r>
              <w:rPr>
                <w:rFonts w:ascii="Arial" w:cs="Arial" w:eastAsia="Arial" w:hAnsi="Arial"/>
                <w:sz w:val="18"/>
                <w:szCs w:val="18"/>
                <w:color w:val="auto"/>
              </w:rPr>
              <w:t>001-40960</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10-29-2021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280" w:type="dxa"/>
            <w:vAlign w:val="bottom"/>
            <w:gridSpan w:val="4"/>
          </w:tcPr>
          <w:p>
            <w:pPr>
              <w:spacing w:after="0"/>
              <w:rPr>
                <w:sz w:val="18"/>
                <w:szCs w:val="18"/>
                <w:color w:val="auto"/>
              </w:rPr>
            </w:pPr>
          </w:p>
        </w:tc>
        <w:tc>
          <w:tcPr>
            <w:tcW w:w="280" w:type="dxa"/>
            <w:vAlign w:val="bottom"/>
          </w:tcPr>
          <w:p>
            <w:pPr>
              <w:jc w:val="center"/>
              <w:spacing w:after="0"/>
              <w:rPr>
                <w:rFonts w:ascii="Arial" w:cs="Arial" w:eastAsia="Arial" w:hAnsi="Arial"/>
                <w:sz w:val="18"/>
                <w:szCs w:val="18"/>
                <w:color w:val="0000FF"/>
              </w:rPr>
            </w:pPr>
            <w:hyperlink r:id="rId5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r:id="rId57">
              <w:r>
                <w:rPr>
                  <w:rFonts w:ascii="Arial" w:cs="Arial" w:eastAsia="Arial" w:hAnsi="Arial"/>
                  <w:sz w:val="18"/>
                  <w:szCs w:val="18"/>
                  <w:color w:val="0000FF"/>
                </w:rPr>
                <w:t>Specimen Stock Certificate evidencing the shares of common stock.</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280" w:type="dxa"/>
            <w:vAlign w:val="bottom"/>
            <w:gridSpan w:val="4"/>
          </w:tcPr>
          <w:p>
            <w:pPr>
              <w:spacing w:after="0"/>
              <w:rPr>
                <w:sz w:val="18"/>
                <w:szCs w:val="18"/>
                <w:color w:val="auto"/>
              </w:rPr>
            </w:pPr>
          </w:p>
        </w:tc>
        <w:tc>
          <w:tcPr>
            <w:tcW w:w="280" w:type="dxa"/>
            <w:vAlign w:val="bottom"/>
          </w:tcPr>
          <w:p>
            <w:pPr>
              <w:jc w:val="center"/>
              <w:spacing w:after="0"/>
              <w:rPr>
                <w:rFonts w:ascii="Arial" w:cs="Arial" w:eastAsia="Arial" w:hAnsi="Arial"/>
                <w:sz w:val="18"/>
                <w:szCs w:val="18"/>
                <w:color w:val="0000FF"/>
              </w:rPr>
            </w:pPr>
            <w:hyperlink r:id="rId58">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r:id="rId58">
              <w:r>
                <w:rPr>
                  <w:rFonts w:ascii="Arial" w:cs="Arial" w:eastAsia="Arial" w:hAnsi="Arial"/>
                  <w:sz w:val="18"/>
                  <w:szCs w:val="18"/>
                  <w:color w:val="0000FF"/>
                </w:rPr>
                <w:t>Investors’ Rights Agreement, dated February 5, 2016, by and among Arteris, Inc.</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and the investors listed therein.</w:t>
              </w:r>
            </w:hyperlink>
          </w:p>
        </w:tc>
        <w:tc>
          <w:tcPr>
            <w:tcW w:w="39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9"/>
        </w:trPr>
        <w:tc>
          <w:tcPr>
            <w:tcW w:w="580" w:type="dxa"/>
            <w:vAlign w:val="bottom"/>
            <w:gridSpan w:val="6"/>
          </w:tcPr>
          <w:p>
            <w:pPr>
              <w:jc w:val="center"/>
              <w:ind w:left="151"/>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and Restated Business Financing Agreement, by and between Arteris,</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Inc. and Western Alliance Bank dated as of December 16, 2020.</w:t>
              </w:r>
            </w:hyperlink>
          </w:p>
        </w:tc>
        <w:tc>
          <w:tcPr>
            <w:tcW w:w="13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9"/>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6"/>
          </w:tcPr>
          <w:p>
            <w:pPr>
              <w:jc w:val="center"/>
              <w:ind w:right="180"/>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0">
              <w:r>
                <w:rPr>
                  <w:rFonts w:ascii="Arial" w:cs="Arial" w:eastAsia="Arial" w:hAnsi="Arial"/>
                  <w:sz w:val="18"/>
                  <w:szCs w:val="18"/>
                  <w:color w:val="0000FF"/>
                </w:rPr>
                <w:t>License Agreement, dated as of October 11, 2013, by and between Arteris, Inc.</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and Qualcomm Technologies, Inc.</w:t>
              </w:r>
            </w:hyperlink>
          </w:p>
        </w:tc>
        <w:tc>
          <w:tcPr>
            <w:tcW w:w="36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9"/>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6"/>
          </w:tcPr>
          <w:p>
            <w:pPr>
              <w:jc w:val="center"/>
              <w:ind w:right="180"/>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1">
              <w:r>
                <w:rPr>
                  <w:rFonts w:ascii="Arial" w:cs="Arial" w:eastAsia="Arial" w:hAnsi="Arial"/>
                  <w:sz w:val="18"/>
                  <w:szCs w:val="18"/>
                  <w:color w:val="0000FF"/>
                </w:rPr>
                <w:t>Asset Purchase Agreement, dated as of October 9, 2013, by and among</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760" w:type="dxa"/>
            <w:vAlign w:val="bottom"/>
            <w:tcBorders>
              <w:top w:val="single" w:sz="8" w:color="0000FF"/>
            </w:tcBorders>
            <w:gridSpan w:val="23"/>
          </w:tcPr>
          <w:p>
            <w:pPr>
              <w:spacing w:after="0" w:line="157"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Qualcomm Technologies, Inc., Qualcomm France SARL, Arteris Holdings,</w:t>
              </w:r>
            </w:hyperlink>
          </w:p>
        </w:tc>
        <w:tc>
          <w:tcPr>
            <w:tcW w:w="780" w:type="dxa"/>
            <w:vAlign w:val="bottom"/>
            <w:gridSpan w:val="14"/>
          </w:tcPr>
          <w:p>
            <w:pPr>
              <w:ind w:left="180"/>
              <w:spacing w:after="0" w:line="157" w:lineRule="exact"/>
              <w:rPr>
                <w:rFonts w:ascii="Arial" w:cs="Arial" w:eastAsia="Arial" w:hAnsi="Arial"/>
                <w:sz w:val="18"/>
                <w:szCs w:val="18"/>
                <w:color w:val="0000FF"/>
              </w:rPr>
            </w:pPr>
            <w:hyperlink r:id="rId61">
              <w:r>
                <w:rPr>
                  <w:rFonts w:ascii="Arial" w:cs="Arial" w:eastAsia="Arial" w:hAnsi="Arial"/>
                  <w:sz w:val="18"/>
                  <w:szCs w:val="18"/>
                  <w:color w:val="0000FF"/>
                </w:rPr>
                <w:t>Inc.,</w:t>
              </w:r>
            </w:hyperlink>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Arteris, Inc. and Arteris, SAS.</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580" w:type="dxa"/>
            <w:vAlign w:val="bottom"/>
            <w:gridSpan w:val="6"/>
          </w:tcPr>
          <w:p>
            <w:pPr>
              <w:jc w:val="center"/>
              <w:ind w:left="151"/>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r:id="rId62">
              <w:r>
                <w:rPr>
                  <w:rFonts w:ascii="Arial" w:cs="Arial" w:eastAsia="Arial" w:hAnsi="Arial"/>
                  <w:sz w:val="18"/>
                  <w:szCs w:val="18"/>
                  <w:color w:val="0000FF"/>
                </w:rPr>
                <w:t>Office Lease, by and between Millich Commercial, LLC and Arteris, Inc., dated as</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of July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180" w:type="dxa"/>
            <w:vAlign w:val="bottom"/>
            <w:gridSpan w:val="2"/>
          </w:tcPr>
          <w:p>
            <w:pPr>
              <w:spacing w:after="0"/>
              <w:rPr>
                <w:sz w:val="18"/>
                <w:szCs w:val="18"/>
                <w:color w:val="auto"/>
              </w:rPr>
            </w:pPr>
          </w:p>
        </w:tc>
        <w:tc>
          <w:tcPr>
            <w:tcW w:w="640" w:type="dxa"/>
            <w:vAlign w:val="bottom"/>
            <w:gridSpan w:val="6"/>
          </w:tcPr>
          <w:p>
            <w:pPr>
              <w:jc w:val="center"/>
              <w:ind w:right="180"/>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5</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3">
              <w:r>
                <w:rPr>
                  <w:rFonts w:ascii="Arial" w:cs="Arial" w:eastAsia="Arial" w:hAnsi="Arial"/>
                  <w:sz w:val="18"/>
                  <w:szCs w:val="18"/>
                  <w:color w:val="0000FF"/>
                </w:rPr>
                <w:t>Employment Agreement, by and between Arteris, Inc. and K. Charles Janac.</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180" w:type="dxa"/>
            <w:vAlign w:val="bottom"/>
            <w:gridSpan w:val="2"/>
          </w:tcPr>
          <w:p>
            <w:pPr>
              <w:spacing w:after="0"/>
              <w:rPr>
                <w:sz w:val="18"/>
                <w:szCs w:val="18"/>
                <w:color w:val="auto"/>
              </w:rPr>
            </w:pPr>
          </w:p>
        </w:tc>
        <w:tc>
          <w:tcPr>
            <w:tcW w:w="640" w:type="dxa"/>
            <w:vAlign w:val="bottom"/>
            <w:gridSpan w:val="6"/>
          </w:tcPr>
          <w:p>
            <w:pPr>
              <w:jc w:val="center"/>
              <w:ind w:right="180"/>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6</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4">
              <w:r>
                <w:rPr>
                  <w:rFonts w:ascii="Arial" w:cs="Arial" w:eastAsia="Arial" w:hAnsi="Arial"/>
                  <w:sz w:val="18"/>
                  <w:szCs w:val="18"/>
                  <w:color w:val="0000FF"/>
                </w:rPr>
                <w:t>Offer Letter, dated as of March 23, 2010, by and between Arteris, Inc. and David</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Mertens.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r>
              <w:rPr>
                <w:rFonts w:ascii="Arial" w:cs="Arial" w:eastAsia="Arial" w:hAnsi="Arial"/>
                <w:sz w:val="18"/>
                <w:szCs w:val="18"/>
                <w:color w:val="000000"/>
              </w:rPr>
              <w:t>#</w:t>
            </w:r>
          </w:p>
        </w:tc>
        <w:tc>
          <w:tcPr>
            <w:tcW w:w="7100" w:type="dxa"/>
            <w:vAlign w:val="bottom"/>
            <w:gridSpan w:val="38"/>
          </w:tcPr>
          <w:p>
            <w:pPr>
              <w:spacing w:after="0"/>
              <w:rPr>
                <w:rFonts w:ascii="Arial" w:cs="Arial" w:eastAsia="Arial" w:hAnsi="Arial"/>
                <w:sz w:val="18"/>
                <w:szCs w:val="18"/>
                <w:color w:val="0000FF"/>
              </w:rPr>
            </w:pPr>
            <w:hyperlink r:id="rId65">
              <w:r>
                <w:rPr>
                  <w:rFonts w:ascii="Arial" w:cs="Arial" w:eastAsia="Arial" w:hAnsi="Arial"/>
                  <w:sz w:val="18"/>
                  <w:szCs w:val="18"/>
                  <w:color w:val="0000FF"/>
                </w:rPr>
                <w:t xml:space="preserve">Arteris Commission Agreement, dated April 10, 2017, by and between Arteris, Inc. </w:t>
              </w:r>
            </w:hyperlink>
            <w:r>
              <w:rPr>
                <w:rFonts w:ascii="Arial" w:cs="Arial" w:eastAsia="Arial" w:hAnsi="Arial"/>
                <w:sz w:val="18"/>
                <w:szCs w:val="18"/>
                <w:color w:val="000000"/>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and David Mertens.</w:t>
              </w:r>
            </w:hyperlink>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Amendment to the Arteris Commission Agreement, dated as of January 1, 2020,</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by and between Arteris, Inc. and David Mertens.</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180" w:type="dxa"/>
            <w:vAlign w:val="bottom"/>
            <w:gridSpan w:val="2"/>
          </w:tcPr>
          <w:p>
            <w:pPr>
              <w:spacing w:after="0"/>
              <w:rPr>
                <w:sz w:val="18"/>
                <w:szCs w:val="18"/>
                <w:color w:val="auto"/>
              </w:rPr>
            </w:pPr>
          </w:p>
        </w:tc>
        <w:tc>
          <w:tcPr>
            <w:tcW w:w="640" w:type="dxa"/>
            <w:vAlign w:val="bottom"/>
            <w:gridSpan w:val="6"/>
          </w:tcPr>
          <w:p>
            <w:pPr>
              <w:jc w:val="center"/>
              <w:ind w:right="180"/>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r>
              <w:rPr>
                <w:rFonts w:ascii="Arial" w:cs="Arial" w:eastAsia="Arial" w:hAnsi="Arial"/>
                <w:sz w:val="18"/>
                <w:szCs w:val="18"/>
                <w:color w:val="000000"/>
              </w:rPr>
              <w:t>#</w:t>
            </w:r>
          </w:p>
        </w:tc>
        <w:tc>
          <w:tcPr>
            <w:tcW w:w="6540" w:type="dxa"/>
            <w:vAlign w:val="bottom"/>
            <w:gridSpan w:val="37"/>
          </w:tcPr>
          <w:p>
            <w:pPr>
              <w:spacing w:after="0"/>
              <w:rPr>
                <w:rFonts w:ascii="Arial" w:cs="Arial" w:eastAsia="Arial" w:hAnsi="Arial"/>
                <w:sz w:val="18"/>
                <w:szCs w:val="18"/>
                <w:color w:val="0000FF"/>
              </w:rPr>
            </w:pPr>
            <w:hyperlink r:id="rId67">
              <w:r>
                <w:rPr>
                  <w:rFonts w:ascii="Arial" w:cs="Arial" w:eastAsia="Arial" w:hAnsi="Arial"/>
                  <w:sz w:val="18"/>
                  <w:szCs w:val="18"/>
                  <w:color w:val="0000FF"/>
                </w:rPr>
                <w:t>Employment Agreement, by and between Arteris IP SAS and Isabelle Geday.</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820" w:type="dxa"/>
            <w:vAlign w:val="bottom"/>
            <w:gridSpan w:val="8"/>
          </w:tcPr>
          <w:p>
            <w:pPr>
              <w:jc w:val="cente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10</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68">
              <w:r>
                <w:rPr>
                  <w:rFonts w:ascii="Arial" w:cs="Arial" w:eastAsia="Arial" w:hAnsi="Arial"/>
                  <w:sz w:val="18"/>
                  <w:szCs w:val="18"/>
                  <w:color w:val="0000FF"/>
                </w:rPr>
                <w:t>Arteris, Inc. 2013 Equity Incentive Plan and related form agreements, as</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10.11</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5"/>
        </w:trPr>
        <w:tc>
          <w:tcPr>
            <w:tcW w:w="1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amended.</w:t>
              </w:r>
            </w:hyperlink>
          </w:p>
        </w:tc>
        <w:tc>
          <w:tcPr>
            <w:tcW w:w="3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11</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69">
              <w:r>
                <w:rPr>
                  <w:rFonts w:ascii="Arial" w:cs="Arial" w:eastAsia="Arial" w:hAnsi="Arial"/>
                  <w:sz w:val="18"/>
                  <w:szCs w:val="18"/>
                  <w:color w:val="0000FF"/>
                </w:rPr>
                <w:t>Arteris, Inc. 2016 Equity Incentive Plan for the Grant of Restricted Stock Unit</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10-01-2021</w:t>
            </w:r>
          </w:p>
        </w:tc>
      </w:tr>
      <w:tr>
        <w:trPr>
          <w:trHeight w:val="156"/>
        </w:trPr>
        <w:tc>
          <w:tcPr>
            <w:tcW w:w="1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Awards to Employees in France.</w:t>
              </w:r>
            </w:hyperlink>
          </w:p>
        </w:tc>
        <w:tc>
          <w:tcPr>
            <w:tcW w:w="8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w w:val="98"/>
              </w:rPr>
            </w:pPr>
            <w:hyperlink r:id="rId70">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12</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70">
              <w:r>
                <w:rPr>
                  <w:rFonts w:ascii="Arial" w:cs="Arial" w:eastAsia="Arial" w:hAnsi="Arial"/>
                  <w:sz w:val="18"/>
                  <w:szCs w:val="18"/>
                  <w:color w:val="0000FF"/>
                </w:rPr>
                <w:t>Form of Arteris, Inc. 2021 Incentive Award Plan.</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S-8</w:t>
            </w:r>
          </w:p>
        </w:tc>
        <w:tc>
          <w:tcPr>
            <w:tcW w:w="3320" w:type="dxa"/>
            <w:vAlign w:val="bottom"/>
            <w:gridSpan w:val="3"/>
          </w:tcPr>
          <w:p>
            <w:pPr>
              <w:jc w:val="right"/>
              <w:ind w:right="572"/>
              <w:spacing w:after="0"/>
              <w:rPr>
                <w:sz w:val="20"/>
                <w:szCs w:val="20"/>
                <w:color w:val="auto"/>
              </w:rPr>
            </w:pPr>
            <w:r>
              <w:rPr>
                <w:rFonts w:ascii="Arial" w:cs="Arial" w:eastAsia="Arial" w:hAnsi="Arial"/>
                <w:sz w:val="18"/>
                <w:szCs w:val="18"/>
                <w:color w:val="auto"/>
              </w:rPr>
              <w:t>333-259988 99.2(a) 10-29-2021</w:t>
            </w:r>
          </w:p>
        </w:tc>
      </w:tr>
      <w:tr>
        <w:trPr>
          <w:trHeight w:val="20"/>
        </w:trPr>
        <w:tc>
          <w:tcPr>
            <w:tcW w:w="6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w w:val="98"/>
              </w:rPr>
            </w:pPr>
            <w:hyperlink r:id="rId71">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13</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Stock Option Award Agreement under Arteris, Inc. 2021 Incentive Award</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156"/>
        </w:trPr>
        <w:tc>
          <w:tcPr>
            <w:tcW w:w="1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Plan.</w:t>
              </w:r>
            </w:hyperlink>
          </w:p>
        </w:tc>
        <w:tc>
          <w:tcPr>
            <w:tcW w:w="604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10"/>
        </w:trPr>
        <w:tc>
          <w:tcPr>
            <w:tcW w:w="820" w:type="dxa"/>
            <w:vAlign w:val="bottom"/>
            <w:gridSpan w:val="8"/>
          </w:tcPr>
          <w:p>
            <w:pPr>
              <w:jc w:val="cente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14</w:t>
              </w:r>
            </w:hyperlink>
            <w:r>
              <w:rPr>
                <w:rFonts w:ascii="Arial" w:cs="Arial" w:eastAsia="Arial" w:hAnsi="Arial"/>
                <w:sz w:val="18"/>
                <w:szCs w:val="18"/>
                <w:color w:val="000000"/>
                <w:w w:val="98"/>
              </w:rPr>
              <w:t>#</w:t>
            </w:r>
          </w:p>
        </w:tc>
        <w:tc>
          <w:tcPr>
            <w:tcW w:w="7100" w:type="dxa"/>
            <w:vAlign w:val="bottom"/>
            <w:gridSpan w:val="38"/>
          </w:tcPr>
          <w:p>
            <w:pPr>
              <w:spacing w:after="0"/>
              <w:rPr>
                <w:rFonts w:ascii="Arial" w:cs="Arial" w:eastAsia="Arial" w:hAnsi="Arial"/>
                <w:sz w:val="18"/>
                <w:szCs w:val="18"/>
                <w:color w:val="0000FF"/>
              </w:rPr>
            </w:pPr>
            <w:hyperlink r:id="rId72">
              <w:r>
                <w:rPr>
                  <w:rFonts w:ascii="Arial" w:cs="Arial" w:eastAsia="Arial" w:hAnsi="Arial"/>
                  <w:sz w:val="18"/>
                  <w:szCs w:val="18"/>
                  <w:color w:val="0000FF"/>
                </w:rPr>
                <w:t xml:space="preserve">Form of Restricted Stock Unit Award Agreement under Arteris, Inc. 2021 Incentive </w:t>
              </w:r>
            </w:hyperlink>
            <w:r>
              <w:rPr>
                <w:rFonts w:ascii="Arial" w:cs="Arial" w:eastAsia="Arial" w:hAnsi="Arial"/>
                <w:sz w:val="18"/>
                <w:szCs w:val="18"/>
                <w:color w:val="000000"/>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155"/>
        </w:trPr>
        <w:tc>
          <w:tcPr>
            <w:tcW w:w="1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Award Plan.</w:t>
              </w:r>
            </w:hyperlink>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6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820" w:type="dxa"/>
            <w:vAlign w:val="bottom"/>
            <w:gridSpan w:val="8"/>
          </w:tcPr>
          <w:p>
            <w:pPr>
              <w:jc w:val="center"/>
              <w:spacing w:after="0"/>
              <w:rPr>
                <w:rFonts w:ascii="Arial" w:cs="Arial" w:eastAsia="Arial" w:hAnsi="Arial"/>
                <w:sz w:val="18"/>
                <w:szCs w:val="18"/>
                <w:color w:val="0000FF"/>
                <w:w w:val="98"/>
              </w:rPr>
            </w:pPr>
            <w:hyperlink r:id="rId73">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15</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73">
              <w:r>
                <w:rPr>
                  <w:rFonts w:ascii="Arial" w:cs="Arial" w:eastAsia="Arial" w:hAnsi="Arial"/>
                  <w:sz w:val="18"/>
                  <w:szCs w:val="18"/>
                  <w:color w:val="0000FF"/>
                </w:rPr>
                <w:t>2021 Employee Stock Purchase Plan.</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S-8</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99.3</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10-29-2021</w:t>
            </w:r>
          </w:p>
        </w:tc>
      </w:tr>
      <w:tr>
        <w:trPr>
          <w:trHeight w:val="20"/>
        </w:trPr>
        <w:tc>
          <w:tcPr>
            <w:tcW w:w="140" w:type="dxa"/>
            <w:vAlign w:val="bottom"/>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0" w:type="dxa"/>
            <w:vAlign w:val="bottom"/>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820" w:type="dxa"/>
            <w:vAlign w:val="bottom"/>
            <w:gridSpan w:val="8"/>
          </w:tcPr>
          <w:p>
            <w:pPr>
              <w:jc w:val="center"/>
              <w:spacing w:after="0"/>
              <w:rPr>
                <w:rFonts w:ascii="Arial" w:cs="Arial" w:eastAsia="Arial" w:hAnsi="Arial"/>
                <w:sz w:val="18"/>
                <w:szCs w:val="18"/>
                <w:color w:val="0000FF"/>
                <w:w w:val="98"/>
              </w:rPr>
            </w:pPr>
            <w:hyperlink r:id="rId74">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16</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Executive Change in Control Severance Agreement.</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10.17</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20"/>
        </w:trPr>
        <w:tc>
          <w:tcPr>
            <w:tcW w:w="140" w:type="dxa"/>
            <w:vAlign w:val="bottom"/>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40" w:type="dxa"/>
            <w:vAlign w:val="bottom"/>
            <w:gridSpan w:val="11"/>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w w:val="98"/>
              </w:rPr>
            </w:pPr>
            <w:hyperlink r:id="rId75">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17</w:t>
              </w:r>
            </w:hyperlink>
            <w:r>
              <w:rPr>
                <w:rFonts w:ascii="Arial" w:cs="Arial" w:eastAsia="Arial" w:hAnsi="Arial"/>
                <w:sz w:val="18"/>
                <w:szCs w:val="18"/>
                <w:color w:val="000000"/>
                <w:w w:val="98"/>
              </w:rPr>
              <w:t>#</w:t>
            </w:r>
          </w:p>
        </w:tc>
        <w:tc>
          <w:tcPr>
            <w:tcW w:w="6540" w:type="dxa"/>
            <w:vAlign w:val="bottom"/>
            <w:gridSpan w:val="37"/>
          </w:tcPr>
          <w:p>
            <w:pPr>
              <w:spacing w:after="0"/>
              <w:rPr>
                <w:rFonts w:ascii="Arial" w:cs="Arial" w:eastAsia="Arial" w:hAnsi="Arial"/>
                <w:sz w:val="18"/>
                <w:szCs w:val="18"/>
                <w:color w:val="0000FF"/>
              </w:rPr>
            </w:pPr>
            <w:hyperlink r:id="rId75">
              <w:r>
                <w:rPr>
                  <w:rFonts w:ascii="Arial" w:cs="Arial" w:eastAsia="Arial" w:hAnsi="Arial"/>
                  <w:sz w:val="18"/>
                  <w:szCs w:val="18"/>
                  <w:color w:val="0000FF"/>
                </w:rPr>
                <w:t>Arteris, Inc. Non-Employee Director Compensation Policy.</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10.18</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20"/>
        </w:trPr>
        <w:tc>
          <w:tcPr>
            <w:tcW w:w="6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40" w:type="dxa"/>
            <w:vAlign w:val="bottom"/>
            <w:gridSpan w:val="11"/>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820" w:type="dxa"/>
            <w:vAlign w:val="bottom"/>
            <w:gridSpan w:val="8"/>
          </w:tcPr>
          <w:p>
            <w:pPr>
              <w:jc w:val="center"/>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6540" w:type="dxa"/>
            <w:vAlign w:val="bottom"/>
            <w:gridSpan w:val="37"/>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Form of Indemnification Agreement between Arteris, Inc. and its directors and</w:t>
              </w:r>
            </w:hyperlink>
          </w:p>
        </w:tc>
        <w:tc>
          <w:tcPr>
            <w:tcW w:w="560" w:type="dxa"/>
            <w:vAlign w:val="bottom"/>
          </w:tcPr>
          <w:p>
            <w:pPr>
              <w:ind w:left="60"/>
              <w:spacing w:after="0"/>
              <w:rPr>
                <w:sz w:val="20"/>
                <w:szCs w:val="20"/>
                <w:color w:val="auto"/>
              </w:rPr>
            </w:pPr>
            <w:r>
              <w:rPr>
                <w:rFonts w:ascii="Arial" w:cs="Arial" w:eastAsia="Arial" w:hAnsi="Arial"/>
                <w:sz w:val="18"/>
                <w:szCs w:val="18"/>
                <w:color w:val="auto"/>
              </w:rPr>
              <w:t>S-1/A</w:t>
            </w:r>
          </w:p>
        </w:tc>
        <w:tc>
          <w:tcPr>
            <w:tcW w:w="1060" w:type="dxa"/>
            <w:vAlign w:val="bottom"/>
          </w:tcPr>
          <w:p>
            <w:pPr>
              <w:ind w:left="40"/>
              <w:spacing w:after="0"/>
              <w:rPr>
                <w:sz w:val="20"/>
                <w:szCs w:val="20"/>
                <w:color w:val="auto"/>
              </w:rPr>
            </w:pPr>
            <w:r>
              <w:rPr>
                <w:rFonts w:ascii="Arial" w:cs="Arial" w:eastAsia="Arial" w:hAnsi="Arial"/>
                <w:sz w:val="18"/>
                <w:szCs w:val="18"/>
                <w:color w:val="auto"/>
              </w:rPr>
              <w:t>333-259988</w:t>
            </w:r>
          </w:p>
        </w:tc>
        <w:tc>
          <w:tcPr>
            <w:tcW w:w="640" w:type="dxa"/>
            <w:vAlign w:val="bottom"/>
          </w:tcPr>
          <w:p>
            <w:pPr>
              <w:jc w:val="right"/>
              <w:spacing w:after="0"/>
              <w:rPr>
                <w:sz w:val="20"/>
                <w:szCs w:val="20"/>
                <w:color w:val="auto"/>
              </w:rPr>
            </w:pPr>
            <w:r>
              <w:rPr>
                <w:rFonts w:ascii="Arial" w:cs="Arial" w:eastAsia="Arial" w:hAnsi="Arial"/>
                <w:sz w:val="18"/>
                <w:szCs w:val="18"/>
                <w:color w:val="auto"/>
              </w:rPr>
              <w:t>10.19</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10-18-2021</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1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officers.</w:t>
              </w:r>
            </w:hyperlink>
          </w:p>
        </w:tc>
        <w:tc>
          <w:tcPr>
            <w:tcW w:w="160" w:type="dxa"/>
            <w:vAlign w:val="bottom"/>
            <w:gridSpan w:val="3"/>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580" w:type="dxa"/>
            <w:vAlign w:val="bottom"/>
            <w:gridSpan w:val="6"/>
          </w:tcPr>
          <w:p>
            <w:pPr>
              <w:jc w:val="center"/>
              <w:ind w:left="151"/>
              <w:spacing w:after="0"/>
              <w:rPr>
                <w:rFonts w:ascii="Arial" w:cs="Arial" w:eastAsia="Arial" w:hAnsi="Arial"/>
                <w:sz w:val="18"/>
                <w:szCs w:val="18"/>
                <w:color w:val="0000FF"/>
                <w:w w:val="96"/>
              </w:rPr>
            </w:pPr>
            <w:hyperlink w:anchor="page47">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40" w:type="dxa"/>
            <w:vAlign w:val="bottom"/>
            <w:gridSpan w:val="3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Executive Officer pursuant to Rules 13a-14(a) and 15d-</w:t>
              </w:r>
            </w:hyperlink>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X</w:t>
            </w: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7"/>
              </w:rPr>
            </w:pPr>
            <w:hyperlink w:anchor="page47">
              <w:r>
                <w:rPr>
                  <w:rFonts w:ascii="Arial" w:cs="Arial" w:eastAsia="Arial" w:hAnsi="Arial"/>
                  <w:sz w:val="18"/>
                  <w:szCs w:val="18"/>
                  <w:color w:val="0000FF"/>
                  <w:w w:val="97"/>
                </w:rPr>
                <w:t>14(a) under the Securities Exchange Act of 1934, as adopted pursuant to Section</w:t>
              </w:r>
            </w:hyperlink>
          </w:p>
        </w:tc>
        <w:tc>
          <w:tcPr>
            <w:tcW w:w="160" w:type="dxa"/>
            <w:vAlign w:val="bottom"/>
            <w:tcBorders>
              <w:bottom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00" w:type="dxa"/>
            <w:vAlign w:val="bottom"/>
            <w:gridSpan w:val="35"/>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302 of the Sarbanes-Oxley Act of 2002.</w:t>
              </w:r>
            </w:hyperlink>
          </w:p>
        </w:tc>
        <w:tc>
          <w:tcPr>
            <w:tcW w:w="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925"/>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top w:val="single" w:sz="8" w:color="0000FF"/>
            </w:tcBorders>
            <w:gridSpan w:val="13"/>
          </w:tcPr>
          <w:p>
            <w:pPr>
              <w:spacing w:after="0"/>
              <w:rPr>
                <w:sz w:val="24"/>
                <w:szCs w:val="24"/>
                <w:color w:val="auto"/>
              </w:rPr>
            </w:pPr>
          </w:p>
        </w:tc>
        <w:tc>
          <w:tcPr>
            <w:tcW w:w="1960" w:type="dxa"/>
            <w:vAlign w:val="bottom"/>
            <w:gridSpan w:val="5"/>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0" w:type="dxa"/>
            <w:vAlign w:val="bottom"/>
            <w:gridSpan w:val="4"/>
          </w:tcPr>
          <w:p>
            <w:pPr>
              <w:jc w:val="center"/>
              <w:ind w:right="60"/>
              <w:spacing w:after="0"/>
              <w:rPr>
                <w:rFonts w:ascii="Arial" w:cs="Arial" w:eastAsia="Arial" w:hAnsi="Arial"/>
                <w:sz w:val="18"/>
                <w:szCs w:val="18"/>
                <w:color w:val="0000FF"/>
                <w:w w:val="96"/>
              </w:rPr>
            </w:pPr>
            <w:hyperlink w:anchor="page4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26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Principal Financial Officer pursuant to Rules 13a-14(a) and 15d-</w:t>
              </w:r>
            </w:hyperlink>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60" w:type="dxa"/>
            <w:vAlign w:val="bottom"/>
            <w:gridSpan w:val="7"/>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14(a) under the Securities Exchange Act of 1934, as adopted pursuant to Section</w:t>
              </w:r>
            </w:hyperlink>
          </w:p>
        </w:tc>
        <w:tc>
          <w:tcPr>
            <w:tcW w:w="192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48">
              <w:r>
                <w:rPr>
                  <w:rFonts w:ascii="Arial" w:cs="Arial" w:eastAsia="Arial" w:hAnsi="Arial"/>
                  <w:sz w:val="18"/>
                  <w:szCs w:val="18"/>
                  <w:color w:val="0000FF"/>
                  <w:w w:val="98"/>
                </w:rPr>
                <w:t>302 of the Sarbanes-Oxley Act of 2002.</w:t>
              </w:r>
            </w:hyperlink>
          </w:p>
        </w:tc>
        <w:tc>
          <w:tcPr>
            <w:tcW w:w="3320" w:type="dxa"/>
            <w:vAlign w:val="bottom"/>
            <w:tcBorders>
              <w:top w:val="single" w:sz="8" w:color="0000FF"/>
            </w:tcBorders>
            <w:gridSpan w:val="5"/>
          </w:tcPr>
          <w:p>
            <w:pPr>
              <w:spacing w:after="0"/>
              <w:rPr>
                <w:sz w:val="13"/>
                <w:szCs w:val="13"/>
                <w:color w:val="auto"/>
              </w:rPr>
            </w:pPr>
          </w:p>
        </w:tc>
        <w:tc>
          <w:tcPr>
            <w:tcW w:w="18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9"/>
        </w:trPr>
        <w:tc>
          <w:tcPr>
            <w:tcW w:w="800" w:type="dxa"/>
            <w:vAlign w:val="bottom"/>
            <w:gridSpan w:val="4"/>
          </w:tcPr>
          <w:p>
            <w:pPr>
              <w:jc w:val="center"/>
              <w:ind w:right="60"/>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r>
              <w:rPr>
                <w:rFonts w:ascii="Arial" w:cs="Arial" w:eastAsia="Arial" w:hAnsi="Arial"/>
                <w:sz w:val="18"/>
                <w:szCs w:val="18"/>
                <w:color w:val="000000"/>
                <w:w w:val="99"/>
              </w:rPr>
              <w:t>*</w:t>
            </w:r>
          </w:p>
        </w:tc>
        <w:tc>
          <w:tcPr>
            <w:tcW w:w="826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Executive Officer pursuant to 18 U.S.C. Section 1350, as</w:t>
              </w:r>
            </w:hyperlink>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156"/>
        </w:trPr>
        <w:tc>
          <w:tcPr>
            <w:tcW w:w="1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adopted pursuant to Section 906 of the Sarbanes-Oxley Act of 2002.</w:t>
              </w:r>
            </w:hyperlink>
          </w:p>
        </w:tc>
        <w:tc>
          <w:tcPr>
            <w:tcW w:w="1000" w:type="dxa"/>
            <w:vAlign w:val="bottom"/>
            <w:tcBorders>
              <w:top w:val="single" w:sz="8" w:color="0000FF"/>
            </w:tcBorders>
            <w:gridSpan w:val="3"/>
          </w:tcPr>
          <w:p>
            <w:pPr>
              <w:spacing w:after="0"/>
              <w:rPr>
                <w:sz w:val="13"/>
                <w:szCs w:val="13"/>
                <w:color w:val="auto"/>
              </w:rPr>
            </w:pPr>
          </w:p>
        </w:tc>
        <w:tc>
          <w:tcPr>
            <w:tcW w:w="1820" w:type="dxa"/>
            <w:vAlign w:val="bottom"/>
            <w:gridSpan w:val="2"/>
          </w:tcPr>
          <w:p>
            <w:pPr>
              <w:spacing w:after="0"/>
              <w:rPr>
                <w:sz w:val="13"/>
                <w:szCs w:val="13"/>
                <w:color w:val="auto"/>
              </w:rPr>
            </w:pPr>
          </w:p>
        </w:tc>
        <w:tc>
          <w:tcPr>
            <w:tcW w:w="1920" w:type="dxa"/>
            <w:vAlign w:val="bottom"/>
          </w:tcPr>
          <w:p>
            <w:pPr>
              <w:spacing w:after="0"/>
              <w:rPr>
                <w:sz w:val="13"/>
                <w:szCs w:val="13"/>
                <w:color w:val="auto"/>
              </w:rPr>
            </w:pPr>
          </w:p>
        </w:tc>
      </w:tr>
      <w:tr>
        <w:trPr>
          <w:trHeight w:val="209"/>
        </w:trPr>
        <w:tc>
          <w:tcPr>
            <w:tcW w:w="800" w:type="dxa"/>
            <w:vAlign w:val="bottom"/>
            <w:gridSpan w:val="4"/>
          </w:tcPr>
          <w:p>
            <w:pPr>
              <w:jc w:val="center"/>
              <w:ind w:right="60"/>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hyperlink>
            <w:r>
              <w:rPr>
                <w:rFonts w:ascii="Arial" w:cs="Arial" w:eastAsia="Arial" w:hAnsi="Arial"/>
                <w:sz w:val="18"/>
                <w:szCs w:val="18"/>
                <w:color w:val="000000"/>
                <w:w w:val="99"/>
              </w:rPr>
              <w:t>*</w:t>
            </w:r>
          </w:p>
        </w:tc>
        <w:tc>
          <w:tcPr>
            <w:tcW w:w="8260" w:type="dxa"/>
            <w:vAlign w:val="bottom"/>
            <w:gridSpan w:val="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Principal Financial Officer pursuant to 18 U.S.C. Section 1350, as</w:t>
              </w:r>
            </w:hyperlink>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156"/>
        </w:trPr>
        <w:tc>
          <w:tcPr>
            <w:tcW w:w="1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adopted pursuant to Section 906 of the Sarbanes-Oxley Act of 2002.</w:t>
              </w:r>
            </w:hyperlink>
          </w:p>
        </w:tc>
        <w:tc>
          <w:tcPr>
            <w:tcW w:w="940" w:type="dxa"/>
            <w:vAlign w:val="bottom"/>
            <w:tcBorders>
              <w:top w:val="single" w:sz="8" w:color="0000FF"/>
            </w:tcBorders>
            <w:gridSpan w:val="2"/>
          </w:tcPr>
          <w:p>
            <w:pPr>
              <w:spacing w:after="0"/>
              <w:rPr>
                <w:sz w:val="13"/>
                <w:szCs w:val="13"/>
                <w:color w:val="auto"/>
              </w:rPr>
            </w:pPr>
          </w:p>
        </w:tc>
        <w:tc>
          <w:tcPr>
            <w:tcW w:w="1880" w:type="dxa"/>
            <w:vAlign w:val="bottom"/>
            <w:gridSpan w:val="3"/>
          </w:tcPr>
          <w:p>
            <w:pPr>
              <w:spacing w:after="0"/>
              <w:rPr>
                <w:sz w:val="13"/>
                <w:szCs w:val="13"/>
                <w:color w:val="auto"/>
              </w:rPr>
            </w:pPr>
          </w:p>
        </w:tc>
        <w:tc>
          <w:tcPr>
            <w:tcW w:w="1920" w:type="dxa"/>
            <w:vAlign w:val="bottom"/>
          </w:tcPr>
          <w:p>
            <w:pPr>
              <w:spacing w:after="0"/>
              <w:rPr>
                <w:sz w:val="13"/>
                <w:szCs w:val="13"/>
                <w:color w:val="auto"/>
              </w:rPr>
            </w:pPr>
          </w:p>
        </w:tc>
      </w:tr>
      <w:tr>
        <w:trPr>
          <w:trHeight w:val="209"/>
        </w:trPr>
        <w:tc>
          <w:tcPr>
            <w:tcW w:w="9060" w:type="dxa"/>
            <w:vAlign w:val="bottom"/>
            <w:gridSpan w:val="11"/>
          </w:tcPr>
          <w:p>
            <w:pPr>
              <w:ind w:left="4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176"/>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60" w:type="dxa"/>
            <w:vAlign w:val="bottom"/>
            <w:gridSpan w:val="7"/>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1920" w:type="dxa"/>
            <w:vAlign w:val="bottom"/>
          </w:tcPr>
          <w:p>
            <w:pPr>
              <w:spacing w:after="0"/>
              <w:rPr>
                <w:sz w:val="15"/>
                <w:szCs w:val="15"/>
                <w:color w:val="auto"/>
              </w:rPr>
            </w:pPr>
          </w:p>
        </w:tc>
      </w:tr>
      <w:tr>
        <w:trPr>
          <w:trHeight w:val="217"/>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1920" w:type="dxa"/>
            <w:vAlign w:val="bottom"/>
          </w:tcPr>
          <w:p>
            <w:pPr>
              <w:spacing w:after="0"/>
              <w:rPr>
                <w:sz w:val="18"/>
                <w:szCs w:val="18"/>
                <w:color w:val="auto"/>
              </w:rPr>
            </w:pPr>
          </w:p>
        </w:tc>
      </w:tr>
      <w:tr>
        <w:trPr>
          <w:trHeight w:val="230"/>
        </w:trPr>
        <w:tc>
          <w:tcPr>
            <w:tcW w:w="9060" w:type="dxa"/>
            <w:vAlign w:val="bottom"/>
            <w:gridSpan w:val="11"/>
          </w:tcPr>
          <w:p>
            <w:pPr>
              <w:spacing w:after="0"/>
              <w:rPr>
                <w:sz w:val="20"/>
                <w:szCs w:val="20"/>
                <w:color w:val="auto"/>
              </w:rPr>
            </w:pPr>
            <w:r>
              <w:rPr>
                <w:rFonts w:ascii="Arial" w:cs="Arial" w:eastAsia="Arial" w:hAnsi="Arial"/>
                <w:sz w:val="18"/>
                <w:szCs w:val="18"/>
                <w:color w:val="auto"/>
              </w:rPr>
              <w:t>101.SCH XBRL Taxonomy Extension Schema Document.</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229"/>
        </w:trPr>
        <w:tc>
          <w:tcPr>
            <w:tcW w:w="9060" w:type="dxa"/>
            <w:vAlign w:val="bottom"/>
            <w:gridSpan w:val="11"/>
          </w:tcPr>
          <w:p>
            <w:pPr>
              <w:ind w:left="20"/>
              <w:spacing w:after="0"/>
              <w:rPr>
                <w:sz w:val="20"/>
                <w:szCs w:val="20"/>
                <w:color w:val="auto"/>
              </w:rPr>
            </w:pPr>
            <w:r>
              <w:rPr>
                <w:rFonts w:ascii="Arial" w:cs="Arial" w:eastAsia="Arial" w:hAnsi="Arial"/>
                <w:sz w:val="18"/>
                <w:szCs w:val="18"/>
                <w:color w:val="auto"/>
              </w:rPr>
              <w:t>101.CAL XBRL Taxonomy Extension Calculation Linkbase Document.</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229"/>
        </w:trPr>
        <w:tc>
          <w:tcPr>
            <w:tcW w:w="9060" w:type="dxa"/>
            <w:vAlign w:val="bottom"/>
            <w:gridSpan w:val="11"/>
          </w:tcPr>
          <w:p>
            <w:pPr>
              <w:ind w:left="20"/>
              <w:spacing w:after="0"/>
              <w:rPr>
                <w:sz w:val="20"/>
                <w:szCs w:val="20"/>
                <w:color w:val="auto"/>
              </w:rPr>
            </w:pPr>
            <w:r>
              <w:rPr>
                <w:rFonts w:ascii="Arial" w:cs="Arial" w:eastAsia="Arial" w:hAnsi="Arial"/>
                <w:sz w:val="18"/>
                <w:szCs w:val="18"/>
                <w:color w:val="auto"/>
              </w:rPr>
              <w:t>101.DEF XBRL Taxonomy Extension Definition Linkbase Document.</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230"/>
        </w:trPr>
        <w:tc>
          <w:tcPr>
            <w:tcW w:w="9060" w:type="dxa"/>
            <w:vAlign w:val="bottom"/>
            <w:gridSpan w:val="11"/>
          </w:tcPr>
          <w:p>
            <w:pPr>
              <w:ind w:left="20"/>
              <w:spacing w:after="0"/>
              <w:rPr>
                <w:sz w:val="20"/>
                <w:szCs w:val="20"/>
                <w:color w:val="auto"/>
              </w:rPr>
            </w:pPr>
            <w:r>
              <w:rPr>
                <w:rFonts w:ascii="Arial" w:cs="Arial" w:eastAsia="Arial" w:hAnsi="Arial"/>
                <w:sz w:val="18"/>
                <w:szCs w:val="18"/>
                <w:color w:val="auto"/>
              </w:rPr>
              <w:t>101.LAB XBRL Taxonomy Extension Label Linkbase Document.</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229"/>
        </w:trPr>
        <w:tc>
          <w:tcPr>
            <w:tcW w:w="9060" w:type="dxa"/>
            <w:vAlign w:val="bottom"/>
            <w:gridSpan w:val="11"/>
          </w:tcPr>
          <w:p>
            <w:pPr>
              <w:spacing w:after="0"/>
              <w:rPr>
                <w:sz w:val="20"/>
                <w:szCs w:val="20"/>
                <w:color w:val="auto"/>
              </w:rPr>
            </w:pPr>
            <w:r>
              <w:rPr>
                <w:rFonts w:ascii="Arial" w:cs="Arial" w:eastAsia="Arial" w:hAnsi="Arial"/>
                <w:sz w:val="18"/>
                <w:szCs w:val="18"/>
                <w:color w:val="auto"/>
              </w:rPr>
              <w:t>101.PRE XBRL Taxonomy Extension Presentation Linkbase Document.</w:t>
            </w:r>
          </w:p>
        </w:tc>
        <w:tc>
          <w:tcPr>
            <w:tcW w:w="1920" w:type="dxa"/>
            <w:vAlign w:val="bottom"/>
          </w:tcPr>
          <w:p>
            <w:pPr>
              <w:ind w:left="1800"/>
              <w:spacing w:after="0"/>
              <w:rPr>
                <w:sz w:val="20"/>
                <w:szCs w:val="20"/>
                <w:color w:val="auto"/>
              </w:rPr>
            </w:pPr>
            <w:r>
              <w:rPr>
                <w:rFonts w:ascii="Arial" w:cs="Arial" w:eastAsia="Arial" w:hAnsi="Arial"/>
                <w:sz w:val="18"/>
                <w:szCs w:val="18"/>
                <w:color w:val="auto"/>
                <w:w w:val="82"/>
              </w:rPr>
              <w:t>X</w:t>
            </w:r>
          </w:p>
        </w:tc>
      </w:tr>
      <w:tr>
        <w:trPr>
          <w:trHeight w:val="188"/>
        </w:trPr>
        <w:tc>
          <w:tcPr>
            <w:tcW w:w="54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16"/>
                <w:szCs w:val="16"/>
                <w:color w:val="auto"/>
              </w:rPr>
            </w:pPr>
          </w:p>
        </w:tc>
        <w:tc>
          <w:tcPr>
            <w:tcW w:w="8260" w:type="dxa"/>
            <w:vAlign w:val="bottom"/>
            <w:gridSpan w:val="7"/>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1920" w:type="dxa"/>
            <w:vAlign w:val="bottom"/>
          </w:tcPr>
          <w:p>
            <w:pPr>
              <w:ind w:left="1800"/>
              <w:spacing w:after="0" w:line="189" w:lineRule="exact"/>
              <w:rPr>
                <w:sz w:val="20"/>
                <w:szCs w:val="20"/>
                <w:color w:val="auto"/>
              </w:rPr>
            </w:pPr>
            <w:r>
              <w:rPr>
                <w:rFonts w:ascii="Arial" w:cs="Arial" w:eastAsia="Arial" w:hAnsi="Arial"/>
                <w:sz w:val="18"/>
                <w:szCs w:val="18"/>
                <w:color w:val="auto"/>
                <w:w w:val="82"/>
              </w:rPr>
              <w:t>X</w:t>
            </w:r>
          </w:p>
        </w:tc>
      </w:tr>
      <w:tr>
        <w:trPr>
          <w:trHeight w:val="217"/>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60" w:type="dxa"/>
            <w:vAlign w:val="bottom"/>
            <w:gridSpan w:val="7"/>
          </w:tcPr>
          <w:p>
            <w:pPr>
              <w:spacing w:after="0"/>
              <w:rPr>
                <w:sz w:val="20"/>
                <w:szCs w:val="20"/>
                <w:color w:val="auto"/>
              </w:rPr>
            </w:pPr>
            <w:r>
              <w:rPr>
                <w:rFonts w:ascii="Arial" w:cs="Arial" w:eastAsia="Arial" w:hAnsi="Arial"/>
                <w:sz w:val="18"/>
                <w:szCs w:val="18"/>
                <w:color w:val="auto"/>
              </w:rPr>
              <w:t>Exhibits 101).</w:t>
            </w:r>
          </w:p>
        </w:tc>
        <w:tc>
          <w:tcPr>
            <w:tcW w:w="1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5229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3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both"/>
        <w:ind w:left="840" w:right="2860"/>
        <w:spacing w:after="0" w:line="219"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pacing w:after="0" w:line="18" w:lineRule="exact"/>
        <w:rPr>
          <w:sz w:val="20"/>
          <w:szCs w:val="20"/>
          <w:color w:val="auto"/>
        </w:rPr>
      </w:pPr>
    </w:p>
    <w:p>
      <w:pPr>
        <w:ind w:left="840" w:right="2820" w:hanging="462"/>
        <w:spacing w:after="0" w:line="216"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2021</w:t>
      </w:r>
    </w:p>
    <w:p>
      <w:pPr>
        <w:spacing w:after="0" w:line="311" w:lineRule="exact"/>
        <w:rPr>
          <w:sz w:val="20"/>
          <w:szCs w:val="20"/>
          <w:color w:val="auto"/>
        </w:rPr>
      </w:pPr>
    </w:p>
    <w:tbl>
      <w:tblPr>
        <w:tblLayout w:type="fixed"/>
        <w:tblInd w:w="610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0"/>
                <w:szCs w:val="20"/>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line="248"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3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34" w:lineRule="exact"/>
        <w:rPr>
          <w:rFonts w:ascii="Arial" w:cs="Arial" w:eastAsia="Arial" w:hAnsi="Arial"/>
          <w:sz w:val="16"/>
          <w:szCs w:val="16"/>
          <w:color w:val="auto"/>
        </w:rPr>
      </w:pPr>
    </w:p>
    <w:p>
      <w:pPr>
        <w:ind w:right="280" w:firstLine="8"/>
        <w:spacing w:after="0" w:line="2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60" w:firstLine="8"/>
        <w:spacing w:after="0" w:line="2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right="120" w:firstLine="8"/>
        <w:spacing w:after="0" w:line="2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040" w:right="20" w:firstLine="5"/>
        <w:spacing w:after="0" w:line="237" w:lineRule="auto"/>
        <w:tabs>
          <w:tab w:leader="none" w:pos="12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280" w:hanging="235"/>
        <w:spacing w:after="0"/>
        <w:tabs>
          <w:tab w:leader="none" w:pos="12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[Reserved];</w:t>
      </w:r>
    </w:p>
    <w:p>
      <w:pPr>
        <w:spacing w:after="0" w:line="207" w:lineRule="exact"/>
        <w:rPr>
          <w:rFonts w:ascii="Arial" w:cs="Arial" w:eastAsia="Arial" w:hAnsi="Arial"/>
          <w:sz w:val="16"/>
          <w:szCs w:val="16"/>
          <w:color w:val="auto"/>
        </w:rPr>
      </w:pPr>
    </w:p>
    <w:p>
      <w:pPr>
        <w:ind w:left="1040" w:right="240" w:firstLine="5"/>
        <w:spacing w:after="0" w:line="242" w:lineRule="auto"/>
        <w:tabs>
          <w:tab w:leader="none" w:pos="127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40" w:right="100" w:firstLine="5"/>
        <w:spacing w:after="0" w:line="237" w:lineRule="auto"/>
        <w:tabs>
          <w:tab w:leader="none" w:pos="12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6"/>
          <w:szCs w:val="16"/>
          <w:color w:val="auto"/>
        </w:rPr>
      </w:pPr>
    </w:p>
    <w:p>
      <w:pPr>
        <w:ind w:right="660" w:firstLine="8"/>
        <w:spacing w:after="0" w:line="2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40" w:right="660" w:firstLine="5"/>
        <w:spacing w:after="0" w:line="242" w:lineRule="auto"/>
        <w:tabs>
          <w:tab w:leader="none" w:pos="12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40" w:right="300" w:firstLine="5"/>
        <w:spacing w:after="0" w:line="242" w:lineRule="auto"/>
        <w:tabs>
          <w:tab w:leader="none" w:pos="12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40" w:type="dxa"/>
            <w:vAlign w:val="bottom"/>
          </w:tcPr>
          <w:p>
            <w:pPr>
              <w:spacing w:after="0"/>
              <w:rPr>
                <w:sz w:val="20"/>
                <w:szCs w:val="20"/>
                <w:color w:val="auto"/>
              </w:rPr>
            </w:pPr>
            <w:r>
              <w:rPr>
                <w:rFonts w:ascii="Arial" w:cs="Arial" w:eastAsia="Arial" w:hAnsi="Arial"/>
                <w:sz w:val="16"/>
                <w:szCs w:val="16"/>
                <w:color w:val="auto"/>
              </w:rPr>
              <w:t>Date: November 30, 2021</w:t>
            </w:r>
          </w:p>
        </w:tc>
        <w:tc>
          <w:tcPr>
            <w:tcW w:w="2660" w:type="dxa"/>
            <w:vAlign w:val="bottom"/>
          </w:tcPr>
          <w:p>
            <w:pPr>
              <w:ind w:left="158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660" w:type="dxa"/>
            <w:vAlign w:val="bottom"/>
            <w:vMerge w:val="restart"/>
          </w:tcPr>
          <w:p>
            <w:pPr>
              <w:ind w:left="158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307"/>
        </w:trPr>
        <w:tc>
          <w:tcPr>
            <w:tcW w:w="3440" w:type="dxa"/>
            <w:vAlign w:val="bottom"/>
          </w:tcPr>
          <w:p>
            <w:pPr>
              <w:spacing w:after="0"/>
              <w:rPr>
                <w:sz w:val="24"/>
                <w:szCs w:val="24"/>
                <w:color w:val="auto"/>
              </w:rPr>
            </w:pPr>
          </w:p>
        </w:tc>
        <w:tc>
          <w:tcPr>
            <w:tcW w:w="2660" w:type="dxa"/>
            <w:vAlign w:val="bottom"/>
          </w:tcPr>
          <w:p>
            <w:pPr>
              <w:ind w:left="158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20"/>
                <w:szCs w:val="20"/>
                <w:color w:val="auto"/>
                <w:w w:val="98"/>
              </w:rPr>
              <w:t>President and Chief Executive Officer</w:t>
            </w: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20"/>
                <w:szCs w:val="20"/>
                <w:i w:val="1"/>
                <w:iCs w:val="1"/>
                <w:color w:val="auto"/>
                <w:w w:val="98"/>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line="248"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3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34" w:lineRule="exact"/>
        <w:rPr>
          <w:rFonts w:ascii="Arial" w:cs="Arial" w:eastAsia="Arial" w:hAnsi="Arial"/>
          <w:sz w:val="16"/>
          <w:szCs w:val="16"/>
          <w:color w:val="auto"/>
        </w:rPr>
      </w:pPr>
    </w:p>
    <w:p>
      <w:pPr>
        <w:ind w:right="280" w:firstLine="8"/>
        <w:spacing w:after="0" w:line="2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60" w:firstLine="8"/>
        <w:spacing w:after="0" w:line="2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right="120" w:firstLine="8"/>
        <w:spacing w:after="0" w:line="2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040" w:right="20" w:firstLine="5"/>
        <w:spacing w:after="0" w:line="237"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1280" w:hanging="235"/>
        <w:spacing w:after="0"/>
        <w:tabs>
          <w:tab w:leader="none" w:pos="1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[Reserved];</w:t>
      </w:r>
    </w:p>
    <w:p>
      <w:pPr>
        <w:spacing w:after="0" w:line="207" w:lineRule="exact"/>
        <w:rPr>
          <w:rFonts w:ascii="Arial" w:cs="Arial" w:eastAsia="Arial" w:hAnsi="Arial"/>
          <w:sz w:val="16"/>
          <w:szCs w:val="16"/>
          <w:color w:val="auto"/>
        </w:rPr>
      </w:pPr>
    </w:p>
    <w:p>
      <w:pPr>
        <w:ind w:left="1040" w:right="240" w:firstLine="5"/>
        <w:spacing w:after="0" w:line="242" w:lineRule="auto"/>
        <w:tabs>
          <w:tab w:leader="none" w:pos="127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40" w:right="100" w:firstLine="5"/>
        <w:spacing w:after="0" w:line="237"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6"/>
          <w:szCs w:val="16"/>
          <w:color w:val="auto"/>
        </w:rPr>
      </w:pPr>
    </w:p>
    <w:p>
      <w:pPr>
        <w:ind w:right="660" w:firstLine="8"/>
        <w:spacing w:after="0" w:line="2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40" w:right="660" w:firstLine="5"/>
        <w:spacing w:after="0" w:line="242"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40" w:right="300" w:firstLine="5"/>
        <w:spacing w:after="0" w:line="242"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80" w:type="dxa"/>
            <w:vAlign w:val="bottom"/>
          </w:tcPr>
          <w:p>
            <w:pPr>
              <w:spacing w:after="0"/>
              <w:rPr>
                <w:sz w:val="20"/>
                <w:szCs w:val="20"/>
                <w:color w:val="auto"/>
              </w:rPr>
            </w:pPr>
            <w:r>
              <w:rPr>
                <w:rFonts w:ascii="Arial" w:cs="Arial" w:eastAsia="Arial" w:hAnsi="Arial"/>
                <w:sz w:val="16"/>
                <w:szCs w:val="16"/>
                <w:color w:val="auto"/>
              </w:rPr>
              <w:t>Date: November 30, 2021</w:t>
            </w:r>
          </w:p>
        </w:tc>
        <w:tc>
          <w:tcPr>
            <w:tcW w:w="2780" w:type="dxa"/>
            <w:vAlign w:val="bottom"/>
          </w:tcPr>
          <w:p>
            <w:pPr>
              <w:ind w:left="172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780" w:type="dxa"/>
            <w:vAlign w:val="bottom"/>
            <w:vMerge w:val="restart"/>
          </w:tcPr>
          <w:p>
            <w:pPr>
              <w:ind w:left="172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80" w:type="dxa"/>
            <w:vAlign w:val="bottom"/>
          </w:tcPr>
          <w:p>
            <w:pPr>
              <w:ind w:left="172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80"/>
        </w:trPr>
        <w:tc>
          <w:tcPr>
            <w:tcW w:w="3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Arial" w:cs="Arial" w:eastAsia="Arial" w:hAnsi="Arial"/>
                <w:sz w:val="20"/>
                <w:szCs w:val="20"/>
                <w:i w:val="1"/>
                <w:iCs w:val="1"/>
                <w:color w:val="auto"/>
                <w:w w:val="99"/>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2021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040" w:right="620" w:firstLine="5"/>
        <w:spacing w:after="0" w:line="242" w:lineRule="auto"/>
        <w:tabs>
          <w:tab w:leader="none" w:pos="1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95" w:lineRule="exact"/>
        <w:rPr>
          <w:rFonts w:ascii="Arial" w:cs="Arial" w:eastAsia="Arial" w:hAnsi="Arial"/>
          <w:sz w:val="16"/>
          <w:szCs w:val="16"/>
          <w:color w:val="auto"/>
        </w:rPr>
      </w:pPr>
    </w:p>
    <w:p>
      <w:pPr>
        <w:ind w:left="1040" w:right="440" w:firstLine="5"/>
        <w:spacing w:after="0" w:line="242" w:lineRule="auto"/>
        <w:tabs>
          <w:tab w:leader="none" w:pos="1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Date: November 30, 2021</w:t>
            </w:r>
          </w:p>
        </w:tc>
        <w:tc>
          <w:tcPr>
            <w:tcW w:w="2540" w:type="dxa"/>
            <w:vAlign w:val="bottom"/>
          </w:tcPr>
          <w:p>
            <w:pPr>
              <w:ind w:left="132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540" w:type="dxa"/>
            <w:vAlign w:val="bottom"/>
            <w:vMerge w:val="restart"/>
          </w:tcPr>
          <w:p>
            <w:pPr>
              <w:ind w:left="132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540" w:type="dxa"/>
            <w:vAlign w:val="bottom"/>
            <w:vMerge w:val="continue"/>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540" w:type="dxa"/>
            <w:vAlign w:val="bottom"/>
          </w:tcPr>
          <w:p>
            <w:pPr>
              <w:ind w:left="132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2021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040" w:right="620" w:firstLine="5"/>
        <w:spacing w:after="0" w:line="242" w:lineRule="auto"/>
        <w:tabs>
          <w:tab w:leader="none" w:pos="1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95" w:lineRule="exact"/>
        <w:rPr>
          <w:rFonts w:ascii="Arial" w:cs="Arial" w:eastAsia="Arial" w:hAnsi="Arial"/>
          <w:sz w:val="16"/>
          <w:szCs w:val="16"/>
          <w:color w:val="auto"/>
        </w:rPr>
      </w:pPr>
    </w:p>
    <w:p>
      <w:pPr>
        <w:ind w:left="1040" w:right="440" w:firstLine="5"/>
        <w:spacing w:after="0" w:line="242" w:lineRule="auto"/>
        <w:tabs>
          <w:tab w:leader="none" w:pos="1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Date: November 30, 2021</w:t>
            </w:r>
          </w:p>
        </w:tc>
        <w:tc>
          <w:tcPr>
            <w:tcW w:w="2540" w:type="dxa"/>
            <w:vAlign w:val="bottom"/>
          </w:tcPr>
          <w:p>
            <w:pPr>
              <w:ind w:left="132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540" w:type="dxa"/>
            <w:vAlign w:val="bottom"/>
            <w:vMerge w:val="restart"/>
          </w:tcPr>
          <w:p>
            <w:pPr>
              <w:ind w:left="132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540" w:type="dxa"/>
            <w:vAlign w:val="bottom"/>
            <w:vMerge w:val="continue"/>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540" w:type="dxa"/>
            <w:vAlign w:val="bottom"/>
          </w:tcPr>
          <w:p>
            <w:pPr>
              <w:ind w:left="132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80"/>
        </w:trPr>
        <w:tc>
          <w:tcPr>
            <w:tcW w:w="3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20"/>
                <w:szCs w:val="20"/>
                <w:i w:val="1"/>
                <w:iCs w:val="1"/>
                <w:color w:val="auto"/>
                <w:w w:val="98"/>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4"/>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8"/>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55" Type="http://schemas.openxmlformats.org/officeDocument/2006/relationships/hyperlink" Target="https://www.sec.gov/Archives/edgar/data/0001667011/000119312521313553/d211035dex31.htm" TargetMode="External"/><Relationship Id="rId56" Type="http://schemas.openxmlformats.org/officeDocument/2006/relationships/hyperlink" Target="https://www.sec.gov/Archives/edgar/data/0001667011/000119312521313553/d211035dex32.htm" TargetMode="External"/><Relationship Id="rId57" Type="http://schemas.openxmlformats.org/officeDocument/2006/relationships/hyperlink" Target="https://www.sec.gov/Archives/edgar/data/0001667011/000119312521300473/d52087dex41.htm" TargetMode="External"/><Relationship Id="rId58" Type="http://schemas.openxmlformats.org/officeDocument/2006/relationships/hyperlink" Target="https://www.sec.gov/Archives/edgar/data/0001667011/000119312521289866/d52087dex101.htm" TargetMode="External"/><Relationship Id="rId59" Type="http://schemas.openxmlformats.org/officeDocument/2006/relationships/hyperlink" Target="https://www.sec.gov/Archives/edgar/data/0001667011/000119312521289866/d52087dex102.htm" TargetMode="External"/><Relationship Id="rId60" Type="http://schemas.openxmlformats.org/officeDocument/2006/relationships/hyperlink" Target="https://www.sec.gov/Archives/edgar/data/0001667011/000119312521289866/d52087dex103.htm" TargetMode="External"/><Relationship Id="rId61" Type="http://schemas.openxmlformats.org/officeDocument/2006/relationships/hyperlink" Target="https://www.sec.gov/Archives/edgar/data/0001667011/000119312521289866/d52087dex104.htm" TargetMode="External"/><Relationship Id="rId62" Type="http://schemas.openxmlformats.org/officeDocument/2006/relationships/hyperlink" Target="https://www.sec.gov/Archives/edgar/data/0001667011/000119312521289866/d52087dex105.htm" TargetMode="External"/><Relationship Id="rId63" Type="http://schemas.openxmlformats.org/officeDocument/2006/relationships/hyperlink" Target="https://www.sec.gov/Archives/edgar/data/0001667011/000119312521289866/d52087dex106.htm" TargetMode="External"/><Relationship Id="rId64" Type="http://schemas.openxmlformats.org/officeDocument/2006/relationships/hyperlink" Target="https://www.sec.gov/Archives/edgar/data/0001667011/000119312521289866/d52087dex107.htm" TargetMode="External"/><Relationship Id="rId65" Type="http://schemas.openxmlformats.org/officeDocument/2006/relationships/hyperlink" Target="https://www.sec.gov/Archives/edgar/data/0001667011/000119312521289866/d52087dex108.htm" TargetMode="External"/><Relationship Id="rId66" Type="http://schemas.openxmlformats.org/officeDocument/2006/relationships/hyperlink" Target="https://www.sec.gov/Archives/edgar/data/0001667011/000119312521289866/d52087dex109.htm" TargetMode="External"/><Relationship Id="rId67" Type="http://schemas.openxmlformats.org/officeDocument/2006/relationships/hyperlink" Target="https://www.sec.gov/Archives/edgar/data/0001667011/000119312521289866/d52087dex1010.htm" TargetMode="External"/><Relationship Id="rId68" Type="http://schemas.openxmlformats.org/officeDocument/2006/relationships/hyperlink" Target="https://www.sec.gov/Archives/edgar/data/0001667011/000119312521289866/d52087dex1011.htm" TargetMode="External"/><Relationship Id="rId69" Type="http://schemas.openxmlformats.org/officeDocument/2006/relationships/hyperlink" Target="https://www.sec.gov/Archives/edgar/data/0001667011/000119312521289866/d52087dex1012.htm" TargetMode="External"/><Relationship Id="rId70" Type="http://schemas.openxmlformats.org/officeDocument/2006/relationships/hyperlink" Target="https://www.sec.gov/Archives/edgar/data/0001667011/000119312521313603/d210056dex992a.htm" TargetMode="External"/><Relationship Id="rId71" Type="http://schemas.openxmlformats.org/officeDocument/2006/relationships/hyperlink" Target="https://www.sec.gov/Archives/edgar/data/0001667011/000119312521300473/d52087dex1014.htm" TargetMode="External"/><Relationship Id="rId72" Type="http://schemas.openxmlformats.org/officeDocument/2006/relationships/hyperlink" Target="https://www.sec.gov/Archives/edgar/data/0001667011/000119312521300473/d52087dex1015.htm" TargetMode="External"/><Relationship Id="rId73" Type="http://schemas.openxmlformats.org/officeDocument/2006/relationships/hyperlink" Target="https://www.sec.gov/Archives/edgar/data/0001667011/000119312521313603/d210056dex993.htm" TargetMode="External"/><Relationship Id="rId74" Type="http://schemas.openxmlformats.org/officeDocument/2006/relationships/hyperlink" Target="https://www.sec.gov/Archives/edgar/data/0001667011/000119312521300473/d52087dex1017.htm" TargetMode="External"/><Relationship Id="rId75" Type="http://schemas.openxmlformats.org/officeDocument/2006/relationships/hyperlink" Target="https://www.sec.gov/Archives/edgar/data/0001667011/000119312521300473/d52087dex1018.htm" TargetMode="External"/><Relationship Id="rId76" Type="http://schemas.openxmlformats.org/officeDocument/2006/relationships/hyperlink" Target="https://www.sec.gov/Archives/edgar/data/0001667011/000119312521300473/d52087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2021-12-01T05:16:28Z</dcterms:created>
  <dcterms:modified xsi:type="dcterms:W3CDTF">2021-12-01T05:16:28Z</dcterms:modified>
</cp:coreProperties>
</file>