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JANAC K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53"/>
        <w:gridCol w:w="909"/>
        <w:gridCol w:w="781"/>
        <w:gridCol w:w="604"/>
        <w:gridCol w:w="336"/>
        <w:gridCol w:w="995"/>
        <w:gridCol w:w="415"/>
        <w:gridCol w:w="982"/>
        <w:gridCol w:w="1234"/>
        <w:gridCol w:w="953"/>
        <w:gridCol w:w="10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23.8239</w:t>
            </w:r>
            <w:r>
              <w:rPr>
                <w:rFonts w:ascii="Times;serif" w:hAnsi="Times;serif"/>
                <w:color w:val="008000"/>
                <w:position w:val="7"/>
                <w:sz w:val="16"/>
                <w:sz w:val="20"/>
                <w:shd w:fill="FFFFFF" w:val="clear"/>
              </w:rPr>
              <w:t>(2)</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8,129,071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Bayview Legacy, LLC</w:t>
            </w:r>
            <w:r>
              <w:rPr>
                <w:rFonts w:ascii="Times;serif" w:hAnsi="Times;serif"/>
                <w:color w:val="008000"/>
                <w:position w:val="7"/>
                <w:sz w:val="16"/>
                <w:sz w:val="20"/>
                <w:shd w:fill="FFFFFF" w:val="clear"/>
              </w:rPr>
              <w:t>(3)</w:t>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172,373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1,843</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170,530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1,966</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168,564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2,775</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24.6431</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165,789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56,252</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Charles and Lydia Janac Trust</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$23.43 to $24.23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manager of Bayview Legacy, LLC and as such is deemed to have voting and dispositive power of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sold to satisfy the Reporting Person's tax liability arising as a result of the release of restricted stock units.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Charles and Lydia Janac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JANAC K CHARLES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68987"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832</Words>
  <Characters>4425</Characters>
  <CharactersWithSpaces>5147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