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247"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10-Q</w:t>
      </w:r>
    </w:p>
    <w:p>
      <w:pPr>
        <w:spacing w:after="0" w:line="4"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(Mark One)</w:t>
      </w:r>
    </w:p>
    <w:p>
      <w:pPr>
        <w:spacing w:after="0" w:line="86" w:lineRule="exact"/>
        <w:rPr>
          <w:sz w:val="24"/>
          <w:szCs w:val="24"/>
          <w:color w:val="auto"/>
        </w:rPr>
      </w:pPr>
    </w:p>
    <w:p>
      <w:pPr>
        <w:ind w:left="540" w:hanging="343"/>
        <w:spacing w:after="0"/>
        <w:tabs>
          <w:tab w:leader="none" w:pos="540" w:val="left"/>
        </w:tabs>
        <w:numPr>
          <w:ilvl w:val="0"/>
          <w:numId w:val="1"/>
        </w:numPr>
        <w:rPr>
          <w:rFonts w:ascii="Arial" w:cs="Arial" w:eastAsia="Arial" w:hAnsi="Arial"/>
          <w:sz w:val="14"/>
          <w:szCs w:val="14"/>
          <w:b w:val="1"/>
          <w:bCs w:val="1"/>
          <w:color w:val="auto"/>
        </w:rPr>
      </w:pPr>
      <w:r>
        <w:rPr>
          <w:rFonts w:ascii="Verdana" w:cs="Verdana" w:eastAsia="Verdana" w:hAnsi="Verdana"/>
          <w:sz w:val="14"/>
          <w:szCs w:val="14"/>
          <w:color w:val="auto"/>
        </w:rPr>
        <w:t>QUARTERLY REPORT PURSUANT TO SECTION 13 OR 15(d) OF THE SECURITIES EXCHANGE ACT OF 1934</w:t>
      </w:r>
    </w:p>
    <w:p>
      <w:pPr>
        <w:spacing w:after="0" w:line="324" w:lineRule="exact"/>
        <w:rPr>
          <w:sz w:val="24"/>
          <w:szCs w:val="24"/>
          <w:color w:val="auto"/>
        </w:rPr>
      </w:pPr>
    </w:p>
    <w:p>
      <w:pPr>
        <w:jc w:val="center"/>
        <w:ind w:right="20"/>
        <w:spacing w:after="0"/>
        <w:rPr>
          <w:sz w:val="20"/>
          <w:szCs w:val="20"/>
          <w:color w:val="auto"/>
        </w:rPr>
      </w:pPr>
      <w:r>
        <w:rPr>
          <w:rFonts w:ascii="Verdana" w:cs="Verdana" w:eastAsia="Verdana" w:hAnsi="Verdana"/>
          <w:sz w:val="16"/>
          <w:szCs w:val="16"/>
          <w:b w:val="1"/>
          <w:bCs w:val="1"/>
          <w:color w:val="auto"/>
        </w:rPr>
        <w:t>For the quarterly period ended June 30, 2022</w:t>
      </w:r>
    </w:p>
    <w:p>
      <w:pPr>
        <w:spacing w:after="0" w:line="13"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OR</w:t>
      </w:r>
    </w:p>
    <w:p>
      <w:pPr>
        <w:spacing w:after="0" w:line="262" w:lineRule="exact"/>
        <w:rPr>
          <w:sz w:val="24"/>
          <w:szCs w:val="24"/>
          <w:color w:val="auto"/>
        </w:rPr>
      </w:pPr>
    </w:p>
    <w:p>
      <w:pPr>
        <w:ind w:left="540" w:hanging="367"/>
        <w:spacing w:after="0"/>
        <w:tabs>
          <w:tab w:leader="none" w:pos="540" w:val="left"/>
        </w:tabs>
        <w:numPr>
          <w:ilvl w:val="0"/>
          <w:numId w:val="2"/>
        </w:numPr>
        <w:rPr>
          <w:rFonts w:ascii="Arial" w:cs="Arial" w:eastAsia="Arial" w:hAnsi="Arial"/>
          <w:sz w:val="14"/>
          <w:szCs w:val="14"/>
          <w:color w:val="auto"/>
        </w:rPr>
      </w:pPr>
      <w:r>
        <w:rPr>
          <w:rFonts w:ascii="Verdana" w:cs="Verdana" w:eastAsia="Verdana" w:hAnsi="Verdana"/>
          <w:sz w:val="14"/>
          <w:szCs w:val="14"/>
          <w:color w:val="auto"/>
        </w:rPr>
        <w:t>TRANSITION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183"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165"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auto"/>
        </w:rPr>
        <w:t>Arteris, Inc.</w:t>
      </w:r>
    </w:p>
    <w:p>
      <w:pPr>
        <w:spacing w:after="0" w:line="3" w:lineRule="exact"/>
        <w:rPr>
          <w:sz w:val="24"/>
          <w:szCs w:val="24"/>
          <w:color w:val="auto"/>
        </w:rPr>
      </w:pPr>
    </w:p>
    <w:p>
      <w:pPr>
        <w:jc w:val="center"/>
        <w:spacing w:after="0"/>
        <w:rPr>
          <w:sz w:val="20"/>
          <w:szCs w:val="20"/>
          <w:color w:val="auto"/>
        </w:rPr>
      </w:pPr>
      <w:r>
        <w:rPr>
          <w:rFonts w:ascii="Verdana" w:cs="Verdana" w:eastAsia="Verdana" w:hAnsi="Verdana"/>
          <w:sz w:val="16"/>
          <w:szCs w:val="16"/>
          <w:color w:val="auto"/>
        </w:rPr>
        <w:t>(Exact name of registrant as specified in its charter)</w:t>
      </w:r>
    </w:p>
    <w:p>
      <w:pPr>
        <w:sectPr>
          <w:pgSz w:w="11900" w:h="16838" w:orient="portrait"/>
          <w:cols w:equalWidth="0" w:num="1">
            <w:col w:w="11260"/>
          </w:cols>
          <w:pgMar w:left="320" w:top="240" w:right="319" w:bottom="1440" w:gutter="0" w:footer="0" w:header="0"/>
        </w:sectPr>
      </w:pPr>
    </w:p>
    <w:p>
      <w:pPr>
        <w:spacing w:after="0" w:line="269" w:lineRule="exact"/>
        <w:rPr>
          <w:sz w:val="24"/>
          <w:szCs w:val="24"/>
          <w:color w:val="auto"/>
        </w:rPr>
      </w:pPr>
    </w:p>
    <w:p>
      <w:pPr>
        <w:ind w:left="1380"/>
        <w:spacing w:after="0"/>
        <w:rPr>
          <w:sz w:val="20"/>
          <w:szCs w:val="20"/>
          <w:color w:val="auto"/>
        </w:rPr>
      </w:pPr>
      <w:r>
        <w:rPr>
          <w:rFonts w:ascii="Verdana" w:cs="Verdana" w:eastAsia="Verdana" w:hAnsi="Verdana"/>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27-0117058</w:t>
      </w:r>
    </w:p>
    <w:p>
      <w:pPr>
        <w:spacing w:after="0" w:line="167" w:lineRule="exact"/>
        <w:rPr>
          <w:sz w:val="24"/>
          <w:szCs w:val="24"/>
          <w:color w:val="auto"/>
        </w:rPr>
      </w:pPr>
    </w:p>
    <w:p>
      <w:pPr>
        <w:sectPr>
          <w:pgSz w:w="11900" w:h="16838" w:orient="portrait"/>
          <w:cols w:equalWidth="0" w:num="2">
            <w:col w:w="8600" w:space="720"/>
            <w:col w:w="1940"/>
          </w:cols>
          <w:pgMar w:left="320" w:top="240" w:right="319" w:bottom="1440" w:gutter="0" w:footer="0" w:header="0"/>
          <w:type w:val="continuous"/>
        </w:sectPr>
      </w:pPr>
    </w:p>
    <w:p>
      <w:pPr>
        <w:jc w:val="center"/>
        <w:ind w:right="4920"/>
        <w:spacing w:after="0"/>
        <w:rPr>
          <w:sz w:val="20"/>
          <w:szCs w:val="20"/>
          <w:color w:val="auto"/>
        </w:rPr>
      </w:pPr>
      <w:r>
        <w:rPr>
          <w:rFonts w:ascii="Verdana" w:cs="Verdana" w:eastAsia="Verdana" w:hAnsi="Verdana"/>
          <w:sz w:val="14"/>
          <w:szCs w:val="14"/>
          <w:color w:val="auto"/>
        </w:rPr>
        <w:t>(State or other jurisdiction of incorporation or</w:t>
      </w:r>
    </w:p>
    <w:p>
      <w:pPr>
        <w:spacing w:after="0" w:line="5" w:lineRule="exact"/>
        <w:rPr>
          <w:sz w:val="24"/>
          <w:szCs w:val="24"/>
          <w:color w:val="auto"/>
        </w:rPr>
      </w:pPr>
    </w:p>
    <w:p>
      <w:pPr>
        <w:jc w:val="center"/>
        <w:ind w:right="4920"/>
        <w:spacing w:after="0"/>
        <w:rPr>
          <w:sz w:val="20"/>
          <w:szCs w:val="20"/>
          <w:color w:val="auto"/>
        </w:rPr>
      </w:pPr>
      <w:r>
        <w:rPr>
          <w:rFonts w:ascii="Verdana" w:cs="Verdana" w:eastAsia="Verdana" w:hAnsi="Verdana"/>
          <w:sz w:val="14"/>
          <w:szCs w:val="14"/>
          <w:color w:val="auto"/>
        </w:rPr>
        <w:t>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Verdana" w:cs="Verdana" w:eastAsia="Verdana" w:hAnsi="Verdana"/>
          <w:sz w:val="14"/>
          <w:szCs w:val="14"/>
          <w:color w:val="auto"/>
        </w:rPr>
        <w:t>(I.R.S. Employer</w:t>
      </w:r>
    </w:p>
    <w:p>
      <w:pPr>
        <w:spacing w:after="0" w:line="46" w:lineRule="exact"/>
        <w:rPr>
          <w:sz w:val="24"/>
          <w:szCs w:val="24"/>
          <w:color w:val="auto"/>
        </w:rPr>
      </w:pPr>
    </w:p>
    <w:p>
      <w:pPr>
        <w:spacing w:after="0"/>
        <w:rPr>
          <w:sz w:val="20"/>
          <w:szCs w:val="20"/>
          <w:color w:val="auto"/>
        </w:rPr>
      </w:pPr>
      <w:r>
        <w:rPr>
          <w:rFonts w:ascii="Verdana" w:cs="Verdana" w:eastAsia="Verdana" w:hAnsi="Verdana"/>
          <w:sz w:val="14"/>
          <w:szCs w:val="14"/>
          <w:color w:val="auto"/>
        </w:rPr>
        <w:t>Identification No.)</w:t>
      </w:r>
    </w:p>
    <w:p>
      <w:pPr>
        <w:spacing w:after="0" w:line="154" w:lineRule="exact"/>
        <w:rPr>
          <w:sz w:val="24"/>
          <w:szCs w:val="24"/>
          <w:color w:val="auto"/>
        </w:rPr>
      </w:pPr>
    </w:p>
    <w:p>
      <w:pPr>
        <w:sectPr>
          <w:pgSz w:w="11900" w:h="16838" w:orient="portrait"/>
          <w:cols w:equalWidth="0" w:num="2">
            <w:col w:w="8440" w:space="720"/>
            <w:col w:w="2100"/>
          </w:cols>
          <w:pgMar w:left="320" w:top="240" w:right="319" w:bottom="1440" w:gutter="0" w:footer="0" w:header="0"/>
          <w:type w:val="continuous"/>
        </w:sectPr>
      </w:pPr>
    </w:p>
    <w:p>
      <w:pPr>
        <w:jc w:val="center"/>
        <w:ind w:right="20"/>
        <w:spacing w:after="0"/>
        <w:rPr>
          <w:sz w:val="20"/>
          <w:szCs w:val="20"/>
          <w:color w:val="auto"/>
        </w:rPr>
      </w:pPr>
      <w:r>
        <w:rPr>
          <w:rFonts w:ascii="Verdana" w:cs="Verdana" w:eastAsia="Verdana" w:hAnsi="Verdana"/>
          <w:sz w:val="14"/>
          <w:szCs w:val="14"/>
          <w:b w:val="1"/>
          <w:bCs w:val="1"/>
          <w:color w:val="auto"/>
        </w:rPr>
        <w:t>595 Millich Dr. Suite 200</w:t>
      </w:r>
    </w:p>
    <w:p>
      <w:pPr>
        <w:spacing w:after="0" w:line="32"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Campbell, CA 95008</w:t>
      </w:r>
    </w:p>
    <w:p>
      <w:pPr>
        <w:spacing w:after="0" w:line="32"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(408) 470-7300</w:t>
      </w:r>
    </w:p>
    <w:p>
      <w:pPr>
        <w:spacing w:after="0" w:line="41" w:lineRule="exact"/>
        <w:rPr>
          <w:sz w:val="24"/>
          <w:szCs w:val="24"/>
          <w:color w:val="auto"/>
        </w:rPr>
      </w:pPr>
    </w:p>
    <w:p>
      <w:pPr>
        <w:jc w:val="center"/>
        <w:ind w:right="20"/>
        <w:spacing w:after="0"/>
        <w:rPr>
          <w:sz w:val="20"/>
          <w:szCs w:val="20"/>
          <w:color w:val="auto"/>
        </w:rPr>
      </w:pPr>
      <w:r>
        <w:rPr>
          <w:rFonts w:ascii="Verdana" w:cs="Verdana" w:eastAsia="Verdana" w:hAnsi="Verdana"/>
          <w:sz w:val="13"/>
          <w:szCs w:val="13"/>
          <w:b w:val="1"/>
          <w:bCs w:val="1"/>
          <w:color w:val="auto"/>
        </w:rPr>
        <w:t>(Address, including zip code, and telephone number, including area code, of registrant’s principal executive offices)</w:t>
      </w:r>
    </w:p>
    <w:p>
      <w:pPr>
        <w:spacing w:after="0" w:line="279" w:lineRule="exact"/>
        <w:rPr>
          <w:sz w:val="24"/>
          <w:szCs w:val="24"/>
          <w:color w:val="auto"/>
        </w:rPr>
      </w:pPr>
    </w:p>
    <w:p>
      <w:pPr>
        <w:spacing w:after="0"/>
        <w:rPr>
          <w:sz w:val="20"/>
          <w:szCs w:val="20"/>
          <w:color w:val="auto"/>
        </w:rPr>
      </w:pPr>
      <w:r>
        <w:rPr>
          <w:rFonts w:ascii="Verdana" w:cs="Verdana" w:eastAsia="Verdana" w:hAnsi="Verdana"/>
          <w:sz w:val="14"/>
          <w:szCs w:val="14"/>
          <w:color w:val="auto"/>
        </w:rPr>
        <w:t>Securities registered pursuant to Section 12(b) of the Act: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183"/>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69"/>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7"/>
              </w:rPr>
              <w:t>The Nasdaq Stock Market LLC</w:t>
            </w:r>
          </w:p>
        </w:tc>
      </w:tr>
    </w:tbl>
    <w:p>
      <w:pPr>
        <w:spacing w:after="0" w:line="265" w:lineRule="exact"/>
        <w:rPr>
          <w:sz w:val="24"/>
          <w:szCs w:val="24"/>
          <w:color w:val="auto"/>
        </w:rPr>
      </w:pPr>
    </w:p>
    <w:p>
      <w:pPr>
        <w:ind w:right="140"/>
        <w:spacing w:after="0" w:line="234" w:lineRule="auto"/>
        <w:rPr>
          <w:sz w:val="20"/>
          <w:szCs w:val="20"/>
          <w:color w:val="auto"/>
        </w:rPr>
      </w:pPr>
      <w:r>
        <w:rPr>
          <w:rFonts w:ascii="Verdana" w:cs="Verdana" w:eastAsia="Verdana" w:hAnsi="Verdana"/>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Verdana" w:cs="Verdana" w:eastAsia="Verdana" w:hAnsi="Verdana"/>
          <w:sz w:val="13"/>
          <w:szCs w:val="13"/>
          <w:color w:val="auto"/>
        </w:rPr>
        <w:t xml:space="preserve"> No </w:t>
      </w:r>
      <w:r>
        <w:rPr>
          <w:rFonts w:ascii="Arial" w:cs="Arial" w:eastAsia="Arial" w:hAnsi="Arial"/>
          <w:sz w:val="13"/>
          <w:szCs w:val="13"/>
          <w:color w:val="auto"/>
        </w:rPr>
        <w:t>o</w:t>
      </w:r>
    </w:p>
    <w:p>
      <w:pPr>
        <w:spacing w:after="0" w:line="172" w:lineRule="exact"/>
        <w:rPr>
          <w:sz w:val="24"/>
          <w:szCs w:val="24"/>
          <w:color w:val="auto"/>
        </w:rPr>
      </w:pPr>
    </w:p>
    <w:p>
      <w:pPr>
        <w:spacing w:after="0"/>
        <w:rPr>
          <w:sz w:val="20"/>
          <w:szCs w:val="20"/>
          <w:color w:val="auto"/>
        </w:rPr>
      </w:pPr>
      <w:r>
        <w:rPr>
          <w:rFonts w:ascii="Verdana" w:cs="Verdana" w:eastAsia="Verdana" w:hAnsi="Verdana"/>
          <w:sz w:val="12"/>
          <w:szCs w:val="12"/>
          <w:color w:val="auto"/>
        </w:rPr>
        <w:t>Indicate by check mark whether the registrant has submitted electronically and posted on its corporate web site, if any, every Interactive Data File required to be submitted and</w:t>
      </w:r>
    </w:p>
    <w:p>
      <w:pPr>
        <w:spacing w:after="0" w:line="16" w:lineRule="exact"/>
        <w:rPr>
          <w:sz w:val="24"/>
          <w:szCs w:val="24"/>
          <w:color w:val="auto"/>
        </w:rPr>
      </w:pPr>
    </w:p>
    <w:p>
      <w:pPr>
        <w:ind w:right="80"/>
        <w:spacing w:after="0" w:line="239" w:lineRule="auto"/>
        <w:rPr>
          <w:sz w:val="20"/>
          <w:szCs w:val="20"/>
          <w:color w:val="auto"/>
        </w:rPr>
      </w:pPr>
      <w:r>
        <w:rPr>
          <w:rFonts w:ascii="Verdana" w:cs="Verdana" w:eastAsia="Verdana" w:hAnsi="Verdana"/>
          <w:sz w:val="13"/>
          <w:szCs w:val="13"/>
          <w:color w:val="auto"/>
        </w:rPr>
        <w:t xml:space="preserve">posted pursuant to Rule 405 of Regulation S-T (§232.405 of this chapter) during the preceding 12 months (or for such shorter period that the registrant was required to submit and post such files). Yes </w:t>
      </w:r>
      <w:r>
        <w:rPr>
          <w:rFonts w:ascii="Arial" w:cs="Arial" w:eastAsia="Arial" w:hAnsi="Arial"/>
          <w:sz w:val="13"/>
          <w:szCs w:val="13"/>
          <w:color w:val="auto"/>
        </w:rPr>
        <w:t>x</w:t>
      </w:r>
      <w:r>
        <w:rPr>
          <w:rFonts w:ascii="Verdana" w:cs="Verdana" w:eastAsia="Verdana" w:hAnsi="Verdana"/>
          <w:sz w:val="13"/>
          <w:szCs w:val="13"/>
          <w:color w:val="auto"/>
        </w:rPr>
        <w:t xml:space="preserve"> No </w:t>
      </w:r>
      <w:r>
        <w:rPr>
          <w:rFonts w:ascii="Arial" w:cs="Arial" w:eastAsia="Arial" w:hAnsi="Arial"/>
          <w:sz w:val="13"/>
          <w:szCs w:val="13"/>
          <w:color w:val="auto"/>
        </w:rPr>
        <w:t>o</w:t>
      </w:r>
    </w:p>
    <w:p>
      <w:pPr>
        <w:spacing w:after="0" w:line="171" w:lineRule="exact"/>
        <w:rPr>
          <w:sz w:val="24"/>
          <w:szCs w:val="24"/>
          <w:color w:val="auto"/>
        </w:rPr>
      </w:pPr>
    </w:p>
    <w:p>
      <w:pPr>
        <w:ind w:right="360"/>
        <w:spacing w:after="0" w:line="228" w:lineRule="auto"/>
        <w:rPr>
          <w:sz w:val="20"/>
          <w:szCs w:val="20"/>
          <w:color w:val="auto"/>
        </w:rPr>
      </w:pPr>
      <w:r>
        <w:rPr>
          <w:rFonts w:ascii="Verdana" w:cs="Verdana" w:eastAsia="Verdana" w:hAnsi="Verdana"/>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2240" w:type="dxa"/>
            <w:vAlign w:val="bottom"/>
          </w:tcPr>
          <w:p>
            <w:pPr>
              <w:spacing w:after="0"/>
              <w:rPr>
                <w:sz w:val="20"/>
                <w:szCs w:val="20"/>
                <w:color w:val="auto"/>
              </w:rPr>
            </w:pPr>
            <w:r>
              <w:rPr>
                <w:rFonts w:ascii="Verdana" w:cs="Verdana" w:eastAsia="Verdana" w:hAnsi="Verdana"/>
                <w:sz w:val="13"/>
                <w:szCs w:val="13"/>
                <w:color w:val="auto"/>
              </w:rPr>
              <w:t>Large accelerated filer</w:t>
            </w:r>
          </w:p>
        </w:tc>
        <w:tc>
          <w:tcPr>
            <w:tcW w:w="2940" w:type="dxa"/>
            <w:vAlign w:val="bottom"/>
          </w:tcPr>
          <w:p>
            <w:pPr>
              <w:ind w:left="820"/>
              <w:spacing w:after="0"/>
              <w:rPr>
                <w:sz w:val="20"/>
                <w:szCs w:val="20"/>
                <w:color w:val="auto"/>
              </w:rPr>
            </w:pPr>
            <w:r>
              <w:rPr>
                <w:rFonts w:ascii="Arial" w:cs="Arial" w:eastAsia="Arial" w:hAnsi="Arial"/>
                <w:sz w:val="13"/>
                <w:szCs w:val="13"/>
                <w:color w:val="auto"/>
              </w:rPr>
              <w:t>o</w:t>
            </w:r>
          </w:p>
        </w:tc>
        <w:tc>
          <w:tcPr>
            <w:tcW w:w="4820" w:type="dxa"/>
            <w:vAlign w:val="bottom"/>
          </w:tcPr>
          <w:p>
            <w:pPr>
              <w:ind w:left="2020"/>
              <w:spacing w:after="0"/>
              <w:rPr>
                <w:sz w:val="20"/>
                <w:szCs w:val="20"/>
                <w:color w:val="auto"/>
              </w:rPr>
            </w:pPr>
            <w:r>
              <w:rPr>
                <w:rFonts w:ascii="Verdana" w:cs="Verdana" w:eastAsia="Verdana" w:hAnsi="Verdana"/>
                <w:sz w:val="13"/>
                <w:szCs w:val="13"/>
                <w:color w:val="auto"/>
              </w:rPr>
              <w:t>Accelerated filer</w:t>
            </w:r>
          </w:p>
        </w:tc>
        <w:tc>
          <w:tcPr>
            <w:tcW w:w="1200" w:type="dxa"/>
            <w:vAlign w:val="bottom"/>
          </w:tcPr>
          <w:p>
            <w:pPr>
              <w:jc w:val="right"/>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284"/>
        </w:trPr>
        <w:tc>
          <w:tcPr>
            <w:tcW w:w="2240" w:type="dxa"/>
            <w:vAlign w:val="bottom"/>
          </w:tcPr>
          <w:p>
            <w:pPr>
              <w:spacing w:after="0"/>
              <w:rPr>
                <w:sz w:val="20"/>
                <w:szCs w:val="20"/>
                <w:color w:val="auto"/>
              </w:rPr>
            </w:pPr>
            <w:r>
              <w:rPr>
                <w:rFonts w:ascii="Verdana" w:cs="Verdana" w:eastAsia="Verdana" w:hAnsi="Verdana"/>
                <w:sz w:val="13"/>
                <w:szCs w:val="13"/>
                <w:color w:val="auto"/>
              </w:rPr>
              <w:t>Non-accelerated filer</w:t>
            </w:r>
          </w:p>
        </w:tc>
        <w:tc>
          <w:tcPr>
            <w:tcW w:w="2940" w:type="dxa"/>
            <w:vAlign w:val="bottom"/>
          </w:tcPr>
          <w:p>
            <w:pPr>
              <w:ind w:left="820"/>
              <w:spacing w:after="0"/>
              <w:rPr>
                <w:sz w:val="20"/>
                <w:szCs w:val="20"/>
                <w:color w:val="auto"/>
              </w:rPr>
            </w:pPr>
            <w:r>
              <w:rPr>
                <w:rFonts w:ascii="Arial" w:cs="Arial" w:eastAsia="Arial" w:hAnsi="Arial"/>
                <w:sz w:val="13"/>
                <w:szCs w:val="13"/>
                <w:color w:val="auto"/>
              </w:rPr>
              <w:t>x</w:t>
            </w:r>
          </w:p>
        </w:tc>
        <w:tc>
          <w:tcPr>
            <w:tcW w:w="4820" w:type="dxa"/>
            <w:vAlign w:val="bottom"/>
          </w:tcPr>
          <w:p>
            <w:pPr>
              <w:ind w:left="2020"/>
              <w:spacing w:after="0"/>
              <w:rPr>
                <w:sz w:val="20"/>
                <w:szCs w:val="20"/>
                <w:color w:val="auto"/>
              </w:rPr>
            </w:pPr>
            <w:r>
              <w:rPr>
                <w:rFonts w:ascii="Verdana" w:cs="Verdana" w:eastAsia="Verdana" w:hAnsi="Verdana"/>
                <w:sz w:val="13"/>
                <w:szCs w:val="13"/>
                <w:color w:val="auto"/>
              </w:rPr>
              <w:t>Smaller reporting company</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20" w:type="dxa"/>
            <w:vAlign w:val="bottom"/>
          </w:tcPr>
          <w:p>
            <w:pPr>
              <w:ind w:left="2020"/>
              <w:spacing w:after="0"/>
              <w:rPr>
                <w:sz w:val="20"/>
                <w:szCs w:val="20"/>
                <w:color w:val="auto"/>
              </w:rPr>
            </w:pPr>
            <w:r>
              <w:rPr>
                <w:rFonts w:ascii="Verdana" w:cs="Verdana" w:eastAsia="Verdana" w:hAnsi="Verdana"/>
                <w:sz w:val="13"/>
                <w:szCs w:val="13"/>
                <w:color w:val="auto"/>
              </w:rPr>
              <w:t>Emerging growth company</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00"/>
        <w:spacing w:after="0" w:line="228" w:lineRule="auto"/>
        <w:rPr>
          <w:sz w:val="20"/>
          <w:szCs w:val="20"/>
          <w:color w:val="auto"/>
        </w:rPr>
      </w:pPr>
      <w:r>
        <w:rPr>
          <w:rFonts w:ascii="Verdana" w:cs="Verdana" w:eastAsia="Verdana" w:hAnsi="Verdan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190" w:lineRule="exact"/>
        <w:rPr>
          <w:sz w:val="24"/>
          <w:szCs w:val="24"/>
          <w:color w:val="auto"/>
        </w:rPr>
      </w:pPr>
    </w:p>
    <w:p>
      <w:pPr>
        <w:spacing w:after="0"/>
        <w:tabs>
          <w:tab w:leader="none" w:pos="6740" w:val="left"/>
          <w:tab w:leader="none" w:pos="7300" w:val="left"/>
        </w:tabs>
        <w:rPr>
          <w:sz w:val="20"/>
          <w:szCs w:val="20"/>
          <w:color w:val="auto"/>
        </w:rPr>
      </w:pPr>
      <w:r>
        <w:rPr>
          <w:rFonts w:ascii="Verdana" w:cs="Verdana" w:eastAsia="Verdana" w:hAnsi="Verdana"/>
          <w:sz w:val="13"/>
          <w:szCs w:val="13"/>
          <w:color w:val="auto"/>
        </w:rPr>
        <w:t>Indicate by check mark whether the registrant is a shell company (as defined in Rule 12b-2 of the Act).</w:t>
        <w:tab/>
        <w:t xml:space="preserve">Yes  </w:t>
      </w:r>
      <w:r>
        <w:rPr>
          <w:rFonts w:ascii="Arial" w:cs="Arial" w:eastAsia="Arial" w:hAnsi="Arial"/>
          <w:sz w:val="13"/>
          <w:szCs w:val="13"/>
          <w:color w:val="auto"/>
        </w:rPr>
        <w:t>o</w:t>
      </w:r>
      <w:r>
        <w:rPr>
          <w:rFonts w:ascii="Verdana" w:cs="Verdana" w:eastAsia="Verdana" w:hAnsi="Verdana"/>
          <w:sz w:val="13"/>
          <w:szCs w:val="13"/>
          <w:color w:val="auto"/>
        </w:rPr>
        <w:tab/>
        <w:t xml:space="preserve">No </w:t>
      </w:r>
      <w:r>
        <w:rPr>
          <w:rFonts w:ascii="Arial" w:cs="Arial" w:eastAsia="Arial" w:hAnsi="Arial"/>
          <w:sz w:val="13"/>
          <w:szCs w:val="13"/>
          <w:color w:val="auto"/>
        </w:rPr>
        <w:t>x</w:t>
      </w:r>
    </w:p>
    <w:p>
      <w:pPr>
        <w:spacing w:after="0" w:line="177" w:lineRule="exact"/>
        <w:rPr>
          <w:sz w:val="24"/>
          <w:szCs w:val="24"/>
          <w:color w:val="auto"/>
        </w:rPr>
      </w:pPr>
    </w:p>
    <w:p>
      <w:pPr>
        <w:spacing w:after="0"/>
        <w:rPr>
          <w:sz w:val="20"/>
          <w:szCs w:val="20"/>
          <w:color w:val="auto"/>
        </w:rPr>
      </w:pPr>
      <w:r>
        <w:rPr>
          <w:rFonts w:ascii="Verdana" w:cs="Verdana" w:eastAsia="Verdana" w:hAnsi="Verdana"/>
          <w:sz w:val="13"/>
          <w:szCs w:val="13"/>
          <w:color w:val="auto"/>
        </w:rPr>
        <w:t>As of August 2, 2022, there were 32,683,706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40" w:right="31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8"/>
        </w:trPr>
        <w:tc>
          <w:tcPr>
            <w:tcW w:w="10720" w:type="dxa"/>
            <w:vAlign w:val="bottom"/>
            <w:gridSpan w:val="23"/>
          </w:tcPr>
          <w:p>
            <w:pPr>
              <w:spacing w:after="0"/>
              <w:rPr>
                <w:sz w:val="20"/>
                <w:szCs w:val="20"/>
                <w:color w:val="auto"/>
              </w:rPr>
            </w:pPr>
            <w:r>
              <w:rPr>
                <w:rFonts w:ascii="Arial" w:cs="Arial" w:eastAsia="Arial" w:hAnsi="Arial"/>
                <w:sz w:val="14"/>
                <w:szCs w:val="14"/>
                <w:b w:val="1"/>
                <w:bCs w:val="1"/>
                <w:color w:val="0000FF"/>
              </w:rPr>
              <w:t>Part I. Financial Information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Financial Statements (unaudited)</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Balance Sheets as of June 30, 2022 and December 31, 2021</w:t>
            </w:r>
          </w:p>
        </w:tc>
        <w:tc>
          <w:tcPr>
            <w:tcW w:w="4580" w:type="dxa"/>
            <w:vAlign w:val="bottom"/>
            <w:gridSpan w:val="5"/>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Arial" w:cs="Arial" w:eastAsia="Arial" w:hAnsi="Arial"/>
                <w:sz w:val="14"/>
                <w:szCs w:val="14"/>
                <w:color w:val="0000FF"/>
              </w:rPr>
              <w:t>Condensed Consolidated Statements of Loss and Comprehensive Loss for the Three and Six Months Ended June 30, 2022 and 2021</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Arial" w:cs="Arial" w:eastAsia="Arial" w:hAnsi="Arial"/>
                <w:sz w:val="14"/>
                <w:szCs w:val="14"/>
                <w:color w:val="0000FF"/>
              </w:rPr>
              <w:t>Condensed Consolidated Statements of Redeemable Convertible Preferred Stock and Stockholders' Equity (Deficit) for the Three and Six Months Ended June</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42"/>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4"/>
                <w:szCs w:val="14"/>
                <w:color w:val="0000FF"/>
              </w:rPr>
              <w:t>30, 2022 and 2021</w:t>
            </w:r>
          </w:p>
        </w:tc>
        <w:tc>
          <w:tcPr>
            <w:tcW w:w="8840" w:type="dxa"/>
            <w:vAlign w:val="bottom"/>
            <w:tcBorders>
              <w:top w:val="single" w:sz="8" w:color="0000FF"/>
            </w:tcBorders>
            <w:gridSpan w:val="12"/>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Arial" w:cs="Arial" w:eastAsia="Arial" w:hAnsi="Arial"/>
                <w:sz w:val="14"/>
                <w:szCs w:val="14"/>
                <w:color w:val="0000FF"/>
              </w:rPr>
              <w:t>Condensed Consolidated Statements of Cash Flows for the Six Months Ended June 30, 2022 and 2021</w:t>
            </w: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80" w:type="dxa"/>
            <w:vAlign w:val="bottom"/>
            <w:tcBorders>
              <w:top w:val="single" w:sz="8" w:color="0000FF"/>
            </w:tcBorders>
            <w:gridSpan w:val="17"/>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3560" w:type="dxa"/>
            <w:vAlign w:val="bottom"/>
            <w:gridSpan w:val="3"/>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4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3.</w:t>
            </w:r>
          </w:p>
        </w:tc>
        <w:tc>
          <w:tcPr>
            <w:tcW w:w="4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4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Controls and Procedures</w:t>
            </w:r>
          </w:p>
        </w:tc>
        <w:tc>
          <w:tcPr>
            <w:tcW w:w="4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720" w:type="dxa"/>
            <w:vAlign w:val="bottom"/>
            <w:gridSpan w:val="23"/>
          </w:tcPr>
          <w:p>
            <w:pPr>
              <w:spacing w:after="0"/>
              <w:rPr>
                <w:sz w:val="20"/>
                <w:szCs w:val="20"/>
                <w:color w:val="auto"/>
              </w:rPr>
            </w:pPr>
            <w:r>
              <w:rPr>
                <w:rFonts w:ascii="Arial" w:cs="Arial" w:eastAsia="Arial" w:hAnsi="Arial"/>
                <w:sz w:val="14"/>
                <w:szCs w:val="14"/>
                <w:b w:val="1"/>
                <w:bCs w:val="1"/>
                <w:color w:val="0000FF"/>
              </w:rPr>
              <w:t>Part II. Other Information</w:t>
            </w: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Legal Proceedings</w:t>
            </w: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Risk Factors</w:t>
            </w: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4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4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Defaults Upon Senior Securities</w:t>
            </w:r>
          </w:p>
        </w:tc>
        <w:tc>
          <w:tcPr>
            <w:tcW w:w="4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1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Mine Safety Disclosures</w:t>
            </w:r>
          </w:p>
        </w:tc>
        <w:tc>
          <w:tcPr>
            <w:tcW w:w="4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6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Other Information</w:t>
            </w:r>
          </w:p>
        </w:tc>
        <w:tc>
          <w:tcPr>
            <w:tcW w:w="4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10140" w:type="dxa"/>
            <w:vAlign w:val="bottom"/>
            <w:gridSpan w:val="20"/>
          </w:tcPr>
          <w:p>
            <w:pPr>
              <w:spacing w:after="0"/>
              <w:rPr>
                <w:sz w:val="20"/>
                <w:szCs w:val="20"/>
                <w:color w:val="auto"/>
              </w:rPr>
            </w:pPr>
            <w:r>
              <w:rPr>
                <w:rFonts w:ascii="Arial" w:cs="Arial" w:eastAsia="Arial" w:hAnsi="Arial"/>
                <w:sz w:val="14"/>
                <w:szCs w:val="14"/>
                <w:color w:val="0000FF"/>
              </w:rPr>
              <w:t>Exhibits</w:t>
            </w:r>
          </w:p>
        </w:tc>
        <w:tc>
          <w:tcPr>
            <w:tcW w:w="4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4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Signatures</w:t>
            </w:r>
          </w:p>
        </w:tc>
        <w:tc>
          <w:tcPr>
            <w:tcW w:w="10020" w:type="dxa"/>
            <w:vAlign w:val="bottom"/>
            <w:gridSpan w:val="18"/>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81,301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85,825</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13,873</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192"/>
        </w:trPr>
        <w:tc>
          <w:tcPr>
            <w:tcW w:w="74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106,647</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4"/>
                <w:szCs w:val="14"/>
                <w:color w:val="auto"/>
              </w:rPr>
              <w:t>Equity method investment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Intangibles, net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9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120,443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1,567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10,573</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liabilities, current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current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28,403</w:t>
            </w:r>
          </w:p>
        </w:tc>
        <w:tc>
          <w:tcPr>
            <w:tcW w:w="0" w:type="dxa"/>
            <w:vAlign w:val="bottom"/>
          </w:tcPr>
          <w:p>
            <w:pPr>
              <w:spacing w:after="0"/>
              <w:rPr>
                <w:sz w:val="1"/>
                <w:szCs w:val="1"/>
                <w:color w:val="auto"/>
              </w:rPr>
            </w:pPr>
          </w:p>
        </w:tc>
      </w:tr>
      <w:tr>
        <w:trPr>
          <w:trHeight w:val="19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financing arrangements, current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42,492</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19,681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20,773</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noncurrent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67,539</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Commitments and contingencies (Note 9)</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4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par value of $0.001 - 10,000,000 shares authorized and no shares issued and outstanding as of</w:t>
            </w:r>
          </w:p>
        </w:tc>
        <w:tc>
          <w:tcPr>
            <w:tcW w:w="2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440" w:type="dxa"/>
            <w:vAlign w:val="bottom"/>
          </w:tcPr>
          <w:p>
            <w:pPr>
              <w:ind w:left="140"/>
              <w:spacing w:after="0"/>
              <w:rPr>
                <w:sz w:val="20"/>
                <w:szCs w:val="20"/>
                <w:color w:val="auto"/>
              </w:rPr>
            </w:pPr>
            <w:r>
              <w:rPr>
                <w:rFonts w:ascii="Arial" w:cs="Arial" w:eastAsia="Arial" w:hAnsi="Arial"/>
                <w:sz w:val="14"/>
                <w:szCs w:val="14"/>
                <w:color w:val="auto"/>
              </w:rPr>
              <w:t>June 30, 2022 and December 31, 2021, respectively</w:t>
            </w:r>
          </w:p>
        </w:tc>
        <w:tc>
          <w:tcPr>
            <w:tcW w:w="2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par value of $0.001 - 300,000,000 shares authorized as of June 30, 2022 and December 31,</w:t>
            </w: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2021; 32,622,817 and 31,530,682 shares issued and outstanding as of June 30, 2022 and December 31, 2021,</w:t>
            </w:r>
          </w:p>
        </w:tc>
        <w:tc>
          <w:tcPr>
            <w:tcW w:w="2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97,237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91,945</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(38,991)</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52,904</w:t>
            </w:r>
          </w:p>
        </w:tc>
        <w:tc>
          <w:tcPr>
            <w:tcW w:w="0" w:type="dxa"/>
            <w:vAlign w:val="bottom"/>
          </w:tcPr>
          <w:p>
            <w:pPr>
              <w:spacing w:after="0"/>
              <w:rPr>
                <w:sz w:val="1"/>
                <w:szCs w:val="1"/>
                <w:color w:val="auto"/>
              </w:rPr>
            </w:pP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121,152</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120,443</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 w:name="page4"/>
    <w:bookmarkEnd w:id="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35"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Condensed Consolidated Statements of Loss and Comprehensive Loss</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29"/>
        </w:trPr>
        <w:tc>
          <w:tcPr>
            <w:tcW w:w="5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Licensing, support and maintenance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14,033</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10,056</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24,608</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16,217</w:t>
            </w:r>
          </w:p>
        </w:tc>
      </w:tr>
      <w:tr>
        <w:trPr>
          <w:trHeight w:val="206"/>
        </w:trPr>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royalties and other</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r>
      <w:tr>
        <w:trPr>
          <w:trHeight w:val="192"/>
        </w:trPr>
        <w:tc>
          <w:tcPr>
            <w:tcW w:w="58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14,822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10,813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26,577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17,471</w:t>
            </w:r>
          </w:p>
        </w:tc>
      </w:tr>
      <w:tr>
        <w:trPr>
          <w:trHeight w:val="207"/>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w:t>
            </w:r>
          </w:p>
        </w:tc>
      </w:tr>
      <w:tr>
        <w:trPr>
          <w:trHeight w:val="192"/>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13,533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9,946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24,309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15,736</w:t>
            </w:r>
          </w:p>
        </w:tc>
      </w:tr>
      <w:tr>
        <w:trPr>
          <w:trHeight w:val="187"/>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10,371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6,425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19,827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12,963</w:t>
            </w:r>
          </w:p>
        </w:tc>
      </w:tr>
      <w:tr>
        <w:trPr>
          <w:trHeight w:val="207"/>
        </w:trPr>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4,456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w:t>
            </w:r>
          </w:p>
        </w:tc>
      </w:tr>
      <w:tr>
        <w:trPr>
          <w:trHeight w:val="198"/>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8,012</w:t>
            </w:r>
          </w:p>
        </w:tc>
      </w:tr>
      <w:tr>
        <w:trPr>
          <w:trHeight w:val="20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18,959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13,467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36,351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25,704</w:t>
            </w:r>
          </w:p>
        </w:tc>
      </w:tr>
      <w:tr>
        <w:trPr>
          <w:trHeight w:val="192"/>
        </w:trPr>
        <w:tc>
          <w:tcPr>
            <w:tcW w:w="58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(12,042)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(9,968)</w:t>
            </w:r>
          </w:p>
        </w:tc>
      </w:tr>
      <w:tr>
        <w:trPr>
          <w:trHeight w:val="207"/>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192"/>
        </w:trPr>
        <w:tc>
          <w:tcPr>
            <w:tcW w:w="588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(10,282)</w:t>
            </w: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200"/>
        </w:trPr>
        <w:tc>
          <w:tcPr>
            <w:tcW w:w="588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(3,909)</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(10,626)</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5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588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(0.55)</w:t>
            </w:r>
          </w:p>
        </w:tc>
      </w:tr>
      <w:tr>
        <w:trPr>
          <w:trHeight w:val="207"/>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used in computing per share amounts, basic and diluted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32,258,228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19,874,925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31,940,293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19,354,965</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3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rPr>
              <w:t>Three Months Ended June 30, 2022</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BALANCE—March 31, 2022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31,858,420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47,659</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641,932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Tax withholding on RSUs settlement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(5,668)</w:t>
            </w: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BALANCE—June 30,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32,622,817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center"/>
              <w:ind w:left="697"/>
              <w:spacing w:after="0"/>
              <w:rPr>
                <w:sz w:val="20"/>
                <w:szCs w:val="20"/>
                <w:color w:val="auto"/>
              </w:rPr>
            </w:pPr>
            <w:r>
              <w:rPr>
                <w:rFonts w:ascii="Arial" w:cs="Arial" w:eastAsia="Arial" w:hAnsi="Arial"/>
                <w:sz w:val="13"/>
                <w:szCs w:val="13"/>
                <w:color w:val="auto"/>
              </w:rPr>
              <w:t>(81)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45,710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ind w:left="40"/>
              <w:spacing w:after="0"/>
              <w:rPr>
                <w:sz w:val="20"/>
                <w:szCs w:val="20"/>
                <w:color w:val="auto"/>
              </w:rPr>
            </w:pPr>
            <w:r>
              <w:rPr>
                <w:rFonts w:ascii="Arial" w:cs="Arial" w:eastAsia="Arial" w:hAnsi="Arial"/>
                <w:sz w:val="13"/>
                <w:szCs w:val="13"/>
                <w:b w:val="1"/>
                <w:bCs w:val="1"/>
                <w:color w:val="auto"/>
              </w:rPr>
              <w:t>Three Months Ended June 30, 2021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BALANCE—March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19,031,216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(18,207)</w:t>
            </w:r>
          </w:p>
        </w:tc>
        <w:tc>
          <w:tcPr>
            <w:tcW w:w="0" w:type="dxa"/>
            <w:vAlign w:val="bottom"/>
          </w:tcPr>
          <w:p>
            <w:pPr>
              <w:spacing w:after="0"/>
              <w:rPr>
                <w:sz w:val="1"/>
                <w:szCs w:val="1"/>
                <w:color w:val="auto"/>
              </w:rPr>
            </w:pPr>
          </w:p>
        </w:tc>
      </w:tr>
      <w:tr>
        <w:trPr>
          <w:trHeight w:val="179"/>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Issuance of common stock</w:t>
            </w:r>
          </w:p>
        </w:tc>
        <w:tc>
          <w:tcPr>
            <w:tcW w:w="820" w:type="dxa"/>
            <w:vAlign w:val="bottom"/>
            <w:gridSpan w:val="2"/>
          </w:tcPr>
          <w:p>
            <w:pPr>
              <w:ind w:left="520"/>
              <w:spacing w:after="0"/>
              <w:rPr>
                <w:sz w:val="20"/>
                <w:szCs w:val="20"/>
                <w:color w:val="auto"/>
              </w:rPr>
            </w:pPr>
            <w:r>
              <w:rPr>
                <w:rFonts w:ascii="Verdana" w:cs="Verdana" w:eastAsia="Verdana" w:hAnsi="Verdana"/>
                <w:sz w:val="14"/>
                <w:szCs w:val="14"/>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ind w:left="400"/>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5,437</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right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7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(3,909)</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BALANCE—June 30,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20,525,254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3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rPr>
              <w:t>Six Months Ended June 30, 2022</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BALANCE—December 31, 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31,530,682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(38,991)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52,904</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ind w:left="5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766,942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394,436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Tax withholding on RSUs settlement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(69,243)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5,693</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3"/>
                <w:szCs w:val="13"/>
                <w:color w:val="auto"/>
                <w:w w:val="99"/>
              </w:rPr>
              <w:t>(12,488)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(12,488)</w:t>
            </w: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BALANCE—June 30,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32,622,817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center"/>
              <w:ind w:left="697"/>
              <w:spacing w:after="0"/>
              <w:rPr>
                <w:sz w:val="20"/>
                <w:szCs w:val="20"/>
                <w:color w:val="auto"/>
              </w:rPr>
            </w:pPr>
            <w:r>
              <w:rPr>
                <w:rFonts w:ascii="Arial" w:cs="Arial" w:eastAsia="Arial" w:hAnsi="Arial"/>
                <w:sz w:val="13"/>
                <w:szCs w:val="13"/>
                <w:color w:val="auto"/>
              </w:rPr>
              <w:t>(81)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w w:val="99"/>
              </w:rPr>
              <w:t>(51,479)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45,710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rPr>
              <w:t>Six Months Ended June 30, 2021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BALANCE—December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18,486,989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(15,607)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Issuance of common stock</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5,436</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shd w:val="clear" w:color="auto" w:fill="CCEEFF"/>
          </w:tcPr>
          <w:p>
            <w:pPr>
              <w:ind w:left="5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771,934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73"/>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7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w w:val="99"/>
              </w:rPr>
              <w:t>(10,626)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(10,626)</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BALANCE—June 30,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20,525,254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(26,233)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1"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spacing w:after="0" w:line="8"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(12,488)</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(10,626)</w:t>
            </w:r>
          </w:p>
        </w:tc>
      </w:tr>
      <w:tr>
        <w:trPr>
          <w:trHeight w:val="207"/>
        </w:trPr>
        <w:tc>
          <w:tcPr>
            <w:tcW w:w="7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77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733</w:t>
            </w:r>
          </w:p>
        </w:tc>
      </w:tr>
      <w:tr>
        <w:trPr>
          <w:trHeight w:val="207"/>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r>
      <w:tr>
        <w:trPr>
          <w:trHeight w:val="198"/>
        </w:trPr>
        <w:tc>
          <w:tcPr>
            <w:tcW w:w="7740" w:type="dxa"/>
            <w:vAlign w:val="bottom"/>
          </w:tcPr>
          <w:p>
            <w:pPr>
              <w:ind w:left="360"/>
              <w:spacing w:after="0"/>
              <w:rPr>
                <w:sz w:val="20"/>
                <w:szCs w:val="20"/>
                <w:color w:val="auto"/>
              </w:rPr>
            </w:pPr>
            <w:r>
              <w:rPr>
                <w:rFonts w:ascii="Arial" w:cs="Arial" w:eastAsia="Arial" w:hAnsi="Arial"/>
                <w:sz w:val="14"/>
                <w:szCs w:val="14"/>
                <w:color w:val="auto"/>
              </w:rPr>
              <w:t>Operating non-cash lease expense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7740" w:type="dxa"/>
            <w:vAlign w:val="bottom"/>
          </w:tcPr>
          <w:p>
            <w:pPr>
              <w:ind w:left="360"/>
              <w:spacing w:after="0"/>
              <w:rPr>
                <w:sz w:val="20"/>
                <w:szCs w:val="20"/>
                <w:color w:val="auto"/>
              </w:rPr>
            </w:pPr>
            <w:r>
              <w:rPr>
                <w:rFonts w:ascii="Arial" w:cs="Arial" w:eastAsia="Arial" w:hAnsi="Arial"/>
                <w:sz w:val="14"/>
                <w:szCs w:val="14"/>
                <w:color w:val="auto"/>
              </w:rPr>
              <w:t>Gain on deconsolidation of subsidiary (Note 12)</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Accounts receivable, net</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5,932</w:t>
            </w:r>
          </w:p>
        </w:tc>
      </w:tr>
      <w:tr>
        <w:trPr>
          <w:trHeight w:val="207"/>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w:t>
            </w: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973</w:t>
            </w:r>
          </w:p>
        </w:tc>
      </w:tr>
      <w:tr>
        <w:trPr>
          <w:trHeight w:val="207"/>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98"/>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Deferred revenue</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3,716</w:t>
            </w:r>
          </w:p>
        </w:tc>
      </w:tr>
      <w:tr>
        <w:trPr>
          <w:trHeight w:val="200"/>
        </w:trPr>
        <w:tc>
          <w:tcPr>
            <w:tcW w:w="77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179"/>
        </w:trPr>
        <w:tc>
          <w:tcPr>
            <w:tcW w:w="77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 relating to investment in equity method investment (Note 12)</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7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contingent consideration for business acquisition</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issuance of common stock</w:t>
            </w:r>
          </w:p>
        </w:tc>
        <w:tc>
          <w:tcPr>
            <w:tcW w:w="10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5,435</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to tax authorities for shares withheld from employees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principal portion of term loan</w:t>
            </w:r>
          </w:p>
        </w:tc>
        <w:tc>
          <w:tcPr>
            <w:tcW w:w="10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92"/>
        </w:trPr>
        <w:tc>
          <w:tcPr>
            <w:tcW w:w="77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10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(2,636)</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4,930</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w:t>
            </w: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beginning of period</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11,744</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end of period</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81,301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Purchase of property and equipment through vendor financing and accrued expenses and other current liabilities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deferred offering costs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lease right-of-use assets exchanged for lease liabilities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obtained in equity method investment in exchange for contribution of license agreement (Note 12)</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ARTERIS, INC.</w:t>
      </w:r>
    </w:p>
    <w:p>
      <w:pPr>
        <w:spacing w:after="0" w:line="4"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NOTES TO CONDENSED C</w:t>
      </w:r>
      <w:r>
        <w:rPr>
          <w:rFonts w:ascii="Arial" w:cs="Arial" w:eastAsia="Arial" w:hAnsi="Arial"/>
          <w:sz w:val="14"/>
          <w:szCs w:val="14"/>
          <w:b w:val="1"/>
          <w:bCs w:val="1"/>
          <w:color w:val="auto"/>
        </w:rPr>
        <w:t>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Arteris, Inc. and its subsidiaries (collectively, the “Company” or “Arteris”) was incorporated in Delaware on April 12, 2004. The Company develops, licenses, and supports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2021, the Company completed its initial public offering (IPO), in which it issued and sold 5,750,000 shares of its common stock at the public offering price of $14.00 per share, including 750,000 shares of its common stock upon the full exercise of the underwriters’ option to purchase additional shares. The Company received net proceeds of $71.1 million after deducting underwriting discounts and commissions and offering expenses.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condensed consolidated balance sheets. Upon completion of the IPO, deferred offering costs were reclassified into stockholders’ equity (deficit) as a reduction of the IPO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emergence of new variants, it has already had an adverse effect on the global economy and the lasting effects of the pandemic continue to be unknown. In response to the COVID-19 pandemic, the measures implemented by various authorities have caused us to change the Company’s business practices, including those related to where employees work, the distance between employees in the Company’s facilities, limitations on in-person meetings between employees and</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customers, suppliers, service providers and stakeholders, as well as restrictions on business travel to domestic and international locations and to attend trade shows, technical conferences and other events.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unable to accurately predict the full impact that COVID-19 will have on its future results of operations, financial condition, liquidity and cash flows due to numerous uncertainties, including the duration and severity of the pandemic and containment measures. The Company will continue to monitor health orders issued by applicable governments to ensure compliance with evolving domestic and global COVID-19 guidelines.</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2021 and the related notes included in the Company’s Form 10-K filed on March 7, 2022 (2021 Form 10-K) with the U.S. Securities and Exchange Commission (SEC). The December 31, 2021 condensed consolidated balance sheet was derived from the audited consolidated financial statements as of that date. In management’s opinion, the unaudited interim consolidated financial statements have</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been prepared on the same basis as the annual financial statements and reflect all adjustments, which include only normal recurring adjustments necessary for the fair statement of the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operating results for the three and six months ended June 30, 2022 are not necessarily indicative of the results to be expected for the full year or any other future interim or annual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condensed consolidated financial statements include the accounts of Arteris, Inc. and its wholly-owned subsidiaries. All inter-company transactions and accounts have been eliminated.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accounts receivable. The Company maintains cash in checking and savings deposits. All of the Company’s net IPO proceeds are held within a single financial institution as of June 30, 2022. Management believes no significant concentration risk exists with respect to cash as in management’s judgment the banks that hold the Company’s cash are financially stable. The Company deposits cash with high-credit-quality financial institutions which, at times, may exceed federally insured amounts.</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7"/>
                <w:szCs w:val="17"/>
                <w:color w:val="auto"/>
              </w:rPr>
            </w:pPr>
          </w:p>
        </w:tc>
      </w:tr>
      <w:tr>
        <w:trPr>
          <w:trHeight w:val="143"/>
        </w:trPr>
        <w:tc>
          <w:tcPr>
            <w:tcW w:w="7560" w:type="dxa"/>
            <w:vAlign w:val="bottom"/>
          </w:tcPr>
          <w:p>
            <w:pPr>
              <w:spacing w:after="0"/>
              <w:rPr>
                <w:sz w:val="12"/>
                <w:szCs w:val="12"/>
                <w:color w:val="auto"/>
              </w:rPr>
            </w:pPr>
          </w:p>
        </w:tc>
        <w:tc>
          <w:tcPr>
            <w:tcW w:w="1300" w:type="dxa"/>
            <w:vAlign w:val="bottom"/>
          </w:tcPr>
          <w:p>
            <w:pPr>
              <w:ind w:left="600"/>
              <w:spacing w:after="0" w:line="143"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86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8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Customer D</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207"/>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95"/>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Customer F</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12 %</w:t>
            </w:r>
          </w:p>
        </w:tc>
      </w:tr>
    </w:tbl>
    <w:p>
      <w:pPr>
        <w:spacing w:after="0" w:line="30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Customer accounted for less than 10% of total accounts receivable at period end.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36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74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D</w:t>
            </w:r>
          </w:p>
        </w:tc>
        <w:tc>
          <w:tcPr>
            <w:tcW w:w="1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9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Customer 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F</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9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Customer accounted for less than 10% of total revenue in the period.</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significant changes to the Company’s significant accounting policies during the six months ended June 30, 2022 from those disclosed in the annual consolidated financial statements for the year ended December 31, 2021, except for those disclosed in this document.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uses the equity method to account for its investments in companies which the Company does not control but is deemed to have the ability to exercise significant influence over operating and financial decisions of the investee.</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generally measures an investment in the common stock of an investee initially at cost. The carrying value of the Company’s equity method investments is reported in equity method investment on the condensed consolidated balance sheets. The Company records its proportionate share of the income or loss in its equity method investments on a one-quarter lag. The cost is adjusted to recognize the Company's proportionate share of the investee’s net income or loss after the date of investment. The Company assesses investments for impairment whenever events or changes in circumstances indicate that the carrying value of an investment may not be recoverable.</w:t>
      </w:r>
    </w:p>
    <w:p>
      <w:pPr>
        <w:spacing w:after="0" w:line="21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Distributions received from an investee reduce the carrying value of an investment and are recorded in the consolidated statements of cash flows using the nature of distribution approach.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in</w:t>
      </w:r>
      <w:r>
        <w:rPr>
          <w:rFonts w:ascii="Arial" w:cs="Arial" w:eastAsia="Arial" w:hAnsi="Arial"/>
          <w:sz w:val="18"/>
          <w:szCs w:val="18"/>
          <w:i w:val="1"/>
          <w:iCs w:val="1"/>
          <w:color w:val="auto"/>
        </w:rPr>
        <w:t xml:space="preserve"> May 2019 </w:t>
      </w:r>
      <w:r>
        <w:rPr>
          <w:rFonts w:ascii="Arial" w:cs="Arial" w:eastAsia="Arial" w:hAnsi="Arial"/>
          <w:sz w:val="18"/>
          <w:szCs w:val="18"/>
          <w:color w:val="auto"/>
        </w:rPr>
        <w:t>issued ASU</w:t>
      </w:r>
      <w:r>
        <w:rPr>
          <w:rFonts w:ascii="Arial" w:cs="Arial" w:eastAsia="Arial" w:hAnsi="Arial"/>
          <w:sz w:val="18"/>
          <w:szCs w:val="18"/>
          <w:i w:val="1"/>
          <w:iCs w:val="1"/>
          <w:color w:val="auto"/>
        </w:rPr>
        <w:t xml:space="preserve"> No. 2019</w:t>
      </w:r>
      <w:r>
        <w:rPr>
          <w:rFonts w:ascii="Arial" w:cs="Arial" w:eastAsia="Arial" w:hAnsi="Arial"/>
          <w:sz w:val="18"/>
          <w:szCs w:val="18"/>
          <w:color w:val="auto"/>
        </w:rPr>
        <w:t>-</w:t>
      </w:r>
      <w:r>
        <w:rPr>
          <w:rFonts w:ascii="Arial" w:cs="Arial" w:eastAsia="Arial" w:hAnsi="Arial"/>
          <w:sz w:val="18"/>
          <w:szCs w:val="18"/>
          <w:i w:val="1"/>
          <w:iCs w:val="1"/>
          <w:color w:val="auto"/>
        </w:rPr>
        <w:t xml:space="preserve">05, Credit Losses (Topic 326): Targeted Transition Relief </w:t>
      </w:r>
      <w:r>
        <w:rPr>
          <w:rFonts w:ascii="Arial" w:cs="Arial" w:eastAsia="Arial" w:hAnsi="Arial"/>
          <w:sz w:val="18"/>
          <w:szCs w:val="18"/>
          <w:color w:val="auto"/>
        </w:rPr>
        <w:t>(collectively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 Topic </w:t>
      </w:r>
      <w:r>
        <w:rPr>
          <w:rFonts w:ascii="Arial" w:cs="Arial" w:eastAsia="Arial" w:hAnsi="Arial"/>
          <w:sz w:val="18"/>
          <w:szCs w:val="18"/>
          <w:i w:val="1"/>
          <w:iCs w:val="1"/>
          <w:color w:val="auto"/>
        </w:rPr>
        <w:t>326</w:t>
      </w:r>
      <w:r>
        <w:rPr>
          <w:rFonts w:ascii="Arial" w:cs="Arial" w:eastAsia="Arial" w:hAnsi="Arial"/>
          <w:sz w:val="18"/>
          <w:szCs w:val="18"/>
          <w:color w:val="auto"/>
        </w:rPr>
        <w:t>), 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Company does not expect the adoption of this guidance to have a material impact on its consolidated financial statements and related disclosures.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This standard requires contract assets and contract liabilities acquired in a business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be recognized in accordance with Topic 606 as if the acquirer had originated the contracts. The guidance is effective for fiscal years beginning after December 15, 2022, including interim periods within those years and early adoption is permitted. The Company is currently evaluating the impact that the standard will have on its consolidated financial statements and related disclosures.</w:t>
      </w:r>
    </w:p>
    <w:p>
      <w:pPr>
        <w:spacing w:after="0" w:line="17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6"/>
        </w:trPr>
        <w:tc>
          <w:tcPr>
            <w:tcW w:w="4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9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16,217</w:t>
            </w:r>
          </w:p>
        </w:tc>
      </w:tr>
      <w:tr>
        <w:trPr>
          <w:trHeight w:val="198"/>
        </w:trPr>
        <w:tc>
          <w:tcPr>
            <w:tcW w:w="42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1,174</w:t>
            </w:r>
          </w:p>
        </w:tc>
      </w:tr>
      <w:tr>
        <w:trPr>
          <w:trHeight w:val="207"/>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92"/>
        </w:trPr>
        <w:tc>
          <w:tcPr>
            <w:tcW w:w="4240" w:type="dxa"/>
            <w:vAlign w:val="bottom"/>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26,577</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17,471</w:t>
            </w:r>
          </w:p>
        </w:tc>
      </w:tr>
      <w:tr>
        <w:trPr>
          <w:trHeight w:val="25"/>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ind w:left="220"/>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13,873</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1,486</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49,176</w:t>
            </w:r>
          </w:p>
        </w:tc>
      </w:tr>
    </w:tbl>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recognized revenue of $8.1 million and $ 5.6 million for the three months ended June 30, 2022 and 2021, respectively, and $14.7 million and $9.3 million for the six months ended June 30, 2022 and 2021, respectively, that was included in the deferred revenue balance at the beginning of the respective periods.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Contracted but unsatisfied performance obligations were $47.9 million and $49.3 million as of June 30, 2022 and December 31, 2021, respectively, and included unearned revenue and non-cancelable Flexible Spending Account (FSA) Agreements from customers where actual product selection and quantities of specific products are to be determined by customers at a future period. FSA commitments amounted to $0.2 million and $0.2 million as of June 30, 2022 and December 31, 2021, respectively. The Company has elected to exclude the potential future royalty receipts from the remaining performance obligations. The contracted but unsatisfied or partially unsatisfied performance obligations, excluding non-cancelable FSA, expected to be recognized in revenue over the next 12 months as of June 30, 2022 are $25.1 million, with the remainder recognized thereafter.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commissions capitalized in prepaid expenses and other current assets</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commissions capitalized in other assets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Amortization of capitalized sales commissions was $0.9 million and $0.3 million for the three months ended June 30, 2022 and 2021, respectively, and $1.6 million and $0.7 million for the six months ended June 30, 2022 and 2021, respectively.</w:t>
      </w:r>
    </w:p>
    <w:p>
      <w:pPr>
        <w:spacing w:after="0" w:line="14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Amortization of capitalized sales commissions are included in sales and marketing expense in the condensed consolidated statements of loss and comprehensive loss.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r>
      <w:tr>
        <w:trPr>
          <w:trHeight w:val="189"/>
        </w:trPr>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6"/>
        </w:trPr>
        <w:tc>
          <w:tcPr>
            <w:tcW w:w="4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(5,668)</w:t>
            </w:r>
          </w:p>
        </w:tc>
        <w:tc>
          <w:tcPr>
            <w:tcW w:w="8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(3,909)</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(12,488)</w:t>
            </w:r>
          </w:p>
        </w:tc>
        <w:tc>
          <w:tcPr>
            <w:tcW w:w="8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(10,626)</w:t>
            </w:r>
          </w:p>
        </w:tc>
      </w:tr>
      <w:tr>
        <w:trPr>
          <w:trHeight w:val="207"/>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32,258,228</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19,874,925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31,940,293</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19,354,965</w:t>
            </w:r>
          </w:p>
        </w:tc>
      </w:tr>
      <w:tr>
        <w:trPr>
          <w:trHeight w:val="22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0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97"/>
        </w:trPr>
        <w:tc>
          <w:tcPr>
            <w:tcW w:w="7740" w:type="dxa"/>
            <w:vAlign w:val="bottom"/>
          </w:tcPr>
          <w:p>
            <w:pPr>
              <w:spacing w:after="0"/>
              <w:rPr>
                <w:sz w:val="17"/>
                <w:szCs w:val="17"/>
                <w:color w:val="auto"/>
              </w:rPr>
            </w:pPr>
          </w:p>
        </w:tc>
        <w:tc>
          <w:tcPr>
            <w:tcW w:w="2060" w:type="dxa"/>
            <w:vAlign w:val="bottom"/>
            <w:gridSpan w:val="3"/>
          </w:tcPr>
          <w:p>
            <w:pPr>
              <w:ind w:left="380"/>
              <w:spacing w:after="0"/>
              <w:rPr>
                <w:sz w:val="20"/>
                <w:szCs w:val="20"/>
                <w:color w:val="auto"/>
              </w:rPr>
            </w:pPr>
            <w:r>
              <w:rPr>
                <w:rFonts w:ascii="Arial" w:cs="Arial" w:eastAsia="Arial" w:hAnsi="Arial"/>
                <w:sz w:val="14"/>
                <w:szCs w:val="14"/>
                <w:b w:val="1"/>
                <w:bCs w:val="1"/>
                <w:color w:val="auto"/>
              </w:rPr>
              <w:t>June 30, 2022</w:t>
            </w: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4,355,694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6,201,315</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5,220,177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2,887,064</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20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4,471,316</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9,575,871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13,559,695</w:t>
            </w:r>
          </w:p>
        </w:tc>
      </w:tr>
      <w:tr>
        <w:trPr>
          <w:trHeight w:val="25"/>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7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Equity method investments, and certain non-financial assets, such as intangible assets and property, plant and equipment, are remeasured at fair value only if an impairment or observable price adjustment is recognized in the current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were $1.3 million and $1.1 million as of June 30, 2022 and December 31, 2021, respectively. The Company’s vendor financing arrangements are classified within Level 2 because these borrowings are not actively traded and have a variable interest rate structure based upon market rates currently available to the Company for debt with similar terms and maturities. The estimated fair values of these financial instruments approximate their carrying values</w:t>
      </w:r>
      <w:r>
        <w:rPr>
          <w:rFonts w:ascii="Verdana" w:cs="Verdana" w:eastAsia="Verdana" w:hAnsi="Verdana"/>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7540" w:firstLine="8"/>
        <w:spacing w:after="0" w:line="502" w:lineRule="auto"/>
        <w:tabs>
          <w:tab w:leader="none" w:pos="35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 net</w:t>
      </w:r>
    </w:p>
    <w:p>
      <w:pPr>
        <w:spacing w:after="0"/>
        <w:rPr>
          <w:sz w:val="20"/>
          <w:szCs w:val="20"/>
          <w:color w:val="auto"/>
        </w:rPr>
      </w:pPr>
      <w:r>
        <w:rPr>
          <w:rFonts w:ascii="Arial" w:cs="Arial" w:eastAsia="Arial" w:hAnsi="Arial"/>
          <w:sz w:val="18"/>
          <w:szCs w:val="18"/>
          <w:color w:val="auto"/>
        </w:rPr>
        <w:t>Intangible assets, net consisted of the following as of June 30,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8"/>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2"/>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Amortization expense of intangible assets was $0.1 million for both the three months ended June 30, 2022 and 2021, and $0.2 million for both the six months ended June 30,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June 30, 2022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Amount</w:t>
            </w:r>
          </w:p>
        </w:tc>
      </w:tr>
      <w:tr>
        <w:trPr>
          <w:trHeight w:val="19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99"/>
        </w:trPr>
        <w:tc>
          <w:tcPr>
            <w:tcW w:w="8980" w:type="dxa"/>
            <w:vAlign w:val="bottom"/>
          </w:tcPr>
          <w:p>
            <w:pPr>
              <w:ind w:left="20"/>
              <w:spacing w:after="0"/>
              <w:rPr>
                <w:sz w:val="20"/>
                <w:szCs w:val="20"/>
                <w:color w:val="auto"/>
              </w:rPr>
            </w:pPr>
            <w:r>
              <w:rPr>
                <w:rFonts w:ascii="Arial" w:cs="Arial" w:eastAsia="Arial" w:hAnsi="Arial"/>
                <w:sz w:val="14"/>
                <w:szCs w:val="14"/>
                <w:color w:val="auto"/>
              </w:rPr>
              <w:t>2023</w:t>
            </w:r>
          </w:p>
        </w:tc>
        <w:tc>
          <w:tcPr>
            <w:tcW w:w="5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0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9"/>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5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449</w:t>
            </w:r>
          </w:p>
        </w:tc>
      </w:tr>
      <w:tr>
        <w:trPr>
          <w:trHeight w:val="20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225"/>
        </w:trPr>
        <w:tc>
          <w:tcPr>
            <w:tcW w:w="8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amortization expense</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June 30, 2022 and December 31, 2021, goodwill was $2.7 million. No goodwill impairments were recorded during the three and six months ended June 30, 2022 and 2021.</w:t>
      </w:r>
    </w:p>
    <w:p>
      <w:pPr>
        <w:spacing w:after="0" w:line="14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6"/>
        </w:trPr>
        <w:tc>
          <w:tcPr>
            <w:tcW w:w="4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9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weighted-average remaining term of the Company’s operating leases was 3.3 years and 3.6 years as of June 30, 2022 and December 31, 2021, respectively, and the weighted-average discount rate used to measure the present value of the operating lease liabilities was 7.5% as of both June 30, 2022 and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June 30, 2022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9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r>
      <w:tr>
        <w:trPr>
          <w:trHeight w:val="221"/>
        </w:trPr>
        <w:tc>
          <w:tcPr>
            <w:tcW w:w="9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7.5%, which is reflective of its collateralized borrowing rate with similar terms to that of the software licenses and equipment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as of June 30, 2022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192"/>
        </w:trPr>
        <w:tc>
          <w:tcPr>
            <w:tcW w:w="9540" w:type="dxa"/>
            <w:vAlign w:val="bottom"/>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1,408</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2"/>
        </w:trPr>
        <w:tc>
          <w:tcPr>
            <w:tcW w:w="9540" w:type="dxa"/>
            <w:vAlign w:val="bottom"/>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1"/>
        </w:trPr>
        <w:tc>
          <w:tcPr>
            <w:tcW w:w="9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1,077</w:t>
            </w: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96"/>
        </w:trPr>
        <w:tc>
          <w:tcPr>
            <w:tcW w:w="954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r>
      <w:tr>
        <w:trPr>
          <w:trHeight w:val="24"/>
        </w:trPr>
        <w:tc>
          <w:tcPr>
            <w:tcW w:w="9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less than $0.1 million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three and six months ended June 30, 2022 and 2021 and the condensed consolidated financial statements do not include liabilities for any potential indemnity-related obligations as of June 30, 2022 and December 31, 2021.</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In the normal course of business, the Company may receive inquiries or become involved in legal disputes regarding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matters. Although claims are inherently unpredictable, the Company currently is not aware of any matters that may have a material adverse effect on the Company’s financial position, results of operations, or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contractual noncancelable commitments as of June 30, 2022 and December 31, 2021.</w:t>
      </w:r>
    </w:p>
    <w:p>
      <w:pPr>
        <w:spacing w:after="0" w:line="223" w:lineRule="exact"/>
        <w:rPr>
          <w:sz w:val="20"/>
          <w:szCs w:val="20"/>
          <w:color w:val="auto"/>
        </w:rPr>
      </w:pPr>
    </w:p>
    <w:p>
      <w:pPr>
        <w:ind w:right="2400" w:firstLine="8"/>
        <w:spacing w:after="0" w:line="439"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PREFERRED STOCK AND COMMON STOCK Redeemable Convertible Preferred Stock</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Immediately prior to the closing of the IPO, all shares of the Company’s redeemable convertible preferred stock outstanding, totaling 4,471,316, were automatically converted into an equal number of shares of common stock and their carrying value of $5.7 million was reclassified into stockholders’ equity. As of both June 30, 2022 and December 31, 2021, there were zero shares of redeemable convertible preferred stock issued and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connection with the IPO, the Company amended and restated its certificate of incorporation to authorize 10,000,000 shares of preferred stock with a par value of $0.001, which shares of preferred stock are currently undesignated.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the IPO, the Company amended and restated its certificate of incorporation to authorize 300,000,000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Plan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10, 2016, the Company amended and restated the 2013 Equity Incentive Plan (the 2013 Plan) and changed the name of the plan to Arteris, Inc. 2016 Incentive Plan (the 2016 Plan). Adoption of the 2016 Plan provides for participation by foreign nationals or those employed outside of the United States.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2016 Plan provides for the granting of the following types of stock awards: incentive stock options, non-statutory stock options, stock appreciation rights, restricted stock awards, restricted stock unit awards (RSUs) and other stock awards. The number of shares authorized for award was 20,803,838. The Company has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Plan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adopted the 2021 Incentive Award Plan (the 2021 Plan) effective October 26, 2021. The 2021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which following the effective date of the 2021 Plan are not issued under the 2016 Plan will be available for issuance under the 2021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2021 ESPP will enable eligible employees of the Company to purchase shares of common stock at a discount to fair market value. As of June 30, 2022, there had been no offering period under the ESPP.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43"/>
        </w:trPr>
        <w:tc>
          <w:tcPr>
            <w:tcW w:w="31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June 30,</w:t>
            </w:r>
          </w:p>
        </w:tc>
      </w:tr>
      <w:tr>
        <w:trPr>
          <w:trHeight w:val="189"/>
        </w:trPr>
        <w:tc>
          <w:tcPr>
            <w:tcW w:w="3100" w:type="dxa"/>
            <w:vAlign w:val="bottom"/>
            <w:tcBorders>
              <w:bottom w:val="single" w:sz="8" w:color="CCEEFF"/>
            </w:tcBorders>
          </w:tcPr>
          <w:p>
            <w:pPr>
              <w:spacing w:after="0"/>
              <w:rPr>
                <w:sz w:val="16"/>
                <w:szCs w:val="16"/>
                <w:color w:val="auto"/>
              </w:rPr>
            </w:pPr>
          </w:p>
        </w:tc>
        <w:tc>
          <w:tcPr>
            <w:tcW w:w="6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3,734,035</w:t>
            </w:r>
          </w:p>
        </w:tc>
      </w:tr>
      <w:tr>
        <w:trPr>
          <w:trHeight w:val="194"/>
        </w:trPr>
        <w:tc>
          <w:tcPr>
            <w:tcW w:w="3100" w:type="dxa"/>
            <w:vAlign w:val="bottom"/>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tcPr>
          <w:p>
            <w:pPr>
              <w:ind w:left="20"/>
              <w:spacing w:after="0"/>
              <w:rPr>
                <w:sz w:val="20"/>
                <w:szCs w:val="20"/>
                <w:color w:val="auto"/>
              </w:rPr>
            </w:pPr>
            <w:r>
              <w:rPr>
                <w:rFonts w:ascii="Arial" w:cs="Arial" w:eastAsia="Arial" w:hAnsi="Arial"/>
                <w:sz w:val="14"/>
                <w:szCs w:val="14"/>
                <w:color w:val="auto"/>
              </w:rPr>
              <w:t>ESPP</w:t>
            </w:r>
          </w:p>
        </w:tc>
        <w:tc>
          <w:tcPr>
            <w:tcW w:w="1700" w:type="dxa"/>
            <w:vAlign w:val="bottom"/>
          </w:tcPr>
          <w:p>
            <w:pPr>
              <w:jc w:val="right"/>
              <w:spacing w:after="0"/>
              <w:rPr>
                <w:sz w:val="20"/>
                <w:szCs w:val="20"/>
                <w:color w:val="auto"/>
              </w:rPr>
            </w:pPr>
            <w:r>
              <w:rPr>
                <w:rFonts w:ascii="Arial" w:cs="Arial" w:eastAsia="Arial" w:hAnsi="Arial"/>
                <w:sz w:val="14"/>
                <w:szCs w:val="14"/>
                <w:color w:val="auto"/>
              </w:rPr>
              <w:t>922,306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2016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Number of Options</w:t>
            </w:r>
          </w:p>
        </w:tc>
        <w:tc>
          <w:tcPr>
            <w:tcW w:w="2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7"/>
                <w:szCs w:val="17"/>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5,407,170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0.96</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108,964</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tcPr>
          <w:p>
            <w:pPr>
              <w:jc w:val="right"/>
              <w:spacing w:after="0"/>
              <w:rPr>
                <w:sz w:val="20"/>
                <w:szCs w:val="20"/>
                <w:color w:val="auto"/>
              </w:rPr>
            </w:pPr>
            <w:r>
              <w:rPr>
                <w:rFonts w:ascii="Arial" w:cs="Arial" w:eastAsia="Arial" w:hAnsi="Arial"/>
                <w:sz w:val="14"/>
                <w:szCs w:val="14"/>
                <w:color w:val="auto"/>
              </w:rPr>
              <w:t>(766,942)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0.58</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(284,534)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0.94</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rPr>
                <w:sz w:val="20"/>
                <w:szCs w:val="20"/>
                <w:color w:val="auto"/>
              </w:rPr>
            </w:pPr>
            <w:r>
              <w:rPr>
                <w:rFonts w:ascii="Arial" w:cs="Arial" w:eastAsia="Arial" w:hAnsi="Arial"/>
                <w:sz w:val="14"/>
                <w:szCs w:val="14"/>
                <w:color w:val="auto"/>
              </w:rPr>
              <w:t>BALANCE—June 30,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4,355,694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6.71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25,889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exercisable—June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3,069,682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0.86</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18,742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aggregate intrinsic value of the options exercised during the six months ended June 30, 2022 and 2021 was $8.0 million and $1.0 million, respectively. The total grant-date fair value of options vested was $0.2 million and $0.1 million during the six months ended June 30, 2022 and 2021, respectively.</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June 30, 2022, there was $0.7 million of unamortized stock-based compensation cost related to unvested stock options, which is expected to be recognized over a weighted-average period of 2.1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stock option grants during the six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units activities under the Company’s 2016 and 2021 Plans: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50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Restricted Stock Units</w:t>
            </w:r>
          </w:p>
        </w:tc>
      </w:tr>
      <w:tr>
        <w:trPr>
          <w:trHeight w:val="143"/>
        </w:trPr>
        <w:tc>
          <w:tcPr>
            <w:tcW w:w="7740" w:type="dxa"/>
            <w:vAlign w:val="bottom"/>
          </w:tcPr>
          <w:p>
            <w:pPr>
              <w:spacing w:after="0"/>
              <w:rPr>
                <w:sz w:val="12"/>
                <w:szCs w:val="12"/>
                <w:color w:val="auto"/>
              </w:rPr>
            </w:pPr>
          </w:p>
        </w:tc>
        <w:tc>
          <w:tcPr>
            <w:tcW w:w="170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Weighted-Average</w:t>
            </w:r>
          </w:p>
        </w:tc>
      </w:tr>
      <w:tr>
        <w:trPr>
          <w:trHeight w:val="189"/>
        </w:trPr>
        <w:tc>
          <w:tcPr>
            <w:tcW w:w="7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2021</w:t>
            </w:r>
          </w:p>
        </w:tc>
        <w:tc>
          <w:tcPr>
            <w:tcW w:w="17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3,925,097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199"/>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ind w:left="1000"/>
              <w:spacing w:after="0"/>
              <w:rPr>
                <w:sz w:val="20"/>
                <w:szCs w:val="20"/>
                <w:color w:val="auto"/>
              </w:rPr>
            </w:pPr>
            <w:r>
              <w:rPr>
                <w:rFonts w:ascii="Arial" w:cs="Arial" w:eastAsia="Arial" w:hAnsi="Arial"/>
                <w:sz w:val="14"/>
                <w:szCs w:val="14"/>
                <w:color w:val="auto"/>
              </w:rPr>
              <w:t>1,851,350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13.04</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(394,436)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(161,834)</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12.29</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Unvested—June 30, 2022</w:t>
            </w:r>
          </w:p>
        </w:tc>
        <w:tc>
          <w:tcPr>
            <w:tcW w:w="17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5,220,177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total grant-date fair value of restricted stock units vested was $2.6 million and less than $0.1 million during the six months ended June 30, 2022 and 2021, respectively.</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June 30, 2022, there was $33.8 million of unamortized stock-based compensation cost related to unvested restricted stock units, which is expected to be recognized over a weighted-average period of 3.3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condensed consolidated statements of loss and comprehensive loss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7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47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9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SME Development (Shaoxing) Venture Fund, LLP, Jiaxing Luojia Chuanzhi Investment Partnership Enterprise (Limited Partnership), Gongqing City Guinie Zhuyu No. 3 Investment Partnership (Limited Partnership) (together, the Investors) and Ningbo Transchip Information Consulting Partnership (Limited Partnership) (Management Co). The transaction closed on June 20, 2022.</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the Investors and Management Co, pursuant to the SPA, subscribed to the registered capital of Transchip Technology (Nanjing) Co., Ltd. (Transchip), a formerly wholly-owned subsidiary of the Company. As a result, the registered capital of Transchip increased to $29.4 million. The Company subscribed for the registered capital of approximately $ 11.9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interest and other income (expense), net over a period of ten years on a straight line basis after delivery of the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Deconsolidation of Transchip as a subsidiary</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Before closing of the transaction, Transchip was a wholly-owned subsidiary of the Company with limited operations. Upon closing of the transaction, the Company no longer has control, and therefore deconsolidated Transchip. Accordingly, the Company derecognized all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assets and liabilities of Transchip and recognized a disposal gain of $0.1 million, included in interest and other income (expense), net in the condensed consolidated statements of loss and comprehensive loss, for the six months ended June 30, 2022.</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deconsolidation, the Company also recorded a nine-month related party loan to Transchip of $0.3 million, in prepaid expenses and other current assets within its condensed consolidated balance sheet, which was previously eliminated as an intercompany loan in the Company’s consolidated financial statements. This loan carries an annual interest rate of 4% and will expire on August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investment of Transchip as an equity investee</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Following the consummation of the foregoing transactions, the Company held 40.3% common stock of Transchip on a fully diluted basis. The Company accounts for its common stock investment in Transchip as an equity method investment as it no longer controls but has significant influence over operating and financing policies of Transchip. The Company recorded its initial equity investment in Transchip at $12.2 million, including transaction costs of $0.3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carrying value of the investment in Transchip was $12.2 million. There was no significant difference between the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Company’s carrying value of the investment in Transchip and its share of underlying equity in net assets of Transchip. During the six months ended June 30, 2022, the Company recorded no income or loss from its proportionate share of its equity method investment in Transchip.</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Company concluded that there were no indicators of impairment related to the Company’s equity method investment in Transchip as of June 30,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Company’s effective tax rate was (4.1)% and (3.2)% for the six months ended June 30, 2022 and 2021, respectively. The Company’s income tax provision was $0.5 million and $ 0.3 million for the six months ended June 30, 2022 and 2021, respectively. The change in forecasted foreign withholding tax, changes in the geographic mix of worldwide earnings which are taxed at different rates, and the impact of losses in jurisdictions with full valuation allowances, has resulted in an insignificant change in the income tax provision for the period ended June 30, 2022 compared to the period ended June 30, 2021.</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Company’s management continuously evaluates the need for a valuation allowance and, as of June 30, 2022, concluded that a full valuation allowance on its US federal, state, and certain foreign jurisdictions deferred tax assets was still appropriate.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June 30, 2022 and 2021, the Company’s gross liability for unrecognized tax benefits was $3.1 million and $2.5 million, respectively. The Company’s practice is to recognize interest and/or penalties related to income tax matters in income tax expense. As of June 30, 2022 and 2021,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for both the three months ended June 30, 2022 and 2021 and $0.1 million for both the six months ended June 30, 2022 and 2021.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$ 26,445 per month for the first 12 months of the consulting term and $19,445 per month for the remaining 24 months of the consulting term. For the three months ended June 30, 2022, the Company paid Ms. Geday $0.1 million for consulting services. For the six months ended June 30, 2022, the Company paid Ms. Geday $0.2 million for consulting services. Lastly, the 455,000 stock options and 62,200 RSUs granted in connection with Ms. Geday’s prior employment continue to vest.</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connection with the deconsolidation of Transchip, the Company recorded a short-term loan to Transchip, including interest, of $0.3 million in prepaid expenses and other current assets on its condensed consolidated balance sheet as of June 30,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333333"/>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2021 included in the 2021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Please also see the section under the heading “Cautionary Note Regarding Forward-Looking Statements” in the 2021 Form 10-K.</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333333"/>
        </w:rPr>
        <w:t>Unless the context otherwise requires, all references in this report to “we,” “us,” “our,” the “Company,” and “Arteris” refer to Arteris, Inc.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leading provider of System IP, including interconnect and other intellectual property, (collectively, IP) technology that connects client IP blocks such as processors, memories, artificial intelligence/machine learning (AI/ML) accelerators, graphics subsystems, safety and security and other input/output (I/Os) subsystems via multiple Network-on -Chips (NoCs) in order for our customers to create System-on-Chips (NoC) (SoCs) semiconductors faster, better, and a lower cost.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I/Os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SoC system IP solutions which incorporate NoC interconnect IP, IP deployment software and NoC interface IP (consisting of peripheral data transport IP and control plane networks connected to NoC interconnect IPs).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automated driving, AI/ML, 5G and wireless communications, data centers, and consumer electronics.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June 30, 2022, we had 231 full-time employees and offices in eight locations in the United States, France, China, South Korea and Japan. For the three and six months ended June 30, 2022, we generated revenue of $14.8 million and $26.6 million, respectively, net loss of $5.7 million and $12.5 million respectively, and net loss per share, basic and diluted of $0.18 and $0.39, respectively. As of June 30, 2022, we had Annual Contract Value (as defined below) of $48.6 million. During the three months ended June 30, 2022, we added nine Active Customers (as defined below) and our customers had 18 Confirmed Design Starts (as defined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SME Development (Shaoxing) Venture Fund, LLP, Jiaxing Luojia Chuanzhi Investment Partnership Enterprise (Limited Partnership), Gongqing City Guinie Zhuyu No. 3 Investment Partnership (Limited Partnership) (the Investors) and Ningbo Transchip Information Consulting Partnership (Limited Partnership) (Management Co). The Company, the Investors and Management Co, pursuant to the SPA, subscribed to the registered capital of Transchip Technology (Nanjing) Co., Ltd. (Transchip), a formerly wholly-owned subsidiary of the Company. The transaction was closed on June 20, 2022, following which, we no longer have control but have significant influence over this subsidiary and have obtained a 40.3% equity interest. See Note 12 to our unaudited condensed consolidated financial statements for additional details.</w:t>
      </w:r>
    </w:p>
    <w:p>
      <w:pPr>
        <w:spacing w:after="0" w:line="20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expect to benefit from this arrangement by way of expanding our customer and business relationships with Chinese entities in the automotive market. We also anticipate a potential longer-term benefit by way of investment returns on our minority equity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Factors Affecting Our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containing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AI/ML, 5G communications, data centers and consumer electronics sectors,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Terms of our Agreements with Customers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recent periods we have structured certain agreements with customers that include substantial up front licensing payments. As a result of how these contracts are structured and the revenue is recognized, our revenue in the three and six months ended June 30, 2022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Technological Development and Market Growth</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AI/ML, 5G and wireless communications, data center and consumer electronic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23"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will continue to evaluate growth opportunities through acquisitions of other businesses, although there are currently no discussions with potential targets.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Cyclical Nature of the Semiconductor Industry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emergence of new variants, it has already had an adverse effect on the global economy and the lasting effects of the pandemic continue to be unknown.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w:t>
      </w:r>
    </w:p>
    <w:p>
      <w:pPr>
        <w:jc w:val="both"/>
        <w:spacing w:after="0" w:line="226" w:lineRule="auto"/>
        <w:rPr>
          <w:sz w:val="20"/>
          <w:szCs w:val="20"/>
          <w:color w:val="auto"/>
        </w:rPr>
      </w:pPr>
      <w:r>
        <w:rPr>
          <w:rFonts w:ascii="Arial" w:cs="Arial" w:eastAsia="Arial" w:hAnsi="Arial"/>
          <w:sz w:val="18"/>
          <w:szCs w:val="18"/>
          <w:color w:val="auto"/>
        </w:rPr>
        <w:t>technical conferences and other events. Although we have experienced, and may continue to experience, some impact on certain parts of our business as a result of governmental restrictions and other measures to mitigate the spread of COVID-19, our results of operations, cash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flows and financial condition were not materially adversely impacted in the three and six months ended June 30, 2022.</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unable to accurately predict the full impact that COVID-19 will have on our future results of operations, financial condition, liquidity and cash flows due to numerous uncertainties, including the duration and severity of the pandemic and containment measures. Although we expect most of our employees to return to physical offices in the future, the nature and extent of that return is uncertain. We will continue to monitor health orders issued by applicable governments to ensure compliance with evolving domestic and global COVID-19 guidelines. For additional details, see the section titled “Risk Factors—Our business has been, and may continue to be, adversely affected by health epidemics, pandemics and other outbreaks of infectious disease, including the current COVID-19 pandemic.”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excludes variable revenue derived from licensing agreements with customers, particularly royalties. ACV was $48.6 million and $40.6 million as of June 30, 2022 and 2021, respectively. In addition, total ACV and trailing-twelve-months royalties and other revenue was $51.7 million and $43.9 million as of June 30, 2022 and 2021, respectively. We monitor ACV to measure our success and believe the increase in the number shows our progress in expanding our customers’ adoption of our platform. ACV fluctuates due to a number of factors, including the timing, duration and dollar amount of customer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nine Active Customers during each of the three months ended June 30, 2022 and 2021, respectively. Our annual average customer retention rate, excluding IP deployment solutions, is 97% from June 30, 2021 to June 30, 2022.</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customers confirmed a total of 18 and 23 design starts during the three months ended June 30, 2022 and 2021, respectively. We believe that the number of Confirmed Design Starts is an important indicator of the growth of our business and future royalty revenue trends.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both deferred revenue and contracted amounts that will be invoiced and recognized as revenue in future periods.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possible reasons, including amounts, timing, and duration of customer contracts, as well as the timing of billing cycles for each contract. Our RPO was $55.7 million and $50.2 million as of June 30, 2022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333333"/>
        </w:rPr>
        <w:t xml:space="preserve">Revenue: </w:t>
      </w:r>
      <w:r>
        <w:rPr>
          <w:rFonts w:ascii="Arial" w:cs="Arial" w:eastAsia="Arial" w:hAnsi="Arial"/>
          <w:sz w:val="18"/>
          <w:szCs w:val="18"/>
          <w:color w:val="000000"/>
        </w:rPr>
        <w:t>Our revenue is primarily derived from licensing intellectual property, licensing software, support and maintenance services,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professional services, training services, and royalties. Our agreements often include other service elements including training and professional services which were immaterial for the three and six months ended June 30, 2022 and 2021, respectively.</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2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support services, including access to application engineering support services and the benefits of the RTL, are integral and fundamental to the customer’s ability to derive its intended benefit from the IP.</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333333"/>
        </w:rPr>
        <w:t>Cost of revenue</w:t>
      </w:r>
      <w:r>
        <w:rPr>
          <w:rFonts w:ascii="Arial" w:cs="Arial" w:eastAsia="Arial" w:hAnsi="Arial"/>
          <w:sz w:val="18"/>
          <w:szCs w:val="18"/>
          <w:color w:val="000000"/>
        </w:rPr>
        <w:t>: Cost of revenue relates to costs associated with our licensing agreements and support and maintenance, including</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applicable FAE personnel-related costs such as stock-based compensation, travel, and allocated overhead. We expect cost of revenue as a percentage of revenue to modestly decline over time due to productivity improvements of our FAE processes.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333333"/>
        </w:rPr>
        <w:t xml:space="preserve">Allocation of Overhead Costs: </w:t>
      </w:r>
      <w:r>
        <w:rPr>
          <w:rFonts w:ascii="Arial" w:cs="Arial" w:eastAsia="Arial" w:hAnsi="Arial"/>
          <w:sz w:val="18"/>
          <w:szCs w:val="18"/>
          <w:color w:val="333333"/>
        </w:rPr>
        <w:t>Overhead costs that are not substantially dedicated for use by a specific functional group are allocated</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333333"/>
        </w:rPr>
        <w:t>based on headcount. Such costs include costs associated with office facilities, depreciation of property and equipment, certain support function personnel costs and other expenses.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333333"/>
        </w:rPr>
        <w:t xml:space="preserve">Research and development (R&amp;D) expenses: </w:t>
      </w:r>
      <w:r>
        <w:rPr>
          <w:rFonts w:ascii="Arial" w:cs="Arial" w:eastAsia="Arial" w:hAnsi="Arial"/>
          <w:sz w:val="18"/>
          <w:szCs w:val="18"/>
          <w:color w:val="000000"/>
        </w:rPr>
        <w:t>R&amp;D expenses consist primarily of salaries and associated personnel-related costs, facilities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333333"/>
        </w:rPr>
        <w:t xml:space="preserve">Sales and marketing (S&amp;M) expenses: </w:t>
      </w:r>
      <w:r>
        <w:rPr>
          <w:rFonts w:ascii="Arial" w:cs="Arial" w:eastAsia="Arial" w:hAnsi="Arial"/>
          <w:sz w:val="18"/>
          <w:szCs w:val="18"/>
          <w:color w:val="000000"/>
        </w:rPr>
        <w:t>S&amp;M expenses consist primarily of salaries, commissions, travel and other costs associated with</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333333"/>
        </w:rPr>
        <w:t xml:space="preserve">General and administrative (G&amp;A) expenses: </w:t>
      </w:r>
      <w:r>
        <w:rPr>
          <w:rFonts w:ascii="Arial" w:cs="Arial" w:eastAsia="Arial" w:hAnsi="Arial"/>
          <w:sz w:val="18"/>
          <w:szCs w:val="18"/>
          <w:color w:val="000000"/>
        </w:rPr>
        <w:t>G&amp;A expenses consist primarily of salaries for management and administrative employees,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consists primarily of gains and losses from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transactions, gain on deconsolidation of subsidiary, as well as deferred income and our proportionate share of net income (losses) from our equity method investee.</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333333"/>
        </w:rPr>
        <w:t xml:space="preserve">Provision for income taxes: </w:t>
      </w:r>
      <w:r>
        <w:rPr>
          <w:rFonts w:ascii="Arial" w:cs="Arial" w:eastAsia="Arial" w:hAnsi="Arial"/>
          <w:sz w:val="18"/>
          <w:szCs w:val="18"/>
          <w:color w:val="000000"/>
        </w:rPr>
        <w:t>Our income tax provision consists primarily of income taxes in certain foreign jurisdictions in which we conduct</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gridSpan w:val="3"/>
          </w:tcPr>
          <w:p>
            <w:pPr>
              <w:ind w:left="58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197"/>
        </w:trPr>
        <w:tc>
          <w:tcPr>
            <w:tcW w:w="4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2"/>
        </w:trPr>
        <w:tc>
          <w:tcPr>
            <w:tcW w:w="4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3"/>
          </w:tcPr>
          <w:p>
            <w:pPr>
              <w:jc w:val="right"/>
              <w:ind w:right="4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14,822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10,813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26,577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17,471</w:t>
            </w:r>
          </w:p>
        </w:tc>
      </w:tr>
      <w:tr>
        <w:trPr>
          <w:trHeight w:val="19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867</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2,268</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w:t>
            </w:r>
          </w:p>
        </w:tc>
      </w:tr>
      <w:tr>
        <w:trPr>
          <w:trHeight w:val="20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13,533</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9,946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24,309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15,736</w:t>
            </w:r>
          </w:p>
        </w:tc>
      </w:tr>
      <w:tr>
        <w:trPr>
          <w:trHeight w:val="178"/>
        </w:trPr>
        <w:tc>
          <w:tcPr>
            <w:tcW w:w="41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10,371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12,963</w:t>
            </w:r>
          </w:p>
        </w:tc>
      </w:tr>
      <w:tr>
        <w:trPr>
          <w:trHeight w:val="198"/>
        </w:trPr>
        <w:tc>
          <w:tcPr>
            <w:tcW w:w="416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4,456</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2,281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8,377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4,729</w:t>
            </w: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4,132</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4,761</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8,147</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8,012</w:t>
            </w:r>
          </w:p>
        </w:tc>
      </w:tr>
      <w:tr>
        <w:trPr>
          <w:trHeight w:val="192"/>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18,959</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13,467</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36,351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25,704</w:t>
            </w:r>
          </w:p>
        </w:tc>
      </w:tr>
      <w:tr>
        <w:trPr>
          <w:trHeight w:val="20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(5,426)</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(12,042)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(9,968)</w:t>
            </w:r>
          </w:p>
        </w:tc>
      </w:tr>
      <w:tr>
        <w:trPr>
          <w:trHeight w:val="19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income (expense), net</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r>
      <w:tr>
        <w:trPr>
          <w:trHeight w:val="20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(12,014)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(10,282)</w:t>
            </w:r>
          </w:p>
        </w:tc>
      </w:tr>
      <w:tr>
        <w:trPr>
          <w:trHeight w:val="19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r>
      <w:tr>
        <w:trPr>
          <w:trHeight w:val="22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(12,488)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0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r>
      <w:tr>
        <w:trPr>
          <w:trHeight w:val="199"/>
        </w:trPr>
        <w:tc>
          <w:tcPr>
            <w:tcW w:w="41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420</w:t>
            </w: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728</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r>
      <w:tr>
        <w:trPr>
          <w:trHeight w:val="19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903</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r>
      <w:tr>
        <w:trPr>
          <w:trHeight w:val="22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3,384</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2520" w:type="dxa"/>
            <w:vAlign w:val="bottom"/>
            <w:gridSpan w:val="3"/>
          </w:tcPr>
          <w:p>
            <w:pPr>
              <w:jc w:val="center"/>
              <w:ind w:left="98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3"/>
          </w:tcPr>
          <w:p>
            <w:pPr>
              <w:jc w:val="center"/>
              <w:ind w:left="1008"/>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2520" w:type="dxa"/>
            <w:vAlign w:val="bottom"/>
            <w:tcBorders>
              <w:bottom w:val="single" w:sz="8" w:color="auto"/>
            </w:tcBorders>
            <w:gridSpan w:val="3"/>
          </w:tcPr>
          <w:p>
            <w:pPr>
              <w:jc w:val="center"/>
              <w:ind w:left="9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Borders>
              <w:bottom w:val="single" w:sz="8" w:color="auto"/>
            </w:tcBorders>
            <w:gridSpan w:val="3"/>
          </w:tcPr>
          <w:p>
            <w:pPr>
              <w:jc w:val="center"/>
              <w:ind w:left="1008"/>
              <w:spacing w:after="0"/>
              <w:rPr>
                <w:sz w:val="20"/>
                <w:szCs w:val="20"/>
                <w:color w:val="auto"/>
              </w:rPr>
            </w:pPr>
            <w:r>
              <w:rPr>
                <w:rFonts w:ascii="Arial" w:cs="Arial" w:eastAsia="Arial" w:hAnsi="Arial"/>
                <w:sz w:val="14"/>
                <w:szCs w:val="14"/>
                <w:b w:val="1"/>
                <w:bCs w:val="1"/>
                <w:color w:val="auto"/>
                <w:w w:val="99"/>
              </w:rPr>
              <w:t>June 30,</w:t>
            </w:r>
          </w:p>
        </w:tc>
        <w:tc>
          <w:tcPr>
            <w:tcW w:w="1080" w:type="dxa"/>
            <w:vAlign w:val="bottom"/>
            <w:tcBorders>
              <w:bottom w:val="single" w:sz="8" w:color="auto"/>
            </w:tcBorders>
          </w:tcPr>
          <w:p>
            <w:pPr>
              <w:spacing w:after="0"/>
              <w:rPr>
                <w:sz w:val="17"/>
                <w:szCs w:val="17"/>
                <w:color w:val="auto"/>
              </w:rPr>
            </w:pPr>
          </w:p>
        </w:tc>
      </w:tr>
      <w:tr>
        <w:trPr>
          <w:trHeight w:val="197"/>
        </w:trPr>
        <w:tc>
          <w:tcPr>
            <w:tcW w:w="4040" w:type="dxa"/>
            <w:vAlign w:val="bottom"/>
          </w:tcPr>
          <w:p>
            <w:pPr>
              <w:spacing w:after="0"/>
              <w:rPr>
                <w:sz w:val="17"/>
                <w:szCs w:val="17"/>
                <w:color w:val="auto"/>
              </w:rPr>
            </w:pPr>
          </w:p>
        </w:tc>
        <w:tc>
          <w:tcPr>
            <w:tcW w:w="17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92"/>
        </w:trPr>
        <w:tc>
          <w:tcPr>
            <w:tcW w:w="4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0" w:type="dxa"/>
            <w:vAlign w:val="bottom"/>
            <w:gridSpan w:val="5"/>
          </w:tcPr>
          <w:p>
            <w:pPr>
              <w:jc w:val="right"/>
              <w:ind w:right="1440"/>
              <w:spacing w:after="0"/>
              <w:rPr>
                <w:sz w:val="20"/>
                <w:szCs w:val="20"/>
                <w:color w:val="auto"/>
              </w:rPr>
            </w:pPr>
            <w:r>
              <w:rPr>
                <w:rFonts w:ascii="Arial" w:cs="Arial" w:eastAsia="Arial" w:hAnsi="Arial"/>
                <w:sz w:val="14"/>
                <w:szCs w:val="14"/>
                <w:i w:val="1"/>
                <w:iCs w:val="1"/>
                <w:color w:val="auto"/>
              </w:rPr>
              <w:t>(as a percentage of total revenue)</w:t>
            </w:r>
          </w:p>
        </w:tc>
        <w:tc>
          <w:tcPr>
            <w:tcW w:w="1080" w:type="dxa"/>
            <w:vAlign w:val="bottom"/>
          </w:tcPr>
          <w:p>
            <w:pPr>
              <w:spacing w:after="0"/>
              <w:rPr>
                <w:sz w:val="16"/>
                <w:szCs w:val="16"/>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r>
      <w:tr>
        <w:trPr>
          <w:trHeight w:val="178"/>
        </w:trPr>
        <w:tc>
          <w:tcPr>
            <w:tcW w:w="4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r>
      <w:tr>
        <w:trPr>
          <w:trHeight w:val="198"/>
        </w:trPr>
        <w:tc>
          <w:tcPr>
            <w:tcW w:w="40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27</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r>
      <w:tr>
        <w:trPr>
          <w:trHeight w:val="19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147</w:t>
            </w: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r>
      <w:tr>
        <w:trPr>
          <w:trHeight w:val="199"/>
        </w:trPr>
        <w:tc>
          <w:tcPr>
            <w:tcW w:w="4040" w:type="dxa"/>
            <w:vAlign w:val="bottom"/>
          </w:tcPr>
          <w:p>
            <w:pPr>
              <w:ind w:left="20"/>
              <w:spacing w:after="0"/>
              <w:rPr>
                <w:sz w:val="20"/>
                <w:szCs w:val="20"/>
                <w:color w:val="auto"/>
              </w:rPr>
            </w:pPr>
            <w:r>
              <w:rPr>
                <w:rFonts w:ascii="Arial" w:cs="Arial" w:eastAsia="Arial" w:hAnsi="Arial"/>
                <w:sz w:val="14"/>
                <w:szCs w:val="14"/>
                <w:color w:val="auto"/>
              </w:rPr>
              <w:t>Interest and other income (expense), net</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40" w:type="dxa"/>
            <w:vAlign w:val="bottom"/>
            <w:gridSpan w:val="3"/>
          </w:tcPr>
          <w:p>
            <w:pPr>
              <w:jc w:val="right"/>
              <w:ind w:right="9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74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r>
      <w:tr>
        <w:trPr>
          <w:trHeight w:val="22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7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14,033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14,822</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Growth in our licensing and support and maintenance continued with a 40% increase during the three months ended June 30, 2022 compared to the three months ended June 30, 2021. The increase was primarily due to increase in new license agreements with existing customers and the addition of new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2"/>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422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r>
    </w:tbl>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increased, $0.4 million, or 49%, to $1.3 million for the three months ended June 30, 2022, from $0.9 million for the three months ended June 30, 2021. The increase in cost of revenue was primarily due higher FAE employee-related costs, which includes an increase in stock-based compensation expense related to our RSUs granted prior to our initial public offering (IPO), as the performance-based vesting condition applicable to such RSUs was satisfied upon the effectiveness of our IPO in October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10,371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4,456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4,132</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18,959</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5,492</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R&amp;D expenses increased, $3.9 million, or 61%, to $10.4 million for the three months ended June 30, 2022 from $ 6.4 million for the three months ended June 30, 2021. The increase in R&amp;D expenses was primarily due to higher stock-based compensation expense of $1.3 million primarily related to our RSUs granted prior to our IPO, as the performance-based vesting condition applicable to such RSUs was satisfied upon the effectiveness of our IPO in October 2021 and an increase in allocated costs of $1.2 million primarily attributable to increased headcount. We also incurred higher other employee-related costs of $0.7 million primarily attributable to an increase in engineering headcount as a result of growth and our investment in our interconnect technology and IP deployment software.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S&amp;M expenses increased, $2.2 million, or 95%, to $4.5 million for the three months ended June 30, 2022 from $2.3 million for the three months ended June 30, 2021. The increase in S&amp;M expenses was primarily due to higher stock-based compensation expense of $0.7 million primarily related to our RSUs granted prior to our IPO, as the performance-based vesting condition applicable to such RSUs was satisfied upon the effectiveness of our IPO in October 2021, an increase in other employee-related costs of $0.4 million mainly driven by higher headcount and overall costs to support our continued growth and an increase in allocated costs of $0.4 million primarily attributable to increased headcount.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G&amp;A expenses decreased, $0.6 million, or 13%, to $4.1 million for the three months ended June 30, 2022 from $ 4.8 million for the three months ended June 30, 2021. The decrease in G&amp;A expenses was primarily due to a decrease in professional fees of $ 1.6 million, partially offset by an increase in stock-based compensation expense of $0.8 million primarily related to our RSUs granted prior to our IPO, as the performance-based vesting condition applicable to such RSUs was satisfied upon the effectiveness of our IPO in October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309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other income (expense), net was an income of $0.1 million for the three months ended June 30, 2022 compared to an expense of $0.2 million for the three months ended June 30, 2021. The increase in interest and other income is primarily related to foreign currency exchange, the gain on deconsolidation of our wholly-owned subsidiary, and interest income earned on higher cash balances due to proceeds from our IPO in October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2"/>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163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r>
    </w:tbl>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Provision for income taxes for the three months ended June 30, 2022 was $0.4 million, compared to $0.2 million for the three months ended June 30, 2021. The increase in our income tax expense was due to a change in the forecasted geographic mix of worldwide earnings which are taxed at different statutory tax rates, the impact of losses in jurisdictions which have full valuation allowances, and a change in current year foreign withholding taxes. Foreign withholding taxes are generally assessed on gross revenue generated, rather than pre-tax income, in certain countries in which the Company does not file an income tax return.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2022 and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24,608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4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1,571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26,577</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9,106</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Growth in our licensing and support and maintenance continued with a 52% increase during the six months ended June 30, 2022 compared to the six months ended June 30, 2021. The increase was primarily due to increase in new license agreements with existing customers and the addition of new customers. Growth in our variable royalty revenue during the six months ended June 30, 2022 was primarily due to the addition of new customers. Growth in our other revenue during the six months ended June 30, 2022 was primarily due to increased services performed for existing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2"/>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2,268</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533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bl>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increased, $0.5 million, or 31%, to $2.3 million for the six months ended June 30, 2022, from $1.7 million for the six months ended June 30, 2021. The increase in cost of revenue was primarily due to higher FAE employee-related costs, which includes an increase in stock-based compensation expense related to our RSUs granted prior to our IPO, as the performance-based vesting condition applicable to such RSUs was satisfied upon the effectiveness of our IPO in October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99"/>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8,377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4,729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3,648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8,147</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36,351</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10,647</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R&amp;D expenses increased, $6.9 million, or 53%, to $19.8 million for the six months ended June 30, 2022 from $13.0 million for the six months ended June 30, 2021. The increase in R&amp;D expenses was primarily due to higher stock-based compensation expense of $2.2 million primarily related to our RSUs granted prior to our IPO, as the performance-based vesting condition applicable to such RSUs was satisfied upon the effectiveness of our IPO in October 2021 and an increase in allocated costs of $2.4 million primarily attributable to increased headcount. We also incurred higher other employee-related costs of $1.3 million primarily attributable to increased engineering headcount as a result of growth and our investment in our interconnect technology and IP deployment software.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S&amp;M expenses increased, $3.6 million, or 77%, to $8.4 million for the six months ended June 30, 2022 from $4.7 million for the six months ended June 30, 2021. The increase in S&amp;M expenses was primarily due to higher other employee-related costs of $ 1.0 million mainly driven by higher headcount and overall costs to support our continued growth, an increase in stock-based compensation expense of $0.9 million related to our RSUs granted prior to our IPO, as the performance-based vesting condition applicable to such RSUs was satisfied upon the effectiveness of our IPO in October 2021, and an increase in allocated costs of $0.9 million primarily attributable to increased headcount.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G&amp;A expenses increased, $0.1 million, or 2%, to $8.1 million for the six months ended June 30, 2022 from $ 8.0 million for the six months ended June 30, 2021. The increase in general and administrative expenses was primarily due to an increase in employee-related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28</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342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other income (expense), net for the six months ended June 30, 2022 was an income of less than $ 0.1 million, compared to an expense of $0.3 million for the six months ended June 30, 2021. The increase in interest and other income is primarily related to foreign currency exchange, the gain on deconsolidation of our wholly-owned subsidiary, and interest income earned on higher cash balances due to proceeds from our IPO in October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2"/>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130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r>
    </w:tbl>
    <w:p>
      <w:pPr>
        <w:spacing w:after="0" w:line="30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Provision for income taxes for the six months ended June 30, 2022 was $ 0.5 million, compared to $0.3 million for the six months ended June 30, 2021. The increase in our income tax expense was due to a change in the forecasted geographic mix of worldwide earnings which are taxed at different statutory tax rates, the impact of losses in jurisdictions which have full valuation allowances, and a change in current year foreign withholding taxes. Foreign withholding taxes are generally assessed on gross revenue generated, rather than pre-tax income, in certain countries in which the Company does not file an income tax return.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June 30, 2022, we had $ 81.3 million in cash of which $3.7 million was held by our foreign subsidiaries. All of the Company’s net IPO proceeds are held within a single financial institution as of June 30, 2022.</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our cash, available borrowing capacity and cash expected to be generated from operations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in our 2021 Form 10-K for additional information and elsewhere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73"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spacing w:after="0" w:line="8"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2"/>
        </w:trPr>
        <w:tc>
          <w:tcPr>
            <w:tcW w:w="7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(725)</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six months ended June 30, 2022, net cash used in operating activities was $1.2 million primarily due to our net loss of $12.5 million, adjusted for non-cash charges of $6.5 million and $4.8 million changes in operating assets and liabilities. The non-cash charges primarily consisted of stock-based compensation expense of $5.7 million and depreciation and amortization of $0.9 million, partially offset by gain on deconsolidation of our wholly-owned subsidiary of $0.1 million. The primary drivers of the changes in operating assets and liabilities were a $9.2 million decrease in accounts receivable, partially offset by a $2.2 million increase in prepaid expenses and other assets, a $1.4 million decrease in deferred revenue and a $0.7 million decrease in accrued expenses and other liabilities.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2021, net cash used in operating activities was $1.5 million primarily due to our net loss of $10.6 million, adjusted for non-cash charges of $1.4 million and $7.7 million changes in our operating assets and liabilities. The primary drivers of the changes in operating assets and liabilities were a $3.7 million increase in deferred revenue, $5.9 million decrease in accounts receivable, partially offset by a $2.9 million increase in prepaid expenses and other assets.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Net cash used in investing activities for the six months ended June 30, 2022 was $0.7 million, primarily attributable to payments related to investment in our equity method investee, see Note 12 to our unaudited condensed consolidated financial statements.</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Net cash used in investing activities for the six months ended June 30, 2021 was $0.4 million, primarily attributable to purchases of property and equipment to support our office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jc w:val="both"/>
        <w:ind w:right="20"/>
        <w:spacing w:after="0" w:line="323" w:lineRule="auto"/>
        <w:rPr>
          <w:sz w:val="20"/>
          <w:szCs w:val="20"/>
          <w:color w:val="auto"/>
        </w:rPr>
      </w:pPr>
      <w:r>
        <w:rPr>
          <w:rFonts w:ascii="Arial" w:cs="Arial" w:eastAsia="Arial" w:hAnsi="Arial"/>
          <w:sz w:val="17"/>
          <w:szCs w:val="17"/>
          <w:color w:val="auto"/>
        </w:rPr>
        <w:t>Net cash used in financing activities for the six months ended June 30, 2022 was $2.6 million, primarily attributable to payments of contingent consideration for business acquisition of $1.6 million and payments to tax authorities for shares withheld from employees of $0.8 million</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for the six months ended June 30, 2021 was $4.9 million, primarily attributable to proceeds from issuance of common stock of $5.4 million, partially offset by the principal payments of term loan of $0.3 million and payments of deferred offering costs of $0.2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2021 Form 10-K, other than those discussed in Note 2 to our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more information regarding recently issued accounting pronouncements, see Note 2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2021 Form 10-K.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time to time, we have been and will continue to be subject to legal proceedings and claims. We are not presently a party to any legal proceedings that, if determined adversely to us, would individually or taken together have a material adverse effect on our business, results of operations, financial condition,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before deciding whether to invest in our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face significant competition from larger companies and third party providers that may deploy their resources so they can develop their IP solutions internally.</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Often, we compete against larger companies that possess substantial financial, technical, research and development and engineering resources that can be deployed so they can develop their IP solutions internally. In addition, we also compete against other third-party providers of IP integration solutions that similarly possess substantial financial, technical, research and development and engineering resources. In addition,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23"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 addition, our ability to compete in our market is subject to a variety of factors, many of which are beyond our control. The occurrence of any of the below could adversely affect our ability to compete and harm our business:</w:t>
      </w:r>
    </w:p>
    <w:p>
      <w:pPr>
        <w:spacing w:after="0" w:line="90" w:lineRule="exact"/>
        <w:rPr>
          <w:sz w:val="20"/>
          <w:szCs w:val="20"/>
          <w:color w:val="auto"/>
        </w:rPr>
      </w:pPr>
    </w:p>
    <w:p>
      <w:pPr>
        <w:ind w:left="820" w:right="20" w:hanging="326"/>
        <w:spacing w:after="0" w:line="281" w:lineRule="auto"/>
        <w:tabs>
          <w:tab w:leader="none" w:pos="8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lead critical product development cycles and technological shifts as driven by our target markets, to innovate rapidly and efficiently and to improve our existing solutions.</w:t>
      </w:r>
    </w:p>
    <w:p>
      <w:pPr>
        <w:spacing w:after="0" w:line="1"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competitor substantially increases its engineering and marketing resources to compete with us in the semiconductor IP deployment software technology arena.</w:t>
      </w:r>
    </w:p>
    <w:p>
      <w:pPr>
        <w:spacing w:after="0" w:line="1" w:lineRule="exact"/>
        <w:rPr>
          <w:rFonts w:ascii="Arial" w:cs="Arial" w:eastAsia="Arial" w:hAnsi="Arial"/>
          <w:sz w:val="18"/>
          <w:szCs w:val="18"/>
          <w:color w:val="auto"/>
        </w:rPr>
      </w:pPr>
    </w:p>
    <w:p>
      <w:pPr>
        <w:ind w:left="820" w:right="20" w:hanging="326"/>
        <w:spacing w:after="0" w:line="292" w:lineRule="auto"/>
        <w:tabs>
          <w:tab w:leader="none" w:pos="8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 new entrant with substantially greater resources and/or supported by governmental resources decides to enter the markets in which we compete.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right="20" w:hanging="326"/>
        <w:spacing w:after="0" w:line="281"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any existing or new competitor bundles its technologies into one package at a discounted price that would make it uneconomical for our customers to license our products separately.</w:t>
      </w:r>
    </w:p>
    <w:p>
      <w:pPr>
        <w:spacing w:after="0" w:line="1" w:lineRule="exact"/>
        <w:rPr>
          <w:rFonts w:ascii="Arial" w:cs="Arial" w:eastAsia="Arial" w:hAnsi="Arial"/>
          <w:sz w:val="18"/>
          <w:szCs w:val="18"/>
          <w:color w:val="auto"/>
        </w:rPr>
      </w:pPr>
    </w:p>
    <w:p>
      <w:pPr>
        <w:ind w:left="820" w:hanging="326"/>
        <w:spacing w:after="0" w:line="281"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of developing, or acquiring externally developed, technology solutions that are adequate and competitive in meeting the rapidly evolving requirements of next-generation design challenges.</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on the basis of payment and pricing features and terms.</w:t>
      </w:r>
    </w:p>
    <w:p>
      <w:pPr>
        <w:spacing w:after="0" w:line="63" w:lineRule="exact"/>
        <w:rPr>
          <w:rFonts w:ascii="Arial" w:cs="Arial" w:eastAsia="Arial" w:hAnsi="Arial"/>
          <w:sz w:val="18"/>
          <w:szCs w:val="18"/>
          <w:color w:val="auto"/>
        </w:rPr>
      </w:pPr>
    </w:p>
    <w:p>
      <w:pPr>
        <w:ind w:left="820" w:hanging="326"/>
        <w:spacing w:after="0" w:line="281"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1" w:lineRule="exact"/>
        <w:rPr>
          <w:rFonts w:ascii="Arial" w:cs="Arial" w:eastAsia="Arial" w:hAnsi="Arial"/>
          <w:sz w:val="18"/>
          <w:szCs w:val="18"/>
          <w:color w:val="auto"/>
        </w:rPr>
      </w:pPr>
    </w:p>
    <w:p>
      <w:pPr>
        <w:ind w:left="820" w:hanging="326"/>
        <w:spacing w:after="0" w:line="281"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limit product availability, trade and exportability or the features or contractual terms that either we or our customers can apply to product and service offerings, or to affect monetary policy.</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modify or augment tax treatment of our product and service offerings.</w:t>
      </w:r>
    </w:p>
    <w:p>
      <w:pPr>
        <w:spacing w:after="0" w:line="63"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global and regional inflation on our and our customers’ profitability and expansion plans due to among other effects of inflation, increases in wages, salaries, operating expenses, and costs of insurance, benefits and medical coverage.</w:t>
      </w:r>
    </w:p>
    <w:p>
      <w:pPr>
        <w:spacing w:after="0" w:line="1" w:lineRule="exact"/>
        <w:rPr>
          <w:rFonts w:ascii="Arial" w:cs="Arial" w:eastAsia="Arial" w:hAnsi="Arial"/>
          <w:sz w:val="18"/>
          <w:szCs w:val="18"/>
          <w:color w:val="auto"/>
        </w:rPr>
      </w:pPr>
    </w:p>
    <w:p>
      <w:pPr>
        <w:ind w:left="820" w:hanging="326"/>
        <w:spacing w:after="0" w:line="281"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embargoes, sanctions, boycotts and/or social unrest.</w:t>
      </w:r>
    </w:p>
    <w:p>
      <w:pPr>
        <w:spacing w:after="0" w:line="63" w:lineRule="exact"/>
        <w:rPr>
          <w:rFonts w:ascii="Arial" w:cs="Arial" w:eastAsia="Arial" w:hAnsi="Arial"/>
          <w:sz w:val="18"/>
          <w:szCs w:val="18"/>
          <w:color w:val="auto"/>
        </w:rPr>
      </w:pPr>
    </w:p>
    <w:p>
      <w:pPr>
        <w:ind w:left="820" w:hanging="326"/>
        <w:spacing w:after="0" w:line="281"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international economic headwind trends that may lead to recessions, economic slowdowns or sudden changes in economic needs of regions and consumers.</w:t>
      </w:r>
    </w:p>
    <w:p>
      <w:pPr>
        <w:spacing w:after="0" w:line="1" w:lineRule="exact"/>
        <w:rPr>
          <w:rFonts w:ascii="Arial" w:cs="Arial" w:eastAsia="Arial" w:hAnsi="Arial"/>
          <w:sz w:val="18"/>
          <w:szCs w:val="18"/>
          <w:color w:val="auto"/>
        </w:rPr>
      </w:pPr>
    </w:p>
    <w:p>
      <w:pPr>
        <w:ind w:left="820" w:hanging="326"/>
        <w:spacing w:after="0" w:line="292"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Silicon chip supply chain and shipment volume restrictions on our customers and their end customers that will impact the amount of royalties payable to us.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may also be unable to reduce the cost of our products sufficiently to enable us to compete with our competitors. Our cost reduction efforts may not allow us to keep pace with competitive pricing pressures and/or other economic factors including inflation and customer and end market supply chain constraints and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in our 2021 Form 10-K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 in the future.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incurred net losses in certain periods historically. We incurred a net loss of $23.4 million in 2021, and our net loss for the three months ended June 30, 2022 and 2021 was $5.7 million and $3.9 million, respectively. Our net loss for the six months ended June 30, 2022 and 2021 was $ 12.5 million and $10.6 million, respectively. As of June 30, 2022, we had an accumulated deficit of $51.5 million. We have spent significant funds on organizational and start-up activities, to recruit engineers and other employees and to support our research and development. The net losses we incur may fluctuate significantly from quarter to quarter and may increase as a result of the COVID-19 pandemic, inflation and slow downs and other global economic factors.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long-term success is dependent upon our ability to successfully market our interconnect IP and IP deployment solutions, develop new interconnect IP and IP deployment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our IP solutions are components of end products, if semiconductor, system producers and/or end product producer companies in the automotive market, AI/ML market, 5G and wireless communications market, large scale cloud and data center market and consumer electronics market do not incorporate our solutions into their end products or if the end products of our customers do not achieve market acceptance, we may not be able to generate adequate license sales and royalty income from our products.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IP solutions include technology that manages on-chip communications in SoC semiconductor devices. We do not license our IP solutions and deployment tools directly to end-users; we license our technology primarily to companies in the automotive market, AI/ML market, 5G and wireless communications market, large scale cloud and data center market and consumer electronics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even after a customer agrees to incorporate our technology into its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to start their own product designs and manufacture and ship their products, including target product market conditions, our customers’ financial stability, our customers’ competitive positioning and external economic conditions (such as but not limited to inflation, customer and end market supply chain constraints, geopolitical conflict, sanctions and competition) that may prolong the customers’ decision-making process and design cycle.</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success will depend in large part on general economic growth and stability, and growth and stability within our target markets in the automotive market, AI/ML market, 5G and wireless communications market, large scale cloud and data center market and consumer electronics market. Factors affecting these markets could seriously harm our customers and/or end customers and, as a result, harm us, examples of which include:</w:t>
      </w:r>
    </w:p>
    <w:p>
      <w:pPr>
        <w:spacing w:after="0" w:line="115" w:lineRule="exact"/>
        <w:rPr>
          <w:sz w:val="20"/>
          <w:szCs w:val="20"/>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sales of our customers’ and/or end customers’ products.</w:t>
      </w:r>
    </w:p>
    <w:p>
      <w:pPr>
        <w:spacing w:after="0" w:line="63" w:lineRule="exact"/>
        <w:rPr>
          <w:rFonts w:ascii="Arial" w:cs="Arial" w:eastAsia="Arial" w:hAnsi="Arial"/>
          <w:sz w:val="18"/>
          <w:szCs w:val="18"/>
          <w:color w:val="auto"/>
        </w:rPr>
      </w:pPr>
    </w:p>
    <w:p>
      <w:pPr>
        <w:jc w:val="both"/>
        <w:ind w:left="820" w:hanging="326"/>
        <w:spacing w:after="0" w:line="271" w:lineRule="auto"/>
        <w:tabs>
          <w:tab w:leader="none" w:pos="8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ind w:left="820" w:hanging="326"/>
        <w:spacing w:after="0" w:line="281" w:lineRule="auto"/>
        <w:tabs>
          <w:tab w:leader="none" w:pos="8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potential disruptions to our customers’ and/or end markets’ supply chain and other manufacturing and production operations.</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our customers’ and/or end customers’ financial condition.</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project cancellations as a result of design flaws in the products developed by our customers and/or end customers.</w:t>
      </w:r>
    </w:p>
    <w:p>
      <w:pPr>
        <w:spacing w:after="0" w:line="63" w:lineRule="exact"/>
        <w:rPr>
          <w:rFonts w:ascii="Arial" w:cs="Arial" w:eastAsia="Arial" w:hAnsi="Arial"/>
          <w:sz w:val="18"/>
          <w:szCs w:val="18"/>
          <w:color w:val="auto"/>
        </w:rPr>
      </w:pPr>
    </w:p>
    <w:p>
      <w:pPr>
        <w:ind w:left="820" w:hanging="326"/>
        <w:spacing w:after="0" w:line="292" w:lineRule="auto"/>
        <w:tabs>
          <w:tab w:leader="none" w:pos="8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expand or dedicate the resources necessary to promote and commercialize their products.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326"/>
        <w:spacing w:after="0" w:line="281" w:lineRule="auto"/>
        <w:tabs>
          <w:tab w:leader="none" w:pos="8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adapt to changing technological demands resulting in their products becoming obsolete.</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customers’ and/or end customers’ products to achieve market success and gain broad market acceptance.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supply chain disruptions and regional and/or worldwide chip shortages,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market acceptance of third-party semiconductor IP.</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IP deployment software. Furthermore, the third-party licensable IP model is highly dependent on the market adoption of new services and products, including in the automotive market, AI/ML market, 5G and wireless communications market, large scale cloud and data center market and consumer electronics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33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In addition, our customer acquisition cycle for new licenses and license renewals for existing licensees can be lengthy, typically between two to nine months, and can also be costly and unpredictable.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09" w:lineRule="exact"/>
        <w:rPr>
          <w:sz w:val="20"/>
          <w:szCs w:val="20"/>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customer requirements, resulting in an extended development cycle for the product.</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our solutions are designed.</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pressures to reduce our selling price for the customer’s end-product.</w:t>
      </w:r>
    </w:p>
    <w:p>
      <w:pPr>
        <w:spacing w:after="0" w:line="63"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expected acceptance of the customers’ end-products.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continually pursue new IP interconnect and other solutions and IP deployment technology initiatives, and if we fail to successfully carry out these initiatives, our business could be harmed.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evolution of our business, we have made substantial investments to develop IP interconnect and other solutions, IP deployment software solutions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AI/ML market, 5G and wireless communications market, large scale cloud and data center market and consumer electronics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IP deployment solutions in a timely and cost-effective manner, or if we fail to introduce new technologies that meet market demand, we may lose our competitive position, our products may become obsolete, and our business could be harmed.</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Additionally, from time to time, we invest in expansion into adjacent markets, including our recent acquisition of Magillem and our entry into the IP deployment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efforts in this area may not be successful. Our success in these new markets depends on a variety of factors, including the following:</w:t>
      </w:r>
    </w:p>
    <w:p>
      <w:pPr>
        <w:spacing w:after="0" w:line="121" w:lineRule="exact"/>
        <w:rPr>
          <w:sz w:val="20"/>
          <w:szCs w:val="20"/>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 new customer base, including in industries in which we have less experience.</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successful development of new sales and marketing strategies to meet customer requirements.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predict, prepare for, and promptly respond to technological developments in new fields.</w:t>
      </w:r>
    </w:p>
    <w:p>
      <w:pPr>
        <w:spacing w:after="0" w:line="63" w:lineRule="exact"/>
        <w:rPr>
          <w:rFonts w:ascii="Arial" w:cs="Arial" w:eastAsia="Arial" w:hAnsi="Arial"/>
          <w:sz w:val="18"/>
          <w:szCs w:val="18"/>
          <w:color w:val="auto"/>
        </w:rPr>
      </w:pPr>
    </w:p>
    <w:p>
      <w:pPr>
        <w:jc w:val="both"/>
        <w:ind w:left="820" w:hanging="326"/>
        <w:spacing w:after="0" w:line="271" w:lineRule="auto"/>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with new and existing competitors in these new industries, many of which may have more financial resources, industry experience, brand recognition, relevant IP rights, and/or more established customer relationships than we currently do, and they could include free and open-source solutions that provide similar IP deployment solutions.</w:t>
      </w: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skillfully balance our investment in adjacent markets with investment in our existing products and services.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employees with expertise in new or emerging fields affecting our business.</w:t>
      </w:r>
    </w:p>
    <w:p>
      <w:pPr>
        <w:spacing w:after="0" w:line="17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Difficulties in any of our new product development efforts or our efforts to enter adjacent markets, including delays or disruptions due to factors outside of our control such as any adverse impact resulting from the COVID-19 pandemic, could harm our business.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have to invest more resources in research and development than anticipated, which could increase our operating expenses and negatively affect our operating results.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devote substantial resources to the research and development of new and enhanced interconnect IP and IP deployment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products that create additional revenue.</w:t>
      </w:r>
    </w:p>
    <w:p>
      <w:pPr>
        <w:spacing w:after="0" w:line="12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may also decide to increase our research and development investment to seize customer or market opportunities, which could negatively impact our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are also faced with hiring constraints, including for hiring engineering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errors or defects could expose us to liability and harm our reputation and we could lose market share.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IP deployment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IP deployment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Interconnect IP technology is complex, and our customer support is critical for the successful deployment of our IP in our customers’ designs, and we have 30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2021 56.9% of our revenue was derived from sales to customers outside of the United States. In particular, we derived 27.1% of our revenue in 2021 from customers located in China. For the six months ended June 30, 2022, 57.7% of our revenue was derived from sales to customers outside of the United States and 22.6%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22" w:lineRule="exact"/>
        <w:rPr>
          <w:sz w:val="20"/>
          <w:szCs w:val="20"/>
          <w:color w:val="auto"/>
        </w:rPr>
      </w:pPr>
    </w:p>
    <w:p>
      <w:pPr>
        <w:ind w:left="5520" w:right="3580" w:hanging="5026"/>
        <w:spacing w:after="0" w:line="980" w:lineRule="auto"/>
        <w:tabs>
          <w:tab w:leader="none" w:pos="8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regulatory or economic conditions.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20" w:hanging="326"/>
        <w:spacing w:after="0" w:line="27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jc w:val="both"/>
        <w:ind w:left="820" w:hanging="326"/>
        <w:spacing w:after="0" w:line="264"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7" w:lineRule="exact"/>
        <w:rPr>
          <w:rFonts w:ascii="Arial" w:cs="Arial" w:eastAsia="Arial" w:hAnsi="Arial"/>
          <w:sz w:val="18"/>
          <w:szCs w:val="18"/>
          <w:color w:val="auto"/>
        </w:rPr>
      </w:pPr>
    </w:p>
    <w:p>
      <w:pPr>
        <w:jc w:val="both"/>
        <w:ind w:left="820" w:hanging="326"/>
        <w:spacing w:after="0" w:line="271"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 including trade tensions such as U.S.-China trade tensions.</w:t>
      </w:r>
    </w:p>
    <w:p>
      <w:pPr>
        <w:spacing w:after="0" w:line="63" w:lineRule="exact"/>
        <w:rPr>
          <w:rFonts w:ascii="Arial" w:cs="Arial" w:eastAsia="Arial" w:hAnsi="Arial"/>
          <w:sz w:val="18"/>
          <w:szCs w:val="18"/>
          <w:color w:val="auto"/>
        </w:rPr>
      </w:pPr>
    </w:p>
    <w:p>
      <w:pPr>
        <w:jc w:val="both"/>
        <w:ind w:left="820" w:hanging="326"/>
        <w:spacing w:after="0" w:line="271"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 across different geographic areas, time zones and cultures.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63"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political, legal and economic instability, armed conflict, and civil unrest in the countries in which we and our customers are located.</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and costs of maintaining effective data security.</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protection of our IP.</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63" w:lineRule="exact"/>
        <w:rPr>
          <w:rFonts w:ascii="Arial" w:cs="Arial" w:eastAsia="Arial" w:hAnsi="Arial"/>
          <w:sz w:val="18"/>
          <w:szCs w:val="18"/>
          <w:color w:val="auto"/>
        </w:rPr>
      </w:pPr>
    </w:p>
    <w:p>
      <w:pPr>
        <w:ind w:left="820" w:right="20" w:hanging="326"/>
        <w:spacing w:after="0" w:line="281"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withholding taxes and other potentially negative tax consequences.</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United States.</w:t>
      </w:r>
    </w:p>
    <w:p>
      <w:pPr>
        <w:spacing w:after="0" w:line="63" w:lineRule="exact"/>
        <w:rPr>
          <w:rFonts w:ascii="Arial" w:cs="Arial" w:eastAsia="Arial" w:hAnsi="Arial"/>
          <w:sz w:val="18"/>
          <w:szCs w:val="18"/>
          <w:color w:val="auto"/>
        </w:rPr>
      </w:pPr>
    </w:p>
    <w:p>
      <w:pPr>
        <w:ind w:left="820" w:right="20" w:hanging="326"/>
        <w:spacing w:after="0" w:line="28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 w:lineRule="exact"/>
        <w:rPr>
          <w:rFonts w:ascii="Arial" w:cs="Arial" w:eastAsia="Arial" w:hAnsi="Arial"/>
          <w:sz w:val="18"/>
          <w:szCs w:val="18"/>
          <w:color w:val="auto"/>
        </w:rPr>
      </w:pPr>
    </w:p>
    <w:p>
      <w:pPr>
        <w:ind w:left="820" w:right="20" w:hanging="326"/>
        <w:spacing w:after="0" w:line="28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regulatory uncertainties with respect to our wholly foreign-owned enterprise operating in China and any joint ventures we may form or contribute IP or other resources to in the future.</w:t>
      </w:r>
    </w:p>
    <w:p>
      <w:pPr>
        <w:spacing w:after="0" w:line="1" w:lineRule="exact"/>
        <w:rPr>
          <w:rFonts w:ascii="Arial" w:cs="Arial" w:eastAsia="Arial" w:hAnsi="Arial"/>
          <w:sz w:val="18"/>
          <w:szCs w:val="18"/>
          <w:color w:val="auto"/>
        </w:rPr>
      </w:pPr>
    </w:p>
    <w:p>
      <w:pPr>
        <w:jc w:val="both"/>
        <w:ind w:left="820" w:hanging="326"/>
        <w:spacing w:after="0" w:line="264"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factors, individually or in combination, could impair our ability to effectively operate one or more of our foreign facilities or deliver our semiconductor IP or IP deployment solutions, result in unexpected and material expenses, or cause an unexpected decline in the demand for our products in certain countries or regions. For example, one formerly substantial royalty customer became unable to source a key material in 2020 as a result of the trade disputes between the United States and China, and consequently shipment volumes of products containing our interconnect IP have been significantly lower, adversely affecting our royalty revenue. Our failure to manage the risks and challenges associated with our international business and operations could harm our business.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Downturns or volatility in general economic conditions, including as a result of the current COVID-19 pandemic or any other outbreak of an infectious disease, could harm our business.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AI/ML market, 5G and wireless communications market, large scale cloud and data center market and consumer electronics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any disruption in the credit markets, including as a result of the current COVID-19 pandemic, could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the semiconductor industry may limit our ability to maintain or improve our revenue.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downtown in connection with the most recent global recession in 2008, and further experienced a downturn in 2020,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current COVID-19 pandemic, ongoing trade disputes among the United States and China, weakness in demand and pricing for semiconductors across applications and excess inventory. Recent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significant amount of our revenue is derived from a limited number of customers. As of June 30, 2022, sales to Intel Corporation accounted for 26% and Samsung Electronics Co., Ltd. accounted for 11% of our revenue. We expect that a relatively small number of customers will continue to account for a substantial portion of our revenue for the foreseeable future.</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customer base and achieve broader market acceptance of our products.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Substantial portions of our sales are made, and we anticipate will be made, to consumer, automotive, network, AI/ML, large-scale cloud and data center, and other industry suppliers. Any downturn in any of these the markets could significantly harm our business.</w:t>
      </w:r>
    </w:p>
    <w:p>
      <w:pPr>
        <w:spacing w:after="0" w:line="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Of our annual contract value at June 30, 2022, 32% was derived from customers supplying to the consumer industry, 20% was to customers that supply various systems and components to the automotive industry, 20% was to customers in the AI/ML industry, 9% was to customers supplying large scale cloud and data center customers and 7% was to customers in the network industry.</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Each of these sectors is subject to specific market risks. The consumer sector, for example, is subject to changes in end consumer spending patterns, technology developments and general economic conditions.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as a result of the COVID-19 pandemic and the associated responses by governments of various countries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health epidemics, pandemics and other outbreaks of infectious disease, including the current COVID-19 pandemic.</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reached across the globe, resulting in the implementation of significant governmental measures, including lockdowns, closures, quarantines, and travel bans intended to control the spread of the virus. Measures implemented by various authorities in response to the COVID-19 pandemic have caused us to change our business practices, including those related to where employees work, the distance between employees in our facilities, limitations on in-person meetings between employees and with customers, potential customers, suppliers, service providers and stakeholders, as well as restrictions on business travel to domestic and international locations and to attend trade shows, technical conferences and other events.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which could further affect our operations. A widespread epidemic, pandemic or other health crisis could also cause significant volatility in global markets. The COVID-19 outbreak has caused disruption in financial markets, which if it continues or intensifies, could reduce our ability to access capital and thereby harm our business.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current and potential future measures that could restrict access to our facilities, limit support operations and place restrictions on our workforce, suppliers and other business partners have impacted and may further impact our workforce and operations, the operations of our customers and end users of our products, and those of our respective vendors, suppliers and other business partners. The disruptions to our operations caused by the COVID-19 pandemic may result in inefficiencies, delays and additional costs in our product development, sales, marketing, and customer service efforts that we cannot fully mitigate through remote or other alternative work arrangements. In addition, the severe global economic disruption, including recession, depression or other sustained adverse market impact caused by health crisis such as the COVID-19 pandemic, may cause our customers and end-users of our products to suffer significant economic hardship and potentially even go out of business, which could result in decreased demand for our products and harm our business.</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pandemic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comes from licensing fees, which may vary period to period.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License agreements for our interconnect IP are generally treated as ratable revenue, with revenue being recognized evenly over the license term. However, certain license agreements for our IP interconnect solutions are recognized as point in time revenue, including one agreement resulting in our recognizing revenue of $7.4 million in 2020. Additionally, the majority of software license agreements for our IP deployment solutions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Royalty rates could decrease for existing and future license agreements, which could materially adversely affect our operating results.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Royalty payments to us under existing and future license agreements could be lower than currently anticipated for a variety of reasons. Average selling prices for semiconductor products generally decrease over time during the lifespan of a product.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5.9% of our revenue for the six months ended June 30, 2022. Therefore, a significant decrease in our royalty revenue could materially adversely affect our operating results.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royalty rates may be negatively affected by macroeconomic trends, including from global semiconductor supply chain issues (including from shortages in the availability of the supply of chips in several semiconductor sectors and applications), the COVID-19 pandemic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could harm our business.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transactions for the six months ended June 30, 2022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make acquisitions of and investments in new businesses, such as our acquisition of Magillem,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even if we are able to consummate acquisitions and enter into joint ventures and other strategic relationships, these transactions and relationships, including our acquisition of Magillem, present a number of potential risks and challenges that could, if not met, disrupt our business operations, increase our operating costs, negatively affect our growth rate and the trading price of our common stock, and may harm our business. In addition, our Magillem acquisition as well as any acquisition, investment, joint venture or other strategic transaction we may enter into in the future, involve a number of additional financial, accounting, managerial, operational, legal, regulatory and other risks, which may include, among others:</w:t>
      </w:r>
    </w:p>
    <w:p>
      <w:pPr>
        <w:spacing w:after="0" w:line="123" w:lineRule="exact"/>
        <w:rPr>
          <w:sz w:val="20"/>
          <w:szCs w:val="20"/>
          <w:color w:val="auto"/>
        </w:rPr>
      </w:pPr>
    </w:p>
    <w:p>
      <w:pPr>
        <w:jc w:val="both"/>
        <w:ind w:left="820" w:hanging="326"/>
        <w:spacing w:after="0" w:line="271"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jc w:val="both"/>
        <w:ind w:left="820" w:hanging="326"/>
        <w:spacing w:after="0" w:line="264"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20" w:hanging="326"/>
        <w:spacing w:after="0" w:line="271" w:lineRule="auto"/>
        <w:tabs>
          <w:tab w:leader="none" w:pos="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ind w:left="820" w:right="20" w:hanging="326"/>
        <w:spacing w:after="0" w:line="281"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1"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create demands on our management, operational resources and financial and internal control systems that we are unable to effectively address.</w:t>
      </w:r>
    </w:p>
    <w:p>
      <w:pPr>
        <w:spacing w:after="0" w:line="1"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1"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joint venture or other strategic relationship.</w:t>
      </w:r>
    </w:p>
    <w:p>
      <w:pPr>
        <w:spacing w:after="0" w:line="1" w:lineRule="exact"/>
        <w:rPr>
          <w:rFonts w:ascii="Arial" w:cs="Arial" w:eastAsia="Arial" w:hAnsi="Arial"/>
          <w:sz w:val="18"/>
          <w:szCs w:val="18"/>
          <w:color w:val="auto"/>
        </w:rPr>
      </w:pPr>
    </w:p>
    <w:p>
      <w:pPr>
        <w:jc w:val="both"/>
        <w:ind w:left="820" w:hanging="326"/>
        <w:spacing w:after="0" w:line="264"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7" w:lineRule="exact"/>
        <w:rPr>
          <w:rFonts w:ascii="Arial" w:cs="Arial" w:eastAsia="Arial" w:hAnsi="Arial"/>
          <w:sz w:val="18"/>
          <w:szCs w:val="18"/>
          <w:color w:val="auto"/>
        </w:rPr>
      </w:pPr>
    </w:p>
    <w:p>
      <w:pPr>
        <w:ind w:left="820" w:right="20" w:hanging="326"/>
        <w:spacing w:after="0" w:line="28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 w:lineRule="exact"/>
        <w:rPr>
          <w:rFonts w:ascii="Arial" w:cs="Arial" w:eastAsia="Arial" w:hAnsi="Arial"/>
          <w:sz w:val="18"/>
          <w:szCs w:val="18"/>
          <w:color w:val="auto"/>
        </w:rPr>
      </w:pPr>
    </w:p>
    <w:p>
      <w:pPr>
        <w:jc w:val="both"/>
        <w:ind w:left="820" w:hanging="326"/>
        <w:spacing w:after="0" w:line="27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jc w:val="both"/>
        <w:ind w:left="820" w:hanging="326"/>
        <w:spacing w:after="0" w:line="27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jc w:val="both"/>
        <w:ind w:left="820" w:hanging="326"/>
        <w:spacing w:after="0" w:line="271"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Furthermore, potential acquisitions, investments,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could prevent us from executing our growth strategy.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operate and expand our business depends on the availability of adequate capital, which in turn depends on cash flow generated by our business and equity or other applicable financing arrangements. We believe that our cash flow from operations, existing cash, and the net proceeds from our initial public offering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22" w:lineRule="exact"/>
        <w:rPr>
          <w:sz w:val="20"/>
          <w:szCs w:val="20"/>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semiconductor IP and other solutions, and our IP deployment solutions;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adapt to changing technologies and technical requirements;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opportunities for expansion; and</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and availability of sufficient management, technical, marketing and financial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protect our proprietary technology and innovations, particularly those relating to the design of our products, through patents, trade secrets and other IP rights. As of June 30, 2022, we had 117 total allowed or issued patents, pending patent applications and non-expired provisional patent applications worldwide. Of these, we had 48 allowed or issued patents, 43 of which are U.S. allowed or issued patents, two of which are allowed or issued China patents, one is a U.K. issued patent, one is a Japan issued patent, and one is a South Korea issued patent. The 48 allowed or issued patents generally expire between 2035 and 2042. As of June 30, 2022, we had 69 pending non-provisional and provisional patent application filings, including 38 in the United States, 14 in Europe, 13 in China, three in Korea and one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it is difficult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ability to compete successfully depends in part on our ability to commercialize our IP solutions without infringing the patent, trade secret or other IP rights of others.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semiconductor industry is ripe with patent assertion entities and is characterized by frequent litigation regarding patent and other IP rights. From time to time, we receive communications from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In the event that any third-party succeeds in asserting a valid claim against us or any of our customers, we could be forced to do one or more of the following:</w:t>
      </w:r>
    </w:p>
    <w:p>
      <w:pPr>
        <w:spacing w:after="0" w:line="123" w:lineRule="exact"/>
        <w:rPr>
          <w:sz w:val="20"/>
          <w:szCs w:val="20"/>
          <w:color w:val="auto"/>
        </w:rPr>
      </w:pPr>
    </w:p>
    <w:p>
      <w:pPr>
        <w:ind w:left="820" w:right="20" w:hanging="326"/>
        <w:spacing w:after="0" w:line="281" w:lineRule="auto"/>
        <w:tabs>
          <w:tab w:leader="none" w:pos="8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stop receiving payment from a customer that can no longer sell the end-product if it contains allegedly infringing IP;</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monetary damages to the party whose IP rights we may be found to be infringing; and/or</w:t>
      </w:r>
    </w:p>
    <w:p>
      <w:pPr>
        <w:spacing w:after="0" w:line="63" w:lineRule="exact"/>
        <w:rPr>
          <w:rFonts w:ascii="Arial" w:cs="Arial" w:eastAsia="Arial" w:hAnsi="Arial"/>
          <w:sz w:val="18"/>
          <w:szCs w:val="18"/>
          <w:color w:val="auto"/>
        </w:rPr>
      </w:pPr>
    </w:p>
    <w:p>
      <w:pPr>
        <w:ind w:left="820" w:hanging="326"/>
        <w:spacing w:after="0" w:line="292" w:lineRule="auto"/>
        <w:tabs>
          <w:tab w:leader="none" w:pos="8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customers could be required to seek licenses to the infringed technology that may not be available on commercially reasonable terms, if at all.</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a third-party causes us to discontinue the use of any of our technologies, we could be required to design around those technologies. This could be costly and time consuming and could have an adverse effect on our financial results. Any significant impairments of our IP rights from any litigation we face could harm our business and our ability to compete in our industry.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IP on reasonable terms or at all, which may disrupt our business and harm our financial results.</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 Qualcomm Agreements” in our 2021 Form 10-K for additional information. Third parties may stop adequately supporting or maintaining their technology, or they or their technology may be acquired by our competitors. If we are unable to obtain licenses to these third-party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invalidated and or result in fines and other damages. If any of the following were to occur, it could harm our business and our reputation.</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Moreover, some open-source software licenses, if applicable, could require users who distribute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dispute regarding our IP may require us to indemnify certain customers, the cost of which could severely harm our business.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any potential dispute involving our patents or other IP, our customers could also become the target of litigation. While we generally do not indemnify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been and in the future may be subject to incidents, disruptions or breaches of our information technology systems that could damage our reputation and our business, expose us to liability and materially and adversely affect our results of operations, potentially irreparably.</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conducting our business, we routinely collect and store sensitive data, including proprietary technology and information about our business and our customers, suppliers and business partners, including our customers’ proprietary chip design architecture information, personal information and sensitive information owned by our customers. The secure processing, maintenance and transmission of this information is critical to our operations and business strategy. Increasingly, companies are subject to a wide variety of attacks on their networks and information technology infrastructure on an ongoing basis. Traditional computer “hackers,” malicious code (such as viruses, and worms), phishing attempts, employee theft or misuse, denial of service attacks, and sophisticated nation-state and nation-state supported actors engage in intrusions and attacks that create risks for our (and our third-party service providers’) products and services, internal networks, infrastructure, and cloud deployed products and the information each stores and processes (such products, services, networks, infrastructure, and cloud resources collectively “Resources”). Although we have implemented security measures to prevent such attacks, our Resources have been and may in the future be breached due to the actions of outside parties, employee error, malfeasance, a combination of these, or otherwise, and as a result, an unauthorized party may obtain access to our Resources. We have been (and our third-party service providers), and may in the future be, subject to such disruptions or security breaches of our secured network caused by caused by computer viruses, ransomware, supply chain attacks and worldwide and/or regional shortages in the availability of chip supply in several semiconductor sectors and applications, illegal hacking, criminal fraud or impersonation, acts of vandalism or terrorism or actions or failure to act by our employees or other with access to our network. For example, in 2019 a customer paid an invoice to a fraudulent third party and such amount could not be recovered. Our security measures, those of our third-party service providers, or our customers may not timely detect or prevent such security breaches. The costs to us to reduce the risk of or alleviate cyber security breaches and vulnerabilities could be significant. Any type of security breach, attack, unauthorized access to or misuse of data, whether experienced by us or an associated third-party, could harm our reputation or deter existing or prospective customers from using our products and applications, increase our operating expenses in order to contain and remediate the incident, expose us to unbudgeted or uninsured liability, disrupt our operations, divert management focus away from other priorities, increase our risk of regulatory scrutiny, result in the imposition of penalties and fines under state, federal and foreign laws or by payment networks and adversely affect our continued payment network registration and financial institution sponsorship. We would also be exposed to a risk of loss or litigation and potential liability under laws, regulations and contracts that protect the privacy and security of personal information. For example, the California Consumer Privacy Act of 2018, or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We may also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notifications and follow-up actions related to a security incident could impact our reputation and cause us to incur significant costs, including legal expenses and remediation costs.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we could be exposed to litigation and governmental investigations, the further development and commercialization of our products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subject to a number of legal requirements, contractual obligations and industry standards regarding security, data protection and privacy and any failure to comply with these requirements, obligations or standards could harm our reputation and business. These include the GDPR and applicable United States federal, California and other jurisdictional privacy laws and regulations.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United States and other jurisdictions in which we operate, we are subject to various privacy, data protection and consumer protection laws and related regulations.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business, we collect information about individuals, also referred to as personal data, and other potentially sensitive and/or regulated data from our customers. Laws and regulations in the United States and around the world restrict how personal information is collected, processed, stored, used and disclosed, as well as set standards for its security, implement notice requirements regarding privacy practices, and provide individuals with certain rights regarding the use, disclosure and sale of their protected personal information.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both the federal and various state governments have adopted or are considering, laws, or regulations for the collection, distribution, use and storage of information collected from or about individuals or their devices. A range of enforcement agencies exist at both the state and federal levels that can enforce these laws and regulations. These laws and regulations may apply to our activities, including, for example, state data breach notification laws, state personal data privacy laws, and federal and state consumer protection laws. For example, California enacted the California Consumer Privacy Act (CCPA) which became operative on January 1, 2020 and became enforceable by the California Attorney General on July 1, 2020, along with related regulations which came into force on August 14, 2020. Additionally, although not effective until January 1, 2023, the California Privacy Rights Act, or the CPRA, which expands upon the CCPA, was passed on November 3, 2020. The CCPA requires (and the CPRA will require) covered companies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Further, Virginia enacted the Virginia Consumer Data Protection Act, or the CDPA, another comprehensive state privacy law, that will also be effective January 1, 2023. Also in 2021, Colorado enacted the Colorado Privacy Act, or the CPA, which goes into effect July 1, 2023. The CCPA, CPRA, CDPA, and CPA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Several foreign jurisdictions, including the European Union (EU) and United Kingdom (UK), have laws and regulations which are more restrictive in certain respects than those in the United States. For example, the EU General Data Protection Regulation (EU GDPR) and the UK General Data Protection Regulation and the UK Data Protection Act 2018 (UK GDPR) (collectively, the GDPR) includes stringent operational requirements for the use of personal data. The European and UK regime also includes laws which, among other things, require EU member states and the UK to regulate marketing by electronic means and the use of cookies and similar technologies. The GDPR has resulted in, and will continue to result in, significant compliance burdens and costs for companies with customers and/or operations in the European Union and the UK. The GDPR, and national implementing legislation in each member state, imposes a strict data protection compliance regime including: providing detailed disclosures about how personal data is collected and processed;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data processing; and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European Economic Area (EEA) and the UK. Recent legal developments in Europe have created complexity and uncertainty regarding transfers of personal data from the EEA and the UK to the United States. Most recently, on July 16, 2020, the Court of Justice of the European Union (CJEU) invalidated the EU-US Privacy Shield Framework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and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In addition,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applicable standard contractual clauses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U.S.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 large body of laws and regulations to which we are subject could materially harm our business.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derived 0.1%, and 31.2% of our revenue in 2021 and 2020, respectively, from parties that are currently subject to the Entity List of the EAR (a list of entities to which the transfer of EAR-controlled technology or software is generally prohibited absent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July 2021, we submitted a voluntary self-disclosure (VSD) to the BIS, noting potential violations of the EAR. On April 29, 2022, the Office of Export Enforcement of the BIS decided not to refer this matter for criminal or administrative prosecution and closed the matter with the issuance of a warning letter. In our VSD submission, we identified discrete transactions with two customers, Bada and HiSilicon, that may have resulted in inadvertent violations of the EAR. We no longer provide either customer with products or ongoing support. We have taken and continue to take remedial measures to help prevent similar situations from occurring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doing business in China.</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2022, we derived 22.6%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28" w:lineRule="exact"/>
        <w:rPr>
          <w:sz w:val="20"/>
          <w:szCs w:val="20"/>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Chinese government exerts substantial influence over the manner in which we must conduct our business activities.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transfer and use our cash effectively.</w:t>
      </w:r>
    </w:p>
    <w:p>
      <w:pPr>
        <w:spacing w:after="0" w:line="17" w:lineRule="exact"/>
        <w:rPr>
          <w:rFonts w:ascii="Arial" w:cs="Arial" w:eastAsia="Arial" w:hAnsi="Arial"/>
          <w:sz w:val="18"/>
          <w:szCs w:val="18"/>
          <w:color w:val="auto"/>
        </w:rPr>
      </w:pPr>
    </w:p>
    <w:p>
      <w:pPr>
        <w:ind w:left="820" w:right="280" w:hanging="326"/>
        <w:spacing w:after="0" w:line="250" w:lineRule="auto"/>
        <w:tabs>
          <w:tab w:leader="none" w:pos="8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IP rights including any IP rights that we may license to a Chinese (or other emerging jurisdiction) entity, including any joint ventures we may form.</w:t>
      </w:r>
    </w:p>
    <w:p>
      <w:pPr>
        <w:spacing w:after="0" w:line="19"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relating to Chinese regulation of exports of products and technology to and from China.</w:t>
      </w:r>
    </w:p>
    <w:p>
      <w:pPr>
        <w:spacing w:after="0" w:line="63" w:lineRule="exact"/>
        <w:rPr>
          <w:rFonts w:ascii="Arial" w:cs="Arial" w:eastAsia="Arial" w:hAnsi="Arial"/>
          <w:sz w:val="18"/>
          <w:szCs w:val="18"/>
          <w:color w:val="auto"/>
        </w:rPr>
      </w:pPr>
    </w:p>
    <w:p>
      <w:pPr>
        <w:ind w:left="820" w:right="20" w:hanging="326"/>
        <w:spacing w:after="0" w:line="281"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and rapidly changing export and related trade regulations and restrictions imposed by U.S. and Chinese legislation, executive actions and regulations.</w:t>
      </w:r>
    </w:p>
    <w:p>
      <w:pPr>
        <w:spacing w:after="0" w:line="1" w:lineRule="exact"/>
        <w:rPr>
          <w:rFonts w:ascii="Arial" w:cs="Arial" w:eastAsia="Arial" w:hAnsi="Arial"/>
          <w:sz w:val="18"/>
          <w:szCs w:val="18"/>
          <w:color w:val="auto"/>
        </w:rPr>
      </w:pPr>
    </w:p>
    <w:p>
      <w:pPr>
        <w:ind w:left="820" w:hanging="326"/>
        <w:spacing w:after="0" w:line="281"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of travel to and from China (and to and from United States) arising from or related to the COVID-19 pandemic or any future pandemic.</w:t>
      </w:r>
    </w:p>
    <w:p>
      <w:pPr>
        <w:spacing w:after="0" w:line="1"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contracts with certain parties.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restrictive rules on foreign investment could adversely affect our ability to expand our operations in China.</w:t>
      </w:r>
    </w:p>
    <w:p>
      <w:pPr>
        <w:spacing w:after="0" w:line="63" w:lineRule="exact"/>
        <w:rPr>
          <w:rFonts w:ascii="Arial" w:cs="Arial" w:eastAsia="Arial" w:hAnsi="Arial"/>
          <w:sz w:val="18"/>
          <w:szCs w:val="18"/>
          <w:color w:val="auto"/>
        </w:rPr>
      </w:pPr>
    </w:p>
    <w:p>
      <w:pPr>
        <w:ind w:left="820" w:right="20" w:hanging="326"/>
        <w:spacing w:after="0" w:line="292" w:lineRule="auto"/>
        <w:tabs>
          <w:tab w:leader="none" w:pos="8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growing operations in China, these risks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w:t>
      </w:r>
    </w:p>
    <w:p>
      <w:pPr>
        <w:spacing w:after="0" w:line="204"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Joint ventures </w:t>
      </w:r>
      <w:r>
        <w:rPr>
          <w:rFonts w:ascii="Arial" w:cs="Arial" w:eastAsia="Arial" w:hAnsi="Arial"/>
          <w:sz w:val="18"/>
          <w:szCs w:val="18"/>
          <w:b w:val="1"/>
          <w:bCs w:val="1"/>
          <w:i w:val="1"/>
          <w:iCs w:val="1"/>
          <w:color w:val="auto"/>
        </w:rPr>
        <w:t>or similar investments</w:t>
      </w:r>
      <w:r>
        <w:rPr>
          <w:rFonts w:ascii="Arial" w:cs="Arial" w:eastAsia="Arial" w:hAnsi="Arial"/>
          <w:sz w:val="18"/>
          <w:szCs w:val="18"/>
          <w:color w:val="auto"/>
        </w:rPr>
        <w:t xml:space="preserve"> such as the investment in Transchip as discussed elsewhere in this report, and other joint ventures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similar investments </w:t>
      </w:r>
      <w:r>
        <w:rPr>
          <w:rFonts w:ascii="Arial" w:cs="Arial" w:eastAsia="Arial" w:hAnsi="Arial"/>
          <w:sz w:val="18"/>
          <w:szCs w:val="18"/>
          <w:color w:val="auto"/>
        </w:rPr>
        <w:t>we may form in the future are subject to a number of risks, including but not limited to:</w:t>
      </w:r>
    </w:p>
    <w:p>
      <w:pPr>
        <w:spacing w:after="0" w:line="1" w:lineRule="exact"/>
        <w:rPr>
          <w:sz w:val="20"/>
          <w:szCs w:val="20"/>
          <w:color w:val="auto"/>
        </w:rPr>
      </w:pPr>
    </w:p>
    <w:p>
      <w:pPr>
        <w:ind w:left="820" w:hanging="326"/>
        <w:spacing w:after="0" w:line="281"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not commit sufficient resources to market and distribute our products or to otherwise support the joint venture and its intended operations.</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have economic or business interests or goals that are different from ours.</w:t>
      </w:r>
    </w:p>
    <w:p>
      <w:pPr>
        <w:spacing w:after="0" w:line="63" w:lineRule="exact"/>
        <w:rPr>
          <w:rFonts w:ascii="Arial" w:cs="Arial" w:eastAsia="Arial" w:hAnsi="Arial"/>
          <w:sz w:val="18"/>
          <w:szCs w:val="18"/>
          <w:color w:val="auto"/>
        </w:rPr>
      </w:pPr>
    </w:p>
    <w:p>
      <w:pPr>
        <w:ind w:left="820" w:hanging="326"/>
        <w:spacing w:after="0" w:line="281"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infringe the IP we assign to such joint venture, or the IP of other parties, which may expose us to litigation and other potential liabilities.</w:t>
      </w:r>
    </w:p>
    <w:p>
      <w:pPr>
        <w:spacing w:after="0" w:line="1" w:lineRule="exact"/>
        <w:rPr>
          <w:rFonts w:ascii="Arial" w:cs="Arial" w:eastAsia="Arial" w:hAnsi="Arial"/>
          <w:sz w:val="18"/>
          <w:szCs w:val="18"/>
          <w:color w:val="auto"/>
        </w:rPr>
      </w:pPr>
    </w:p>
    <w:p>
      <w:pPr>
        <w:jc w:val="both"/>
        <w:ind w:left="820" w:hanging="326"/>
        <w:spacing w:after="0" w:line="271" w:lineRule="auto"/>
        <w:tabs>
          <w:tab w:leader="none" w:pos="8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20" w:hanging="326"/>
        <w:spacing w:after="0" w:line="271"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additional capital requirements.</w:t>
      </w:r>
    </w:p>
    <w:p>
      <w:pPr>
        <w:spacing w:after="0" w:line="63" w:lineRule="exact"/>
        <w:rPr>
          <w:rFonts w:ascii="Arial" w:cs="Arial" w:eastAsia="Arial" w:hAnsi="Arial"/>
          <w:sz w:val="18"/>
          <w:szCs w:val="18"/>
          <w:color w:val="auto"/>
        </w:rPr>
      </w:pPr>
    </w:p>
    <w:p>
      <w:pPr>
        <w:ind w:left="820" w:hanging="326"/>
        <w:spacing w:after="0" w:line="292"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risks related to doing business in China or having a Chinese joint venture or investment that are discussed elsewhere in these risk factors.</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occurrence of one or more of the above risks, or any other negative events, could adversely impact our joint ventures or similar investments and could in turn harm our business.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15" w:lineRule="exact"/>
        <w:rPr>
          <w:sz w:val="20"/>
          <w:szCs w:val="20"/>
          <w:color w:val="auto"/>
        </w:rPr>
      </w:pPr>
    </w:p>
    <w:p>
      <w:pPr>
        <w:ind w:left="820" w:hanging="326"/>
        <w:spacing w:after="0" w:line="281" w:lineRule="auto"/>
        <w:tabs>
          <w:tab w:leader="none" w:pos="8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engage an auditor to report on our internal controls over financial reporting pursuant to Section 404(b) of the Sarbanes-Oxley Act;</w:t>
      </w:r>
    </w:p>
    <w:p>
      <w:pPr>
        <w:spacing w:after="0" w:line="1" w:lineRule="exact"/>
        <w:rPr>
          <w:rFonts w:ascii="Arial" w:cs="Arial" w:eastAsia="Arial" w:hAnsi="Arial"/>
          <w:sz w:val="18"/>
          <w:szCs w:val="18"/>
          <w:color w:val="auto"/>
        </w:rPr>
      </w:pPr>
    </w:p>
    <w:p>
      <w:pPr>
        <w:jc w:val="both"/>
        <w:ind w:left="820" w:hanging="326"/>
        <w:spacing w:after="0" w:line="271" w:lineRule="auto"/>
        <w:tabs>
          <w:tab w:leader="none" w:pos="8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ind w:left="820" w:hanging="326"/>
        <w:spacing w:after="0" w:line="281" w:lineRule="auto"/>
        <w:tabs>
          <w:tab w:leader="none" w:pos="8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“say-on-golden-parachutes”; and</w:t>
      </w:r>
    </w:p>
    <w:p>
      <w:pPr>
        <w:spacing w:after="0" w:line="1" w:lineRule="exact"/>
        <w:rPr>
          <w:rFonts w:ascii="Arial" w:cs="Arial" w:eastAsia="Arial" w:hAnsi="Arial"/>
          <w:sz w:val="18"/>
          <w:szCs w:val="18"/>
          <w:color w:val="auto"/>
        </w:rPr>
      </w:pPr>
    </w:p>
    <w:p>
      <w:pPr>
        <w:jc w:val="both"/>
        <w:ind w:left="820" w:hanging="326"/>
        <w:spacing w:after="0" w:line="323" w:lineRule="auto"/>
        <w:tabs>
          <w:tab w:leader="none" w:pos="8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$1.07 billion or more; (ii) the date on which we have, during the previous three-year period, issued more than $ 1.0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and liquid trading market for our common stock may not be sustained.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the Nasdaq exchange. If we fail to satisfy the continued listing standards, we could be de-listed, which would negatively impact the value and liquidity of your investment.</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stock price may be volatile, and investors in our common stock may not be able to resell shares of our common stock at or above the price paid, or at all.</w:t>
      </w:r>
    </w:p>
    <w:p>
      <w:pPr>
        <w:spacing w:after="0" w:line="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trading price of our common stock could be volatile and subject to wide fluctuations in response to various factors, many of which are beyond our control, including, but not limited to:</w:t>
      </w:r>
    </w:p>
    <w:p>
      <w:pPr>
        <w:spacing w:after="0" w:line="90" w:lineRule="exact"/>
        <w:rPr>
          <w:sz w:val="20"/>
          <w:szCs w:val="20"/>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effects arising if U.S. inflationary and/or currency devaluation trends appear or increase;</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63" w:lineRule="exact"/>
        <w:rPr>
          <w:rFonts w:ascii="Arial" w:cs="Arial" w:eastAsia="Arial" w:hAnsi="Arial"/>
          <w:sz w:val="18"/>
          <w:szCs w:val="18"/>
          <w:color w:val="auto"/>
        </w:rPr>
      </w:pPr>
    </w:p>
    <w:p>
      <w:pPr>
        <w:ind w:left="820" w:right="20" w:hanging="326"/>
        <w:spacing w:after="0" w:line="281" w:lineRule="auto"/>
        <w:tabs>
          <w:tab w:leader="none" w:pos="8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20" w:hanging="326"/>
        <w:spacing w:after="0" w:line="264" w:lineRule="auto"/>
        <w:tabs>
          <w:tab w:leader="none" w:pos="8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7"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820" w:hanging="326"/>
        <w:spacing w:after="0" w:line="281" w:lineRule="auto"/>
        <w:tabs>
          <w:tab w:leader="none" w:pos="8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1"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63" w:lineRule="exact"/>
        <w:rPr>
          <w:rFonts w:ascii="Arial" w:cs="Arial" w:eastAsia="Arial" w:hAnsi="Arial"/>
          <w:sz w:val="18"/>
          <w:szCs w:val="18"/>
          <w:color w:val="auto"/>
        </w:rPr>
      </w:pPr>
    </w:p>
    <w:p>
      <w:pPr>
        <w:jc w:val="both"/>
        <w:ind w:left="820" w:hanging="326"/>
        <w:spacing w:after="0" w:line="271" w:lineRule="auto"/>
        <w:tabs>
          <w:tab w:leader="none" w:pos="8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and</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report.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Since our stock price may be volatile, investors in our common stock may not be able to resell shares of our common stock at or above the price paid, or at all.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June 30, 2022, we had 32.6 million shares of common stock outstanding.</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additional shares outside of a Rule 10b5-1 plan when they are not in possession of material, nonpublic information.</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June 30, 2022, K. Charles Janac, our President, Chief Executive Officer and Chairman, held voting power over approximately 32%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300,000,000 shares of common stock authorized but unissued, based on the number of shares of our common stock outstanding as of June 30, 2022.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common stock for the foreseeable future.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2021 Form 10-K for additional information.</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Management may apply our net proceeds from our initial public offering to uses that do not increase our market value or improve our operating results.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 w:name="page70"/>
    <w:bookmarkEnd w:id="6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8"/>
          <w:szCs w:val="18"/>
          <w:color w:val="auto"/>
        </w:rPr>
        <w:t>.</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4" w:lineRule="exact"/>
        <w:rPr>
          <w:sz w:val="20"/>
          <w:szCs w:val="20"/>
          <w:color w:val="auto"/>
        </w:rPr>
      </w:pPr>
    </w:p>
    <w:p>
      <w:pPr>
        <w:ind w:left="660" w:right="20" w:hanging="328"/>
        <w:spacing w:after="0" w:line="28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us or our management;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jc w:val="both"/>
        <w:ind w:left="660" w:hanging="328"/>
        <w:spacing w:after="0" w:line="26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 w:name="page71"/>
    <w:bookmarkEnd w:id="7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8"/>
          <w:szCs w:val="18"/>
          <w:color w:val="auto"/>
        </w:rPr>
        <w:t>.</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b w:val="1"/>
          <w:bCs w:val="1"/>
          <w:i w:val="1"/>
          <w:iCs w:val="1"/>
          <w:color w:val="auto"/>
        </w:rPr>
        <w:t>, including securities class action litigation, may impair our reputation and lead us to incur significant costs</w:t>
      </w:r>
      <w:r>
        <w:rPr>
          <w:rFonts w:ascii="Arial" w:cs="Arial" w:eastAsia="Arial" w:hAnsi="Arial"/>
          <w:sz w:val="18"/>
          <w:szCs w:val="18"/>
          <w:color w:val="auto"/>
        </w:rPr>
        <w: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may be party to various lawsuits and claims arising in the normal course of business, which may include lawsuits or claims relating to contracts, third-party contractors, IP, employment matters or other aspects of our business. 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 w:name="page72"/>
    <w:bookmarkEnd w:id="7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Jefferies LLC and Cowen served as lead book-running managers and BMO Capital Markets served as joint book-running manager for the offering. Northland Capital Markets and Rosenblatt Securities acted as co-managers.</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 w:name="page73"/>
    <w:bookmarkEnd w:id="7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560" w:type="dxa"/>
            <w:vAlign w:val="bottom"/>
            <w:gridSpan w:val="11"/>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Exhibit   Filing DateFiled</w:t>
            </w:r>
          </w:p>
        </w:tc>
      </w:tr>
      <w:tr>
        <w:trPr>
          <w:trHeight w:val="189"/>
        </w:trPr>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58"/>
              <w:spacing w:after="0"/>
              <w:rPr>
                <w:sz w:val="20"/>
                <w:szCs w:val="20"/>
                <w:color w:val="auto"/>
              </w:rPr>
            </w:pPr>
            <w:r>
              <w:rPr>
                <w:rFonts w:ascii="Arial" w:cs="Arial" w:eastAsia="Arial" w:hAnsi="Arial"/>
                <w:sz w:val="14"/>
                <w:szCs w:val="14"/>
                <w:b w:val="1"/>
                <w:bCs w:val="1"/>
                <w:color w:val="auto"/>
              </w:rPr>
              <w:t>Herewith</w:t>
            </w:r>
          </w:p>
        </w:tc>
      </w:tr>
      <w:tr>
        <w:trPr>
          <w:trHeight w:val="182"/>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5"/>
                <w:szCs w:val="15"/>
                <w:color w:val="auto"/>
              </w:rPr>
            </w:pPr>
          </w:p>
        </w:tc>
        <w:tc>
          <w:tcPr>
            <w:tcW w:w="6580" w:type="dxa"/>
            <w:vAlign w:val="bottom"/>
            <w:gridSpan w:val="12"/>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Amended and Restated Certificate of Incorporation of Arteris, Inc.</w:t>
              </w:r>
            </w:hyperlink>
          </w:p>
        </w:tc>
        <w:tc>
          <w:tcPr>
            <w:tcW w:w="640" w:type="dxa"/>
            <w:vAlign w:val="bottom"/>
          </w:tcPr>
          <w:p>
            <w:pPr>
              <w:ind w:left="10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line="182" w:lineRule="exact"/>
              <w:rPr>
                <w:sz w:val="20"/>
                <w:szCs w:val="20"/>
                <w:color w:val="auto"/>
              </w:rPr>
            </w:pPr>
            <w:r>
              <w:rPr>
                <w:rFonts w:ascii="Arial" w:cs="Arial" w:eastAsia="Arial" w:hAnsi="Arial"/>
                <w:sz w:val="18"/>
                <w:szCs w:val="18"/>
                <w:color w:val="auto"/>
              </w:rPr>
              <w:t>3.1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Amended and Restated Bylaws of Arteris, Inc.</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3.2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86">
              <w:r>
                <w:rPr>
                  <w:rFonts w:ascii="Arial" w:cs="Arial" w:eastAsia="Arial" w:hAnsi="Arial"/>
                  <w:sz w:val="18"/>
                  <w:szCs w:val="18"/>
                  <w:color w:val="0000FF"/>
                </w:rPr>
                <w:t>Specimen Stock Certificate evidencing the shares of common stock.</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4.1 10-18-2021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32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80" w:type="dxa"/>
            <w:vAlign w:val="bottom"/>
            <w:gridSpan w:val="12"/>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23"/>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10"/>
        </w:trPr>
        <w:tc>
          <w:tcPr>
            <w:tcW w:w="7400" w:type="dxa"/>
            <w:vAlign w:val="bottom"/>
            <w:gridSpan w:val="16"/>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0"/>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580" w:type="dxa"/>
            <w:vAlign w:val="bottom"/>
            <w:gridSpan w:val="12"/>
          </w:tcPr>
          <w:p>
            <w:pPr>
              <w:spacing w:after="0" w:line="180"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64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5"/>
        </w:trPr>
        <w:tc>
          <w:tcPr>
            <w:tcW w:w="540" w:type="dxa"/>
            <w:vAlign w:val="bottom"/>
            <w:gridSpan w:val="3"/>
          </w:tcPr>
          <w:p>
            <w:pPr>
              <w:jc w:val="center"/>
              <w:ind w:left="152"/>
              <w:spacing w:after="0" w:line="185" w:lineRule="exact"/>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6"/>
                <w:szCs w:val="16"/>
                <w:color w:val="auto"/>
              </w:rPr>
            </w:pPr>
          </w:p>
        </w:tc>
        <w:tc>
          <w:tcPr>
            <w:tcW w:w="6580" w:type="dxa"/>
            <w:vAlign w:val="bottom"/>
            <w:gridSpan w:val="12"/>
          </w:tcPr>
          <w:p>
            <w:pPr>
              <w:spacing w:after="0" w:line="185"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640" w:type="dxa"/>
            <w:vAlign w:val="bottom"/>
          </w:tcPr>
          <w:p>
            <w:pPr>
              <w:spacing w:after="0"/>
              <w:rPr>
                <w:sz w:val="16"/>
                <w:szCs w:val="16"/>
                <w:color w:val="auto"/>
              </w:rPr>
            </w:pPr>
          </w:p>
        </w:tc>
        <w:tc>
          <w:tcPr>
            <w:tcW w:w="2320" w:type="dxa"/>
            <w:vAlign w:val="bottom"/>
          </w:tcPr>
          <w:p>
            <w:pPr>
              <w:jc w:val="center"/>
              <w:ind w:left="1558"/>
              <w:spacing w:after="0" w:line="185" w:lineRule="exact"/>
              <w:rPr>
                <w:sz w:val="20"/>
                <w:szCs w:val="20"/>
                <w:color w:val="auto"/>
              </w:rPr>
            </w:pPr>
            <w:r>
              <w:rPr>
                <w:rFonts w:ascii="Arial" w:cs="Arial" w:eastAsia="Arial" w:hAnsi="Arial"/>
                <w:sz w:val="18"/>
                <w:szCs w:val="18"/>
                <w:color w:val="auto"/>
                <w:w w:val="99"/>
              </w:rPr>
              <w:t>X</w:t>
            </w:r>
          </w:p>
        </w:tc>
      </w:tr>
      <w:tr>
        <w:trPr>
          <w:trHeight w:val="243"/>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Exhibits 101).</w:t>
            </w:r>
          </w:p>
        </w:tc>
        <w:tc>
          <w:tcPr>
            <w:tcW w:w="640" w:type="dxa"/>
            <w:vAlign w:val="bottom"/>
          </w:tcPr>
          <w:p>
            <w:pPr>
              <w:spacing w:after="0"/>
              <w:rPr>
                <w:sz w:val="21"/>
                <w:szCs w:val="21"/>
                <w:color w:val="auto"/>
              </w:rPr>
            </w:pPr>
          </w:p>
        </w:tc>
        <w:tc>
          <w:tcPr>
            <w:tcW w:w="2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5229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Indicates a management contract or compensatory plan or arrangement.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right="2200"/>
        <w:spacing w:after="0" w:line="224" w:lineRule="auto"/>
        <w:rPr>
          <w:sz w:val="20"/>
          <w:szCs w:val="20"/>
          <w:color w:val="auto"/>
        </w:rPr>
      </w:pPr>
      <w:r>
        <w:rPr>
          <w:rFonts w:ascii="Arial" w:cs="Arial" w:eastAsia="Arial" w:hAnsi="Arial"/>
          <w:sz w:val="14"/>
          <w:szCs w:val="14"/>
          <w:color w:val="auto"/>
        </w:rPr>
        <w:t>Portions of this exhibit (indicated by asterisks) have been omitted pursuant to Item 601(b)(10)(iv) of Regulation S-K under the Securities Act of 1933, as amended, because they are both (i) not material and (ii) the type of information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that the registrant both customarily and actually treats as private and confidential.</w:t>
      </w:r>
    </w:p>
    <w:p>
      <w:pPr>
        <w:spacing w:after="0" w:line="24" w:lineRule="exact"/>
        <w:rPr>
          <w:sz w:val="20"/>
          <w:szCs w:val="20"/>
          <w:color w:val="auto"/>
        </w:rPr>
      </w:pPr>
    </w:p>
    <w:p>
      <w:pPr>
        <w:ind w:left="840" w:right="2160" w:hanging="462"/>
        <w:spacing w:after="0" w:line="233"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32" w:right="1219" w:bottom="1440" w:gutter="0" w:footer="0" w:header="0"/>
        </w:sectPr>
      </w:pPr>
    </w:p>
    <w:bookmarkStart w:id="73" w:name="page74"/>
    <w:bookmarkEnd w:id="7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pacing w:after="0" w:line="331" w:lineRule="exact"/>
        <w:rPr>
          <w:sz w:val="20"/>
          <w:szCs w:val="20"/>
          <w:color w:val="auto"/>
        </w:rPr>
      </w:pPr>
    </w:p>
    <w:tbl>
      <w:tblPr>
        <w:tblLayout w:type="fixed"/>
        <w:tblInd w:w="610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1"/>
                <w:szCs w:val="21"/>
                <w:color w:val="auto"/>
              </w:rPr>
            </w:pPr>
          </w:p>
        </w:tc>
      </w:tr>
      <w:tr>
        <w:trPr>
          <w:trHeight w:val="52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36"/>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2"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9"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91" w:lineRule="auto"/>
        <w:tabs>
          <w:tab w:leader="none" w:pos="2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right="20" w:firstLine="8"/>
        <w:spacing w:after="0" w:line="291" w:lineRule="auto"/>
        <w:tabs>
          <w:tab w:leader="none" w:pos="1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firstLine="8"/>
        <w:spacing w:after="0" w:line="291" w:lineRule="auto"/>
        <w:tabs>
          <w:tab w:leader="none" w:pos="1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Arial" w:cs="Arial" w:eastAsia="Arial" w:hAnsi="Arial"/>
          <w:sz w:val="16"/>
          <w:szCs w:val="16"/>
          <w:color w:val="auto"/>
        </w:rPr>
      </w:pPr>
    </w:p>
    <w:p>
      <w:pPr>
        <w:jc w:val="both"/>
        <w:ind w:left="1040" w:firstLine="5"/>
        <w:spacing w:after="0" w:line="260" w:lineRule="auto"/>
        <w:tabs>
          <w:tab w:leader="none" w:pos="1323"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jc w:val="both"/>
        <w:ind w:left="1040" w:firstLine="5"/>
        <w:spacing w:after="0" w:line="269"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6"/>
          <w:szCs w:val="16"/>
          <w:color w:val="auto"/>
        </w:rPr>
      </w:pPr>
    </w:p>
    <w:p>
      <w:pPr>
        <w:ind w:left="1040" w:firstLine="5"/>
        <w:spacing w:after="0" w:line="291" w:lineRule="auto"/>
        <w:tabs>
          <w:tab w:leader="none" w:pos="12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6"/>
          <w:szCs w:val="16"/>
          <w:color w:val="auto"/>
        </w:rPr>
      </w:pPr>
    </w:p>
    <w:p>
      <w:pPr>
        <w:jc w:val="both"/>
        <w:ind w:left="1040" w:firstLine="5"/>
        <w:spacing w:after="0" w:line="269" w:lineRule="auto"/>
        <w:tabs>
          <w:tab w:leader="none" w:pos="13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6"/>
          <w:szCs w:val="16"/>
          <w:color w:val="auto"/>
        </w:rPr>
      </w:pPr>
    </w:p>
    <w:p>
      <w:pPr>
        <w:ind w:firstLine="8"/>
        <w:spacing w:after="0" w:line="291" w:lineRule="auto"/>
        <w:tabs>
          <w:tab w:leader="none" w:pos="2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6"/>
          <w:szCs w:val="16"/>
          <w:color w:val="auto"/>
        </w:rPr>
      </w:pPr>
    </w:p>
    <w:p>
      <w:pPr>
        <w:ind w:left="1040" w:right="20" w:firstLine="5"/>
        <w:spacing w:after="0" w:line="291" w:lineRule="auto"/>
        <w:tabs>
          <w:tab w:leader="none" w:pos="13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6"/>
          <w:szCs w:val="16"/>
          <w:color w:val="auto"/>
        </w:rPr>
      </w:pPr>
    </w:p>
    <w:p>
      <w:pPr>
        <w:ind w:left="1040" w:right="20" w:firstLine="5"/>
        <w:spacing w:after="0" w:line="274"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280" w:type="dxa"/>
            <w:vAlign w:val="bottom"/>
          </w:tcPr>
          <w:p>
            <w:pPr>
              <w:spacing w:after="0"/>
              <w:rPr>
                <w:sz w:val="20"/>
                <w:szCs w:val="20"/>
                <w:color w:val="auto"/>
              </w:rPr>
            </w:pPr>
            <w:r>
              <w:rPr>
                <w:rFonts w:ascii="Arial" w:cs="Arial" w:eastAsia="Arial" w:hAnsi="Arial"/>
                <w:sz w:val="16"/>
                <w:szCs w:val="16"/>
                <w:color w:val="auto"/>
              </w:rPr>
              <w:t>Date: August 9, 2022</w:t>
            </w:r>
          </w:p>
        </w:tc>
        <w:tc>
          <w:tcPr>
            <w:tcW w:w="2820" w:type="dxa"/>
            <w:vAlign w:val="bottom"/>
          </w:tcPr>
          <w:p>
            <w:pPr>
              <w:ind w:left="174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280" w:type="dxa"/>
            <w:vAlign w:val="bottom"/>
          </w:tcPr>
          <w:p>
            <w:pPr>
              <w:spacing w:after="0"/>
              <w:rPr>
                <w:sz w:val="2"/>
                <w:szCs w:val="2"/>
                <w:color w:val="auto"/>
              </w:rPr>
            </w:pPr>
          </w:p>
        </w:tc>
        <w:tc>
          <w:tcPr>
            <w:tcW w:w="2820" w:type="dxa"/>
            <w:vAlign w:val="bottom"/>
            <w:vMerge w:val="restart"/>
          </w:tcPr>
          <w:p>
            <w:pPr>
              <w:ind w:left="174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2820" w:type="dxa"/>
            <w:vAlign w:val="bottom"/>
          </w:tcPr>
          <w:p>
            <w:pPr>
              <w:ind w:left="174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9"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91" w:lineRule="auto"/>
        <w:tabs>
          <w:tab w:leader="none" w:pos="2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right="20" w:firstLine="8"/>
        <w:spacing w:after="0" w:line="291" w:lineRule="auto"/>
        <w:tabs>
          <w:tab w:leader="none" w:pos="1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firstLine="8"/>
        <w:spacing w:after="0" w:line="291" w:lineRule="auto"/>
        <w:tabs>
          <w:tab w:leader="none" w:pos="1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Arial" w:cs="Arial" w:eastAsia="Arial" w:hAnsi="Arial"/>
          <w:sz w:val="16"/>
          <w:szCs w:val="16"/>
          <w:color w:val="auto"/>
        </w:rPr>
      </w:pPr>
    </w:p>
    <w:p>
      <w:pPr>
        <w:jc w:val="both"/>
        <w:ind w:left="1040" w:firstLine="5"/>
        <w:spacing w:after="0" w:line="260" w:lineRule="auto"/>
        <w:tabs>
          <w:tab w:leader="none" w:pos="1323"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jc w:val="both"/>
        <w:ind w:left="1040" w:firstLine="5"/>
        <w:spacing w:after="0" w:line="269" w:lineRule="auto"/>
        <w:tabs>
          <w:tab w:leader="none" w:pos="1296"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6"/>
          <w:szCs w:val="16"/>
          <w:color w:val="auto"/>
        </w:rPr>
      </w:pPr>
    </w:p>
    <w:p>
      <w:pPr>
        <w:ind w:left="1040" w:firstLine="5"/>
        <w:spacing w:after="0" w:line="291" w:lineRule="auto"/>
        <w:tabs>
          <w:tab w:leader="none" w:pos="1286"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6"/>
          <w:szCs w:val="16"/>
          <w:color w:val="auto"/>
        </w:rPr>
      </w:pPr>
    </w:p>
    <w:p>
      <w:pPr>
        <w:jc w:val="both"/>
        <w:ind w:left="1040" w:firstLine="5"/>
        <w:spacing w:after="0" w:line="269" w:lineRule="auto"/>
        <w:tabs>
          <w:tab w:leader="none" w:pos="13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6"/>
          <w:szCs w:val="16"/>
          <w:color w:val="auto"/>
        </w:rPr>
      </w:pPr>
    </w:p>
    <w:p>
      <w:pPr>
        <w:ind w:firstLine="8"/>
        <w:spacing w:after="0" w:line="291" w:lineRule="auto"/>
        <w:tabs>
          <w:tab w:leader="none" w:pos="2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6"/>
          <w:szCs w:val="16"/>
          <w:color w:val="auto"/>
        </w:rPr>
      </w:pPr>
    </w:p>
    <w:p>
      <w:pPr>
        <w:ind w:left="1040" w:right="20" w:firstLine="5"/>
        <w:spacing w:after="0" w:line="291" w:lineRule="auto"/>
        <w:tabs>
          <w:tab w:leader="none" w:pos="131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6"/>
          <w:szCs w:val="16"/>
          <w:color w:val="auto"/>
        </w:rPr>
      </w:pPr>
    </w:p>
    <w:p>
      <w:pPr>
        <w:ind w:left="1040" w:right="20" w:firstLine="5"/>
        <w:spacing w:after="0" w:line="274" w:lineRule="auto"/>
        <w:tabs>
          <w:tab w:leader="none" w:pos="1296"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400" w:type="dxa"/>
            <w:vAlign w:val="bottom"/>
          </w:tcPr>
          <w:p>
            <w:pPr>
              <w:spacing w:after="0"/>
              <w:rPr>
                <w:sz w:val="20"/>
                <w:szCs w:val="20"/>
                <w:color w:val="auto"/>
              </w:rPr>
            </w:pPr>
            <w:r>
              <w:rPr>
                <w:rFonts w:ascii="Arial" w:cs="Arial" w:eastAsia="Arial" w:hAnsi="Arial"/>
                <w:sz w:val="16"/>
                <w:szCs w:val="16"/>
                <w:color w:val="auto"/>
              </w:rPr>
              <w:t>Date: August 9, 2022</w:t>
            </w:r>
          </w:p>
        </w:tc>
        <w:tc>
          <w:tcPr>
            <w:tcW w:w="2960" w:type="dxa"/>
            <w:vAlign w:val="bottom"/>
          </w:tcPr>
          <w:p>
            <w:pPr>
              <w:ind w:left="190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2960" w:type="dxa"/>
            <w:vAlign w:val="bottom"/>
            <w:vMerge w:val="restart"/>
          </w:tcPr>
          <w:p>
            <w:pPr>
              <w:ind w:left="190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2"/>
                <w:szCs w:val="22"/>
                <w:color w:val="auto"/>
              </w:rPr>
            </w:pPr>
          </w:p>
        </w:tc>
        <w:tc>
          <w:tcPr>
            <w:tcW w:w="2960" w:type="dxa"/>
            <w:vAlign w:val="bottom"/>
          </w:tcPr>
          <w:p>
            <w:pPr>
              <w:ind w:left="190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9"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June 30,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1040" w:firstLine="5"/>
        <w:spacing w:after="0" w:line="274"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0" w:lineRule="exact"/>
        <w:rPr>
          <w:rFonts w:ascii="Arial" w:cs="Arial" w:eastAsia="Arial" w:hAnsi="Arial"/>
          <w:sz w:val="16"/>
          <w:szCs w:val="16"/>
          <w:color w:val="auto"/>
        </w:rPr>
      </w:pPr>
    </w:p>
    <w:p>
      <w:pPr>
        <w:ind w:left="1040" w:firstLine="5"/>
        <w:spacing w:after="0" w:line="291" w:lineRule="auto"/>
        <w:tabs>
          <w:tab w:leader="none" w:pos="13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020" w:type="dxa"/>
            <w:vAlign w:val="bottom"/>
          </w:tcPr>
          <w:p>
            <w:pPr>
              <w:spacing w:after="0"/>
              <w:rPr>
                <w:sz w:val="20"/>
                <w:szCs w:val="20"/>
                <w:color w:val="auto"/>
              </w:rPr>
            </w:pPr>
            <w:r>
              <w:rPr>
                <w:rFonts w:ascii="Arial" w:cs="Arial" w:eastAsia="Arial" w:hAnsi="Arial"/>
                <w:sz w:val="16"/>
                <w:szCs w:val="16"/>
                <w:color w:val="auto"/>
              </w:rPr>
              <w:t>Date: August 9, 2022</w:t>
            </w:r>
          </w:p>
        </w:tc>
        <w:tc>
          <w:tcPr>
            <w:tcW w:w="2720" w:type="dxa"/>
            <w:vAlign w:val="bottom"/>
          </w:tcPr>
          <w:p>
            <w:pPr>
              <w:ind w:left="150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2720" w:type="dxa"/>
            <w:vAlign w:val="bottom"/>
            <w:vMerge w:val="restart"/>
          </w:tcPr>
          <w:p>
            <w:pPr>
              <w:ind w:left="150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2720" w:type="dxa"/>
            <w:vAlign w:val="bottom"/>
            <w:vMerge w:val="continue"/>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9"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June 30,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1040" w:firstLine="5"/>
        <w:spacing w:after="0" w:line="274" w:lineRule="auto"/>
        <w:tabs>
          <w:tab w:leader="none" w:pos="13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0" w:lineRule="exact"/>
        <w:rPr>
          <w:rFonts w:ascii="Arial" w:cs="Arial" w:eastAsia="Arial" w:hAnsi="Arial"/>
          <w:sz w:val="16"/>
          <w:szCs w:val="16"/>
          <w:color w:val="auto"/>
        </w:rPr>
      </w:pPr>
    </w:p>
    <w:p>
      <w:pPr>
        <w:ind w:left="1040" w:firstLine="5"/>
        <w:spacing w:after="0" w:line="291" w:lineRule="auto"/>
        <w:tabs>
          <w:tab w:leader="none" w:pos="13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020" w:type="dxa"/>
            <w:vAlign w:val="bottom"/>
          </w:tcPr>
          <w:p>
            <w:pPr>
              <w:spacing w:after="0"/>
              <w:rPr>
                <w:sz w:val="20"/>
                <w:szCs w:val="20"/>
                <w:color w:val="auto"/>
              </w:rPr>
            </w:pPr>
            <w:r>
              <w:rPr>
                <w:rFonts w:ascii="Arial" w:cs="Arial" w:eastAsia="Arial" w:hAnsi="Arial"/>
                <w:sz w:val="16"/>
                <w:szCs w:val="16"/>
                <w:color w:val="auto"/>
              </w:rPr>
              <w:t>Date: August 9, 2022</w:t>
            </w:r>
          </w:p>
        </w:tc>
        <w:tc>
          <w:tcPr>
            <w:tcW w:w="2720" w:type="dxa"/>
            <w:vAlign w:val="bottom"/>
          </w:tcPr>
          <w:p>
            <w:pPr>
              <w:ind w:left="150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2720" w:type="dxa"/>
            <w:vAlign w:val="bottom"/>
            <w:vMerge w:val="restart"/>
          </w:tcPr>
          <w:p>
            <w:pPr>
              <w:ind w:left="150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2720" w:type="dxa"/>
            <w:vAlign w:val="bottom"/>
            <w:vMerge w:val="continue"/>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4"/>
    </w:lvl>
  </w:abstractNum>
  <w:abstractNum w:abstractNumId="8">
    <w:nsid w:val="8EDBDAB"/>
    <w:multiLevelType w:val="hybridMultilevel"/>
    <w:lvl w:ilvl="0">
      <w:lvlJc w:val="left"/>
      <w:lvlText w:val="%1."/>
      <w:numFmt w:val="decimal"/>
      <w:start w:val="5"/>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1."/>
      <w:numFmt w:val="decimal"/>
      <w:start w:val="11"/>
    </w:lvl>
  </w:abstractNum>
  <w:abstractNum w:abstractNumId="15">
    <w:nsid w:val="2CA88611"/>
    <w:multiLevelType w:val="hybridMultilevel"/>
    <w:lvl w:ilvl="0">
      <w:lvlJc w:val="left"/>
      <w:lvlText w:val="%1."/>
      <w:numFmt w:val="decimal"/>
      <w:start w:val="12"/>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4" Type="http://schemas.openxmlformats.org/officeDocument/2006/relationships/hyperlink" Target="http://www.sec.gov/Archives/edgar/data/0001667011/000119312521289866/d52087dex31.htm" TargetMode="External"/><Relationship Id="rId85" Type="http://schemas.openxmlformats.org/officeDocument/2006/relationships/hyperlink" Target="https://www.sec.gov/Archives/edgar/data/0001667011/000119312521313553/d211035dex32.htm" TargetMode="External"/><Relationship Id="rId86"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2022-08-09T19:08:22Z</dcterms:created>
  <dcterms:modified xsi:type="dcterms:W3CDTF">2022-08-09T19:08:22Z</dcterms:modified>
</cp:coreProperties>
</file>